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1A0" w:rsidP="00B241A0">
      <w:pPr>
        <w:pStyle w:val="Title"/>
      </w:pPr>
      <w:r>
        <w:fldChar w:fldCharType="begin"/>
      </w:r>
      <w:r>
        <w:instrText xml:space="preserve"> TITLE   \* MERGEFORMAT </w:instrText>
      </w:r>
      <w:r>
        <w:fldChar w:fldCharType="separate"/>
      </w:r>
      <w:r>
        <w:t>UETTDRRT23A Install rail traction bonds</w:t>
      </w:r>
      <w:r>
        <w:fldChar w:fldCharType="end"/>
      </w:r>
    </w:p>
    <w:p w:rsidR="00B241A0" w:rsidP="00B241A0">
      <w:pPr>
        <w:pStyle w:val="Version"/>
        <w:sectPr w:rsidSect="007719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91E" w:rsidP="0077191E">
      <w:pPr>
        <w:pStyle w:val="SuperHeading"/>
      </w:pPr>
      <w:r w:rsidRPr="0077191E">
        <w:t>UETTDRRT23A Install rail traction bonds</w:t>
      </w:r>
    </w:p>
    <w:p w:rsidR="00000000" w:rsidRPr="0077191E" w:rsidP="0077191E">
      <w:pPr>
        <w:pStyle w:val="Heading1"/>
      </w:pPr>
      <w:bookmarkStart w:id="1" w:name="O_465260"/>
      <w:bookmarkEnd w:id="1"/>
      <w:r w:rsidRPr="0077191E">
        <w:t>Modification History</w:t>
      </w:r>
    </w:p>
    <w:p w:rsidR="00000000" w:rsidRPr="0077191E" w:rsidP="0077191E">
      <w:pPr>
        <w:pStyle w:val="BodyText"/>
      </w:pPr>
      <w:r w:rsidRPr="0077191E">
        <w:t>Not applicable.</w:t>
      </w:r>
    </w:p>
    <w:p w:rsidR="00000000" w:rsidRPr="0077191E" w:rsidP="0077191E">
      <w:pPr>
        <w:pStyle w:val="AllowPageBreak"/>
      </w:pPr>
    </w:p>
    <w:p w:rsidR="00000000" w:rsidRPr="0077191E" w:rsidP="0077191E">
      <w:pPr>
        <w:pStyle w:val="Heading1"/>
      </w:pPr>
      <w:bookmarkStart w:id="2" w:name="O_465258"/>
      <w:bookmarkEnd w:id="2"/>
      <w:r w:rsidRPr="0077191E">
        <w:t>Unit Descriptor</w:t>
      </w:r>
    </w:p>
    <w:tbl>
      <w:tblPr>
        <w:tblW w:w="0" w:type="auto"/>
        <w:tblLayout w:type="fixed"/>
        <w:tblCellMar>
          <w:left w:w="62" w:type="dxa"/>
          <w:right w:w="62" w:type="dxa"/>
        </w:tblCellMar>
        <w:tblLook w:val="0000"/>
      </w:tblPr>
      <w:tblGrid>
        <w:gridCol w:w="2700"/>
        <w:gridCol w:w="5760"/>
      </w:tblGrid>
      <w:tr w:rsidTr="00B241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1)</w:t>
            </w:r>
            <w:r w:rsidRPr="0077191E">
              <w:t xml:space="preserve"> </w:t>
            </w:r>
            <w:r w:rsidRPr="0077191E">
              <w:rPr>
                <w:rStyle w:val="SpecialBold"/>
              </w:rPr>
              <w:t>Scope:</w:t>
            </w:r>
          </w:p>
        </w:tc>
      </w:tr>
      <w:tr w:rsidTr="00B241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191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1.1) Descriptor</w:t>
            </w:r>
          </w:p>
        </w:tc>
      </w:tr>
      <w:tr w:rsidTr="00B241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t>This Competency Standard Unit covers the installation of the temporary and permanent traction bonds and bonding cables. It includes the undertaking of safe working practices on or about the running line/track. It may also encompass the isolation of systems</w:t>
            </w:r>
            <w:r w:rsidRPr="0077191E">
              <w:t xml:space="preserve"> and circuits for safe working according to work plans and the correct positioning of road signs, barriers and or warning devices and the procedure of issuing/accepting electrical permits and includes the necessary checks to confirm that bonds, bonding cab</w:t>
            </w:r>
            <w:r w:rsidRPr="0077191E">
              <w:t xml:space="preserve">les and associated hardware have been correctly installed according to design and are in a safe condition to test prior to putting into service. It also includes the undertaking of pre-commissioning tests and the updating of installation data and relevant </w:t>
            </w:r>
            <w:r w:rsidRPr="0077191E">
              <w:t>quality assurance documentation.</w:t>
            </w:r>
          </w:p>
        </w:tc>
      </w:tr>
    </w:tbl>
    <w:p w:rsidR="00000000" w:rsidRPr="0077191E" w:rsidP="0077191E">
      <w:pPr>
        <w:pStyle w:val="BodyText"/>
      </w:pPr>
    </w:p>
    <w:p w:rsidR="00000000" w:rsidRPr="0077191E" w:rsidP="0077191E">
      <w:pPr>
        <w:pStyle w:val="AllowPageBreak"/>
      </w:pPr>
    </w:p>
    <w:p w:rsidR="00000000" w:rsidRPr="0077191E" w:rsidP="0077191E">
      <w:pPr>
        <w:pStyle w:val="Heading1"/>
      </w:pPr>
      <w:bookmarkStart w:id="3" w:name="O_465247"/>
      <w:bookmarkEnd w:id="3"/>
      <w:r w:rsidRPr="0077191E">
        <w:t>Application of the Unit</w:t>
      </w:r>
    </w:p>
    <w:tbl>
      <w:tblPr>
        <w:tblW w:w="0" w:type="auto"/>
        <w:tblLayout w:type="fixed"/>
        <w:tblCellMar>
          <w:left w:w="62" w:type="dxa"/>
          <w:right w:w="62" w:type="dxa"/>
        </w:tblCellMar>
        <w:tblLook w:val="0000"/>
      </w:tblPr>
      <w:tblGrid>
        <w:gridCol w:w="2672"/>
        <w:gridCol w:w="5699"/>
      </w:tblGrid>
      <w:tr w:rsidTr="00B241A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2)</w:t>
            </w:r>
          </w:p>
        </w:tc>
      </w:tr>
      <w:tr w:rsidTr="00B241A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t xml:space="preserve">This Competency Standard Unit is intended to augment formally acquired competencies. It is suitable for employment-based programs under an </w:t>
            </w:r>
            <w:r w:rsidRPr="0077191E">
              <w:t>approved contract of training.</w:t>
            </w:r>
          </w:p>
        </w:tc>
      </w:tr>
    </w:tbl>
    <w:p w:rsidR="00000000" w:rsidRPr="0077191E" w:rsidP="0077191E">
      <w:pPr>
        <w:pStyle w:val="BodyText"/>
      </w:pPr>
    </w:p>
    <w:p w:rsidR="00000000" w:rsidRPr="0077191E" w:rsidP="0077191E">
      <w:pPr>
        <w:pStyle w:val="AllowPageBreak"/>
      </w:pPr>
    </w:p>
    <w:p w:rsidR="00000000" w:rsidRPr="0077191E" w:rsidP="0077191E">
      <w:pPr>
        <w:pStyle w:val="Heading1"/>
      </w:pPr>
      <w:bookmarkStart w:id="4" w:name="O_465254"/>
      <w:bookmarkEnd w:id="4"/>
      <w:r w:rsidRPr="0077191E">
        <w:t>Licensing/Regulatory Information</w:t>
      </w:r>
    </w:p>
    <w:tbl>
      <w:tblPr>
        <w:tblW w:w="0" w:type="auto"/>
        <w:tblLayout w:type="fixed"/>
        <w:tblCellMar>
          <w:left w:w="62" w:type="dxa"/>
          <w:right w:w="62" w:type="dxa"/>
        </w:tblCellMar>
        <w:tblLook w:val="0000"/>
      </w:tblPr>
      <w:tblGrid>
        <w:gridCol w:w="2700"/>
        <w:gridCol w:w="5760"/>
      </w:tblGrid>
      <w:tr w:rsidTr="00B241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 xml:space="preserve">3) </w:t>
            </w:r>
          </w:p>
        </w:tc>
      </w:tr>
      <w:tr w:rsidTr="00B241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t>The skills and knowledge described in this unit may require a licence/registration to practice in the work place subject to regulations for underta</w:t>
            </w:r>
            <w:r w:rsidRPr="0077191E">
              <w:t>king of electrical work. Practice in workplace and during training is also subject to regulations directly related to Occupational Health and Safety, electricity/telecommunications/gas/water industry safety and compliance, industrial relations, environment</w:t>
            </w:r>
            <w:r w:rsidRPr="0077191E">
              <w:t>al protection, anti discrimination and training. Commonwealth, State/Territory or Local Government legislation and regulations may exist that limits the age of operating certain equipment.</w:t>
            </w:r>
          </w:p>
        </w:tc>
      </w:tr>
    </w:tbl>
    <w:p w:rsidR="00000000" w:rsidRPr="0077191E" w:rsidP="0077191E">
      <w:pPr>
        <w:pStyle w:val="BodyText"/>
      </w:pPr>
    </w:p>
    <w:p w:rsidR="00000000" w:rsidRPr="0077191E" w:rsidP="0077191E">
      <w:pPr>
        <w:pStyle w:val="AllowPageBreak"/>
      </w:pPr>
    </w:p>
    <w:p w:rsidR="00000000" w:rsidRPr="0077191E" w:rsidP="0077191E">
      <w:pPr>
        <w:pStyle w:val="Heading1"/>
      </w:pPr>
      <w:bookmarkStart w:id="5" w:name="O_465255"/>
      <w:bookmarkEnd w:id="5"/>
      <w:r w:rsidRPr="0077191E">
        <w:t>Pre-Requisites</w:t>
      </w:r>
    </w:p>
    <w:tbl>
      <w:tblPr>
        <w:tblW w:w="0" w:type="auto"/>
        <w:tblLayout w:type="fixed"/>
        <w:tblCellMar>
          <w:left w:w="62" w:type="dxa"/>
          <w:right w:w="62" w:type="dxa"/>
        </w:tblCellMar>
        <w:tblLook w:val="0000"/>
      </w:tblPr>
      <w:tblGrid>
        <w:gridCol w:w="2681"/>
        <w:gridCol w:w="19"/>
        <w:gridCol w:w="1800"/>
        <w:gridCol w:w="3960"/>
      </w:tblGrid>
      <w:tr w:rsidTr="00B241A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 xml:space="preserve">4) </w:t>
            </w:r>
          </w:p>
        </w:tc>
      </w:tr>
      <w:tr w:rsidTr="00B241A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4.1)</w:t>
            </w:r>
          </w:p>
        </w:tc>
      </w:tr>
      <w:tr w:rsidTr="00B241A0">
        <w:tblPrEx>
          <w:tblW w:w="0" w:type="auto"/>
          <w:tblLayout w:type="fixed"/>
          <w:tblCellMar>
            <w:left w:w="62" w:type="dxa"/>
            <w:right w:w="62" w:type="dxa"/>
          </w:tblCellMar>
          <w:tblLook w:val="0000"/>
        </w:tblPrEx>
        <w:trPr>
          <w:trHeight w:val="625"/>
        </w:trPr>
        <w:tc>
          <w:tcPr>
            <w:tcW w:w="2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9" w:type="dxa"/>
            <w:gridSpan w:val="3"/>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t>Granting of competency in this unit shall be made only after competency in the following unit(s) has/have been confirmed.</w:t>
            </w:r>
          </w:p>
          <w:p w:rsidR="00000000" w:rsidRPr="0077191E" w:rsidP="0077191E">
            <w:pPr>
              <w:pStyle w:val="BodyText"/>
            </w:pPr>
            <w:r w:rsidRPr="0077191E">
              <w:t>Where pre-requisite pathways have been identified. All competencies in the Common Unit Group must be have been completed.</w:t>
            </w:r>
          </w:p>
          <w:p w:rsidR="00000000" w:rsidP="0077191E">
            <w:pPr>
              <w:pStyle w:val="BodyText"/>
              <w:rPr>
                <w:lang w:val="en-NZ"/>
              </w:rPr>
            </w:pPr>
            <w:r w:rsidRPr="0077191E">
              <w:t>Common Unit Group</w:t>
            </w:r>
          </w:p>
        </w:tc>
      </w:tr>
      <w:tr w:rsidTr="00B241A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Unit Code</w:t>
            </w:r>
            <w:r w:rsidRPr="0077191E">
              <w:tab/>
            </w:r>
          </w:p>
        </w:tc>
        <w:tc>
          <w:tcPr>
            <w:tcW w:w="3960" w:type="dxa"/>
            <w:tcBorders>
              <w:top w:val="nil"/>
              <w:left w:val="nil"/>
              <w:bottom w:val="nil"/>
              <w:right w:val="nil"/>
            </w:tcBorders>
            <w:tcMar>
              <w:top w:w="0" w:type="dxa"/>
              <w:left w:w="62" w:type="dxa"/>
              <w:bottom w:w="0" w:type="dxa"/>
              <w:right w:w="62" w:type="dxa"/>
            </w:tcMar>
            <w:vAlign w:val="bottom"/>
          </w:tcPr>
          <w:p w:rsidR="00000000" w:rsidP="0077191E">
            <w:pPr>
              <w:pStyle w:val="BodyText"/>
              <w:rPr>
                <w:lang w:val="en-NZ"/>
              </w:rPr>
            </w:pPr>
            <w:r w:rsidRPr="0077191E">
              <w:t>Unit Title</w:t>
            </w:r>
          </w:p>
        </w:tc>
      </w:tr>
      <w:tr w:rsidTr="00B241A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77191E">
            <w:pPr>
              <w:pStyle w:val="BodyText"/>
              <w:rPr>
                <w:lang w:val="en-NZ"/>
              </w:rPr>
            </w:pPr>
            <w:r w:rsidRPr="0077191E">
              <w:t>Apply Occupational Health and Safety regulations, codes and practices in the workplace</w:t>
            </w:r>
          </w:p>
        </w:tc>
      </w:tr>
      <w:tr w:rsidTr="00B241A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UEENEEE102A</w:t>
            </w:r>
          </w:p>
        </w:tc>
        <w:tc>
          <w:tcPr>
            <w:tcW w:w="3960" w:type="dxa"/>
            <w:tcBorders>
              <w:top w:val="nil"/>
              <w:left w:val="nil"/>
              <w:bottom w:val="nil"/>
              <w:right w:val="nil"/>
            </w:tcBorders>
            <w:tcMar>
              <w:top w:w="0" w:type="dxa"/>
              <w:left w:w="62" w:type="dxa"/>
              <w:bottom w:w="0" w:type="dxa"/>
              <w:right w:w="62" w:type="dxa"/>
            </w:tcMar>
            <w:vAlign w:val="bottom"/>
          </w:tcPr>
          <w:p w:rsidR="00000000" w:rsidP="0077191E">
            <w:pPr>
              <w:pStyle w:val="BodyText"/>
              <w:rPr>
                <w:lang w:val="en-NZ"/>
              </w:rPr>
            </w:pPr>
            <w:r w:rsidRPr="0077191E">
              <w:t>Fabricate, assemble and dismantle utilities industry components</w:t>
            </w:r>
          </w:p>
        </w:tc>
      </w:tr>
      <w:tr w:rsidTr="00B241A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UEENEEE104A</w:t>
            </w:r>
          </w:p>
        </w:tc>
        <w:tc>
          <w:tcPr>
            <w:tcW w:w="3960" w:type="dxa"/>
            <w:tcBorders>
              <w:top w:val="nil"/>
              <w:left w:val="nil"/>
              <w:bottom w:val="nil"/>
              <w:right w:val="nil"/>
            </w:tcBorders>
            <w:tcMar>
              <w:top w:w="0" w:type="dxa"/>
              <w:left w:w="62" w:type="dxa"/>
              <w:bottom w:w="0" w:type="dxa"/>
              <w:right w:w="62" w:type="dxa"/>
            </w:tcMar>
            <w:vAlign w:val="bottom"/>
          </w:tcPr>
          <w:p w:rsidR="00000000" w:rsidP="0077191E">
            <w:pPr>
              <w:pStyle w:val="BodyText"/>
              <w:rPr>
                <w:lang w:val="en-NZ"/>
              </w:rPr>
            </w:pPr>
            <w:r w:rsidRPr="0077191E">
              <w:t>Solve problems in d.c. Circuits</w:t>
            </w:r>
          </w:p>
        </w:tc>
      </w:tr>
      <w:tr w:rsidTr="00B241A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UEENEEE105A</w:t>
            </w:r>
          </w:p>
        </w:tc>
        <w:tc>
          <w:tcPr>
            <w:tcW w:w="3960" w:type="dxa"/>
            <w:tcBorders>
              <w:top w:val="nil"/>
              <w:left w:val="nil"/>
              <w:bottom w:val="nil"/>
              <w:right w:val="nil"/>
            </w:tcBorders>
            <w:tcMar>
              <w:top w:w="0" w:type="dxa"/>
              <w:left w:w="62" w:type="dxa"/>
              <w:bottom w:w="0" w:type="dxa"/>
              <w:right w:w="62" w:type="dxa"/>
            </w:tcMar>
            <w:vAlign w:val="bottom"/>
          </w:tcPr>
          <w:p w:rsidR="00000000" w:rsidP="0077191E">
            <w:pPr>
              <w:pStyle w:val="BodyText"/>
              <w:rPr>
                <w:lang w:val="en-NZ"/>
              </w:rPr>
            </w:pPr>
            <w:r w:rsidRPr="0077191E">
              <w:t>Fix and secure electrotechnolog</w:t>
            </w:r>
            <w:r w:rsidRPr="0077191E">
              <w:t>y equipment</w:t>
            </w:r>
          </w:p>
        </w:tc>
      </w:tr>
      <w:tr w:rsidTr="00B241A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77191E">
            <w:pPr>
              <w:pStyle w:val="BodyText"/>
              <w:rPr>
                <w:lang w:val="en-NZ"/>
              </w:rPr>
            </w:pPr>
            <w:r w:rsidRPr="0077191E">
              <w:t>Use drawings, diagrams, schedules, standards, codes and specifications</w:t>
            </w:r>
          </w:p>
        </w:tc>
      </w:tr>
      <w:tr w:rsidTr="00B241A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UEENEEG101A</w:t>
            </w:r>
          </w:p>
        </w:tc>
        <w:tc>
          <w:tcPr>
            <w:tcW w:w="3960" w:type="dxa"/>
            <w:tcBorders>
              <w:top w:val="nil"/>
              <w:left w:val="nil"/>
              <w:bottom w:val="nil"/>
              <w:right w:val="nil"/>
            </w:tcBorders>
            <w:tcMar>
              <w:top w:w="0" w:type="dxa"/>
              <w:left w:w="62" w:type="dxa"/>
              <w:bottom w:w="0" w:type="dxa"/>
              <w:right w:w="62" w:type="dxa"/>
            </w:tcMar>
            <w:vAlign w:val="bottom"/>
          </w:tcPr>
          <w:p w:rsidR="00000000" w:rsidP="0077191E">
            <w:pPr>
              <w:pStyle w:val="BodyText"/>
              <w:rPr>
                <w:lang w:val="en-NZ"/>
              </w:rPr>
            </w:pPr>
            <w:r w:rsidRPr="0077191E">
              <w:t>Solve problems in electromagnetic devices and related circuits</w:t>
            </w:r>
          </w:p>
        </w:tc>
      </w:tr>
      <w:tr w:rsidTr="00B241A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UEENEEG102A</w:t>
            </w:r>
          </w:p>
        </w:tc>
        <w:tc>
          <w:tcPr>
            <w:tcW w:w="3960" w:type="dxa"/>
            <w:tcBorders>
              <w:top w:val="nil"/>
              <w:left w:val="nil"/>
              <w:bottom w:val="nil"/>
              <w:right w:val="nil"/>
            </w:tcBorders>
            <w:tcMar>
              <w:top w:w="0" w:type="dxa"/>
              <w:left w:w="62" w:type="dxa"/>
              <w:bottom w:w="0" w:type="dxa"/>
              <w:right w:w="62" w:type="dxa"/>
            </w:tcMar>
            <w:vAlign w:val="bottom"/>
          </w:tcPr>
          <w:p w:rsidR="00000000" w:rsidP="0077191E">
            <w:pPr>
              <w:pStyle w:val="BodyText"/>
              <w:rPr>
                <w:lang w:val="en-NZ"/>
              </w:rPr>
            </w:pPr>
            <w:r w:rsidRPr="0077191E">
              <w:t>Solve problems in low voltage a.c. Circuits</w:t>
            </w:r>
          </w:p>
        </w:tc>
      </w:tr>
      <w:tr w:rsidTr="00B241A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UETTDREL11A</w:t>
            </w:r>
          </w:p>
        </w:tc>
        <w:tc>
          <w:tcPr>
            <w:tcW w:w="3960" w:type="dxa"/>
            <w:tcBorders>
              <w:top w:val="nil"/>
              <w:left w:val="nil"/>
              <w:bottom w:val="nil"/>
              <w:right w:val="nil"/>
            </w:tcBorders>
            <w:tcMar>
              <w:top w:w="0" w:type="dxa"/>
              <w:left w:w="62" w:type="dxa"/>
              <w:bottom w:w="0" w:type="dxa"/>
              <w:right w:w="62" w:type="dxa"/>
            </w:tcMar>
            <w:vAlign w:val="bottom"/>
          </w:tcPr>
          <w:p w:rsidR="00000000" w:rsidP="0077191E">
            <w:pPr>
              <w:pStyle w:val="BodyText"/>
              <w:rPr>
                <w:lang w:val="en-NZ"/>
              </w:rPr>
            </w:pPr>
            <w:r w:rsidRPr="0077191E">
              <w:t xml:space="preserve">Apply sustainable energy and environmental procedures </w:t>
            </w:r>
          </w:p>
        </w:tc>
      </w:tr>
      <w:tr w:rsidTr="00B241A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UETTDREL12A</w:t>
            </w:r>
          </w:p>
        </w:tc>
        <w:tc>
          <w:tcPr>
            <w:tcW w:w="3960" w:type="dxa"/>
            <w:tcBorders>
              <w:top w:val="nil"/>
              <w:left w:val="nil"/>
              <w:bottom w:val="nil"/>
              <w:right w:val="nil"/>
            </w:tcBorders>
            <w:tcMar>
              <w:top w:w="0" w:type="dxa"/>
              <w:left w:w="62" w:type="dxa"/>
              <w:bottom w:w="0" w:type="dxa"/>
              <w:right w:w="62" w:type="dxa"/>
            </w:tcMar>
            <w:vAlign w:val="bottom"/>
          </w:tcPr>
          <w:p w:rsidR="00000000" w:rsidP="0077191E">
            <w:pPr>
              <w:pStyle w:val="BodyText"/>
              <w:rPr>
                <w:lang w:val="en-NZ"/>
              </w:rPr>
            </w:pPr>
            <w:r w:rsidRPr="0077191E">
              <w:t xml:space="preserve">Operate plant and equipment near live electrical conductors and apparatus </w:t>
            </w:r>
          </w:p>
        </w:tc>
      </w:tr>
      <w:tr w:rsidTr="00B241A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UETTDREL16A</w:t>
            </w:r>
          </w:p>
        </w:tc>
        <w:tc>
          <w:tcPr>
            <w:tcW w:w="3960" w:type="dxa"/>
            <w:tcBorders>
              <w:top w:val="nil"/>
              <w:left w:val="nil"/>
              <w:bottom w:val="nil"/>
              <w:right w:val="nil"/>
            </w:tcBorders>
            <w:tcMar>
              <w:top w:w="0" w:type="dxa"/>
              <w:left w:w="62" w:type="dxa"/>
              <w:bottom w:w="0" w:type="dxa"/>
              <w:right w:w="62" w:type="dxa"/>
            </w:tcMar>
            <w:vAlign w:val="bottom"/>
          </w:tcPr>
          <w:p w:rsidR="00000000" w:rsidP="0077191E">
            <w:pPr>
              <w:pStyle w:val="BodyText"/>
              <w:rPr>
                <w:lang w:val="en-NZ"/>
              </w:rPr>
            </w:pPr>
            <w:r w:rsidRPr="0077191E">
              <w:t xml:space="preserve">Working safely near live electrical apparatus </w:t>
            </w:r>
          </w:p>
        </w:tc>
      </w:tr>
      <w:tr w:rsidTr="00B241A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UETTDRIS52A</w:t>
            </w:r>
          </w:p>
        </w:tc>
        <w:tc>
          <w:tcPr>
            <w:tcW w:w="3960" w:type="dxa"/>
            <w:tcBorders>
              <w:top w:val="nil"/>
              <w:left w:val="nil"/>
              <w:bottom w:val="nil"/>
              <w:right w:val="nil"/>
            </w:tcBorders>
            <w:tcMar>
              <w:top w:w="0" w:type="dxa"/>
              <w:left w:w="62" w:type="dxa"/>
              <w:bottom w:w="0" w:type="dxa"/>
              <w:right w:w="62" w:type="dxa"/>
            </w:tcMar>
            <w:vAlign w:val="bottom"/>
          </w:tcPr>
          <w:p w:rsidR="00000000" w:rsidP="0077191E">
            <w:pPr>
              <w:pStyle w:val="BodyText"/>
              <w:rPr>
                <w:lang w:val="en-NZ"/>
              </w:rPr>
            </w:pPr>
            <w:r w:rsidRPr="0077191E">
              <w:t>Install and maintain poles, structure</w:t>
            </w:r>
            <w:r w:rsidRPr="0077191E">
              <w:t>s and associated hardware</w:t>
            </w:r>
          </w:p>
        </w:tc>
      </w:tr>
      <w:tr w:rsidTr="00B241A0">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UETTDRIS54A</w:t>
            </w:r>
          </w:p>
        </w:tc>
        <w:tc>
          <w:tcPr>
            <w:tcW w:w="3960" w:type="dxa"/>
            <w:tcBorders>
              <w:top w:val="nil"/>
              <w:left w:val="nil"/>
              <w:bottom w:val="nil"/>
              <w:right w:val="nil"/>
            </w:tcBorders>
            <w:tcMar>
              <w:top w:w="0" w:type="dxa"/>
              <w:left w:w="62" w:type="dxa"/>
              <w:bottom w:w="0" w:type="dxa"/>
              <w:right w:w="62" w:type="dxa"/>
            </w:tcMar>
            <w:vAlign w:val="bottom"/>
          </w:tcPr>
          <w:p w:rsidR="00000000" w:rsidRPr="0077191E" w:rsidP="0077191E">
            <w:pPr>
              <w:pStyle w:val="BodyText"/>
            </w:pPr>
            <w:r w:rsidRPr="0077191E">
              <w:t xml:space="preserve">Install and maintain poles, structures, overhead conductors and cables </w:t>
            </w:r>
          </w:p>
        </w:tc>
      </w:tr>
    </w:tbl>
    <w:p w:rsidR="00000000" w:rsidRPr="0077191E" w:rsidP="0077191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241A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 xml:space="preserve">4.2) </w:t>
            </w:r>
          </w:p>
        </w:tc>
      </w:tr>
      <w:tr w:rsidTr="00B241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Participants are best equipped to achieve this unit if they have reading, writing and numeracy skills indicated by the following scales. Description of each scale is given in Volume 2, Part 3 “Literacy and Numeracy”.</w:t>
            </w:r>
          </w:p>
        </w:tc>
      </w:tr>
      <w:tr w:rsidTr="00B241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Reading</w:t>
            </w:r>
          </w:p>
        </w:tc>
        <w:tc>
          <w:tcPr>
            <w:tcW w:w="81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3</w:t>
            </w:r>
          </w:p>
        </w:tc>
        <w:tc>
          <w:tcPr>
            <w:tcW w:w="99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Writing</w:t>
            </w:r>
          </w:p>
        </w:tc>
        <w:tc>
          <w:tcPr>
            <w:tcW w:w="90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3</w:t>
            </w:r>
          </w:p>
        </w:tc>
        <w:tc>
          <w:tcPr>
            <w:tcW w:w="126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Numeracy</w:t>
            </w:r>
          </w:p>
        </w:tc>
        <w:tc>
          <w:tcPr>
            <w:tcW w:w="72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t>3</w:t>
            </w:r>
          </w:p>
        </w:tc>
      </w:tr>
    </w:tbl>
    <w:p w:rsidR="00000000" w:rsidRPr="0077191E" w:rsidP="0077191E">
      <w:pPr>
        <w:pStyle w:val="BodyText"/>
      </w:pPr>
    </w:p>
    <w:p w:rsidR="00000000" w:rsidRPr="0077191E" w:rsidP="0077191E">
      <w:pPr>
        <w:pStyle w:val="AllowPageBreak"/>
      </w:pPr>
    </w:p>
    <w:p w:rsidR="00000000" w:rsidRPr="0077191E" w:rsidP="0077191E">
      <w:pPr>
        <w:pStyle w:val="Heading1"/>
      </w:pPr>
      <w:bookmarkStart w:id="6" w:name="O_465251"/>
      <w:bookmarkEnd w:id="6"/>
      <w:r w:rsidRPr="0077191E">
        <w:t>Employability Skills Information</w:t>
      </w:r>
    </w:p>
    <w:tbl>
      <w:tblPr>
        <w:tblW w:w="0" w:type="auto"/>
        <w:tblLayout w:type="fixed"/>
        <w:tblCellMar>
          <w:left w:w="62" w:type="dxa"/>
          <w:right w:w="62" w:type="dxa"/>
        </w:tblCellMar>
        <w:tblLook w:val="0000"/>
      </w:tblPr>
      <w:tblGrid>
        <w:gridCol w:w="2700"/>
        <w:gridCol w:w="5760"/>
      </w:tblGrid>
      <w:tr w:rsidTr="00B241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 xml:space="preserve">5) </w:t>
            </w:r>
          </w:p>
        </w:tc>
      </w:tr>
      <w:tr w:rsidTr="00B241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t xml:space="preserve">The required outcomes described in this unit of competency contain applicable facets of Employability Skills. The Employability Skills Summary </w:t>
            </w:r>
            <w:r w:rsidRPr="0077191E">
              <w:t>of the qualification in which this unit of competency is packaged will assist in identifying Employability Skill requirements.</w:t>
            </w:r>
          </w:p>
        </w:tc>
      </w:tr>
    </w:tbl>
    <w:p w:rsidR="00000000" w:rsidRPr="0077191E" w:rsidP="0077191E">
      <w:pPr>
        <w:pStyle w:val="BodyText"/>
      </w:pPr>
    </w:p>
    <w:p w:rsidR="00000000" w:rsidRPr="0077191E" w:rsidP="0077191E">
      <w:pPr>
        <w:pStyle w:val="AllowPageBreak"/>
      </w:pPr>
    </w:p>
    <w:p w:rsidR="00000000" w:rsidRPr="0077191E" w:rsidP="0077191E">
      <w:pPr>
        <w:pStyle w:val="Heading1"/>
      </w:pPr>
      <w:bookmarkStart w:id="7" w:name="O_465250"/>
      <w:bookmarkEnd w:id="7"/>
      <w:r w:rsidRPr="0077191E">
        <w:t>Elements and Performance Criteria Pre-Content</w:t>
      </w:r>
    </w:p>
    <w:tbl>
      <w:tblPr>
        <w:tblW w:w="0" w:type="auto"/>
        <w:tblLayout w:type="fixed"/>
        <w:tblCellMar>
          <w:left w:w="62" w:type="dxa"/>
          <w:right w:w="62" w:type="dxa"/>
        </w:tblCellMar>
        <w:tblLook w:val="0000"/>
      </w:tblPr>
      <w:tblGrid>
        <w:gridCol w:w="2700"/>
        <w:gridCol w:w="5760"/>
      </w:tblGrid>
      <w:tr w:rsidTr="00B241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6)</w:t>
            </w:r>
            <w:r w:rsidRPr="0077191E">
              <w:t xml:space="preserve"> Elements describe the essential outcomes of a competency stan</w:t>
            </w:r>
            <w:r w:rsidRPr="0077191E">
              <w:t>dard unit</w:t>
            </w:r>
          </w:p>
        </w:tc>
        <w:tc>
          <w:tcPr>
            <w:tcW w:w="576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t>Performance Criteria describe the required performance needed to demonstrate achievement of the element. Assessment of performance is to be consistent with the Evidence Guide.</w:t>
            </w:r>
          </w:p>
        </w:tc>
      </w:tr>
    </w:tbl>
    <w:p w:rsidR="00000000" w:rsidRPr="0077191E" w:rsidP="0077191E">
      <w:pPr>
        <w:pStyle w:val="BodyText"/>
      </w:pPr>
    </w:p>
    <w:p w:rsidR="00000000" w:rsidRPr="0077191E" w:rsidP="0077191E">
      <w:pPr>
        <w:pStyle w:val="AllowPageBreak"/>
      </w:pPr>
    </w:p>
    <w:p w:rsidR="00000000" w:rsidRPr="0077191E" w:rsidP="0077191E">
      <w:pPr>
        <w:pStyle w:val="Heading1"/>
      </w:pPr>
      <w:bookmarkStart w:id="8" w:name="O_465249"/>
      <w:bookmarkEnd w:id="8"/>
      <w:r w:rsidRPr="0077191E">
        <w:t>Elements and Performance Criteria</w:t>
      </w:r>
    </w:p>
    <w:tbl>
      <w:tblPr>
        <w:tblW w:w="0" w:type="auto"/>
        <w:tblLayout w:type="fixed"/>
        <w:tblCellMar>
          <w:left w:w="62" w:type="dxa"/>
          <w:right w:w="62" w:type="dxa"/>
        </w:tblCellMar>
        <w:tblLook w:val="0000"/>
      </w:tblPr>
      <w:tblGrid>
        <w:gridCol w:w="404"/>
        <w:gridCol w:w="2206"/>
        <w:gridCol w:w="909"/>
        <w:gridCol w:w="4941"/>
      </w:tblGrid>
      <w:tr w:rsidTr="00B241A0">
        <w:tblPrEx>
          <w:tblW w:w="0" w:type="auto"/>
          <w:tblLayout w:type="fixed"/>
          <w:tblCellMar>
            <w:left w:w="62" w:type="dxa"/>
            <w:right w:w="62" w:type="dxa"/>
          </w:tblCellMar>
          <w:tblLook w:val="0000"/>
        </w:tblPrEx>
        <w:trPr>
          <w:tblHeader/>
        </w:trPr>
        <w:tc>
          <w:tcPr>
            <w:tcW w:w="2610" w:type="dxa"/>
            <w:gridSpan w:val="2"/>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rPr>
                <w:rStyle w:val="SpecialBold"/>
              </w:rPr>
              <w:t>ELEMENT</w:t>
            </w:r>
          </w:p>
        </w:tc>
        <w:tc>
          <w:tcPr>
            <w:tcW w:w="5850" w:type="dxa"/>
            <w:gridSpan w:val="2"/>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PERFORMANCE CRITERIA</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1</w:t>
            </w:r>
          </w:p>
        </w:tc>
        <w:tc>
          <w:tcPr>
            <w:tcW w:w="2206"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Prepare to install traction bonds</w:t>
            </w: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1.1</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Works schedule(s), including drawings, plans, requirements, established procedures, and material lists, are received, analysed and confirmed, if necessary, by site inspection.</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1.2</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Relevant requirements and established procedures for the work are communicated to all personnel and identified for all work sites.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1.3</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 xml:space="preserve">OHS policies and procedures related to requirements and established procedures for the installation of traction bonds </w:t>
            </w:r>
            <w:r w:rsidRPr="0077191E">
              <w:t>are obtained and confirmed for the purposes of the work to be performed and communicated.</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1.4</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Work is prioritised and sequenced following consultation with others for completion within acceptable timeframes and in accordance with established procedures.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1.5</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Hazards are identified; OHS risks assessed and control measures are prioritised, implemented and monitored including emergency exits kept clear according to established procedures.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1.6</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Relevant work permits are obtained to access and perform work according to requirements and/or established procedures.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1.7</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 xml:space="preserve">Resources including personnel, equipment, tools and personal protective equipment required for the job are obtained and confirmed </w:t>
            </w:r>
            <w:r w:rsidRPr="0077191E">
              <w:t>in working order.</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1.8</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Relevant personnel at worksite are confirmed current in CPR, First Aid, and other rescue procedures according to requirements.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1.9</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Liaison and communication issues with other authorised personnel, authorities, clients and land o</w:t>
            </w:r>
            <w:r w:rsidRPr="0077191E">
              <w:t>wners are resolved to carry out work where necessary.</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1.10</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Site is prepared according to the work schedule and to minimise risk and damage to property, commerce, and individuals in accordance with established procedures.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1.11</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Personnel participating in the work, including plant operators and contractors, are fully briefed and respective responsibilities confirmed where applicable in accordance with established procedures.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1.12</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Rail/road signs, barriers and warning devices ar</w:t>
            </w:r>
            <w:r w:rsidRPr="0077191E">
              <w:t>e positioned in accordance with requirements.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1.13</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Environmental constraints applicable to work.</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2</w:t>
            </w:r>
          </w:p>
        </w:tc>
        <w:tc>
          <w:tcPr>
            <w:tcW w:w="2206"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Carry out installation of traction bonds</w:t>
            </w: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2.1</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 xml:space="preserve">OHS and sustainable energy principles and practices to reduce the incidents of accidents and minimise waste </w:t>
            </w:r>
            <w:r w:rsidRPr="0077191E">
              <w:t>are monitored and followed in accordance with requirements and/or established procedures.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2.2</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 xml:space="preserve">Lifting, climbing, working aloft, and use of power tools/equipment, techniques and practices are safely followed and, currency according to </w:t>
            </w:r>
            <w:r w:rsidRPr="0077191E">
              <w:t>requirements confirmed.</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2.3</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Systems and circuits are isolated as required, proved safe to work on in accordance with the requirements/permits and established procedures.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2.4</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Essential knowledge and associated skills are applied in the safe installati</w:t>
            </w:r>
            <w:r w:rsidRPr="0077191E">
              <w:t>on of traction bonds and bonding cables to ensure completion in an agreed timeframe and, to quality standards with a minimum of waste according to requirements.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2.5</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Cable and surrounds, including rail and other surfaces, are prepared to enable joint and</w:t>
            </w:r>
            <w:r w:rsidRPr="0077191E">
              <w:t xml:space="preserve"> terminations to be carried out according to established procedures.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2.6</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Traction bonds are carried out according to requirements and established procedures.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2.7</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Hazard warnings and safety signs are recognised and hazards and assessed OHS risks are reported to the immediate authorised persons for directions according to established procedures.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2.8</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Unplanned events during the installation of traction bonds are un</w:t>
            </w:r>
            <w:r w:rsidRPr="0077191E">
              <w:t>dertaken within the scope of established procedures.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2.9</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Known solutions to a variety of problems are applied using acquired essential knowledge and associated skills.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2.10</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Ongoing checks of quality of the work are undertaken in accordance with instr</w:t>
            </w:r>
            <w:r w:rsidRPr="0077191E">
              <w:t>uctions and established procedures.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3</w:t>
            </w:r>
          </w:p>
        </w:tc>
        <w:tc>
          <w:tcPr>
            <w:tcW w:w="2206"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Complete the installation of traction bonds</w:t>
            </w: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3.1</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 xml:space="preserve">Work undertaken is checked and tested against design drawings and works schedule for conformance with requirements and anomalies reported in </w:t>
            </w:r>
            <w:r w:rsidRPr="0077191E">
              <w:t>accordance with established procedures.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3.2</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Work site is rehabilitated, cleaned up and made safe in accordance with established procedures.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3.3</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Tools, equipment and any surplus resources and materials are, where appropriate, cleaned, checked and retu</w:t>
            </w:r>
            <w:r w:rsidRPr="0077191E">
              <w:t>rned to storage in accordance with established procedures.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3.4</w:t>
            </w:r>
          </w:p>
        </w:tc>
        <w:tc>
          <w:tcPr>
            <w:tcW w:w="4941"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Relevant work permit(s) are signed off and, the system that has undergone the installation of a traction bond(s) is returned to service in accordance with requirements.</w:t>
            </w:r>
          </w:p>
        </w:tc>
      </w:tr>
      <w:tr w:rsidTr="00B241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3.5</w:t>
            </w:r>
          </w:p>
        </w:tc>
        <w:tc>
          <w:tcPr>
            <w:tcW w:w="4941"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t>Works completion records, reports, as installed /modified drawing and/or documentation and information are finalised and processed and appropriate personnel notified.</w:t>
            </w:r>
          </w:p>
        </w:tc>
      </w:tr>
    </w:tbl>
    <w:p w:rsidR="00000000" w:rsidRPr="0077191E" w:rsidP="0077191E">
      <w:pPr>
        <w:pStyle w:val="BodyText"/>
      </w:pPr>
    </w:p>
    <w:p w:rsidR="00000000" w:rsidRPr="0077191E" w:rsidP="0077191E">
      <w:pPr>
        <w:pStyle w:val="AllowPageBreak"/>
      </w:pPr>
    </w:p>
    <w:p w:rsidR="00000000" w:rsidRPr="0077191E" w:rsidP="0077191E">
      <w:pPr>
        <w:pStyle w:val="Heading1"/>
      </w:pPr>
      <w:bookmarkStart w:id="9" w:name="O_465257"/>
      <w:bookmarkEnd w:id="9"/>
      <w:r w:rsidRPr="0077191E">
        <w:t>Required Skills and Knowledge</w:t>
      </w:r>
    </w:p>
    <w:tbl>
      <w:tblPr>
        <w:tblW w:w="0" w:type="auto"/>
        <w:tblLayout w:type="fixed"/>
        <w:tblCellMar>
          <w:left w:w="62" w:type="dxa"/>
          <w:right w:w="62" w:type="dxa"/>
        </w:tblCellMar>
        <w:tblLook w:val="0000"/>
      </w:tblPr>
      <w:tblGrid>
        <w:gridCol w:w="8460"/>
      </w:tblGrid>
      <w:tr w:rsidTr="00B241A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REQUIRED SKILLS AND KNOWLEDGE</w:t>
            </w:r>
          </w:p>
        </w:tc>
      </w:tr>
      <w:tr w:rsidTr="00B241A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rPr>
                <w:rStyle w:val="SpecialBold"/>
              </w:rPr>
              <w:t>8)</w:t>
            </w:r>
            <w:r w:rsidRPr="0077191E">
              <w:t xml:space="preserve"> Essent</w:t>
            </w:r>
            <w:r w:rsidRPr="0077191E">
              <w:t>ial Knowledge and Associated Skills (EKAS): This describes the essential skills and knowledge and their level, required for this unit.</w:t>
            </w:r>
          </w:p>
          <w:p w:rsidR="00000000" w:rsidRPr="0077191E" w:rsidP="0077191E">
            <w:pPr>
              <w:pStyle w:val="BodyText"/>
            </w:pPr>
            <w:r w:rsidRPr="0077191E">
              <w:t>Evidence shall show that knowledge of installing traction bonds has been acquired.</w:t>
            </w:r>
          </w:p>
          <w:p w:rsidR="00000000" w:rsidRPr="0077191E" w:rsidP="0077191E">
            <w:pPr>
              <w:pStyle w:val="BodyText"/>
            </w:pPr>
            <w:r w:rsidRPr="0077191E">
              <w:t>All knowledge and skills detailed in t</w:t>
            </w:r>
            <w:r w:rsidRPr="0077191E">
              <w:t>his unit should be contextualised to current industry practices and technologies.</w:t>
            </w:r>
          </w:p>
          <w:p w:rsidR="00000000" w:rsidRPr="0077191E" w:rsidP="0077191E">
            <w:pPr>
              <w:pStyle w:val="BodyText"/>
            </w:pPr>
            <w:r w:rsidRPr="0077191E">
              <w:t>KS01-TRT23A</w:t>
            </w:r>
            <w:r w:rsidRPr="0077191E">
              <w:tab/>
              <w:t>Traction Bonding</w:t>
            </w:r>
          </w:p>
          <w:p w:rsidR="00000000" w:rsidRPr="0077191E" w:rsidP="0077191E">
            <w:pPr>
              <w:pStyle w:val="BodyText"/>
            </w:pPr>
            <w:r w:rsidRPr="0077191E">
              <w:t>Evidence shall show an understanding of the installation of permanent traction bonds to an extent indicated by the following aspects:</w:t>
            </w:r>
          </w:p>
          <w:p w:rsidR="00000000" w:rsidRPr="0077191E" w:rsidP="0077191E">
            <w:pPr>
              <w:pStyle w:val="BodyText"/>
            </w:pPr>
            <w:r w:rsidRPr="0077191E">
              <w:t>T1</w:t>
            </w:r>
            <w:r w:rsidRPr="0077191E">
              <w:tab/>
              <w:t>Traction</w:t>
            </w:r>
            <w:r w:rsidRPr="0077191E">
              <w:t xml:space="preserve"> bond and cables encompassing:</w:t>
            </w:r>
          </w:p>
          <w:p w:rsidR="00000000" w:rsidRPr="0077191E" w:rsidP="0077191E">
            <w:pPr>
              <w:pStyle w:val="ListBullet"/>
            </w:pPr>
            <w:r w:rsidRPr="0077191E">
              <w:t>Permanent bonding methods</w:t>
            </w:r>
          </w:p>
          <w:p w:rsidR="00000000" w:rsidRPr="0077191E" w:rsidP="0077191E">
            <w:pPr>
              <w:pStyle w:val="ListBullet"/>
            </w:pPr>
            <w:r w:rsidRPr="0077191E">
              <w:t>Applications for permanent bonding</w:t>
            </w:r>
          </w:p>
          <w:p w:rsidR="00000000" w:rsidRPr="0077191E" w:rsidP="0077191E">
            <w:pPr>
              <w:pStyle w:val="ListBullet"/>
            </w:pPr>
            <w:r w:rsidRPr="0077191E">
              <w:t>Components of permanent bonds</w:t>
            </w:r>
          </w:p>
          <w:p w:rsidR="00000000" w:rsidRPr="0077191E" w:rsidP="0077191E">
            <w:pPr>
              <w:pStyle w:val="ListBullet"/>
            </w:pPr>
            <w:r w:rsidRPr="0077191E">
              <w:t>Interface between traction and signalling circuits</w:t>
            </w:r>
          </w:p>
          <w:p w:rsidR="00000000" w:rsidRPr="0077191E" w:rsidP="0077191E">
            <w:pPr>
              <w:pStyle w:val="BodyText"/>
            </w:pPr>
            <w:r w:rsidRPr="0077191E">
              <w:t>T2</w:t>
            </w:r>
            <w:r w:rsidRPr="0077191E">
              <w:tab/>
            </w:r>
            <w:r w:rsidRPr="0077191E">
              <w:t>Safe working procedures/practices when carrying out permanent bonding encompassing:</w:t>
            </w:r>
          </w:p>
          <w:p w:rsidR="00000000" w:rsidRPr="0077191E" w:rsidP="0077191E">
            <w:pPr>
              <w:pStyle w:val="ListBullet"/>
            </w:pPr>
            <w:r w:rsidRPr="0077191E">
              <w:t>Personnel protective equipment (PPE)</w:t>
            </w:r>
          </w:p>
          <w:p w:rsidR="00000000" w:rsidRPr="0077191E" w:rsidP="0077191E">
            <w:pPr>
              <w:pStyle w:val="ListBullet"/>
            </w:pPr>
            <w:r w:rsidRPr="0077191E">
              <w:t>Electrical and visual testing on PPE</w:t>
            </w:r>
          </w:p>
          <w:p w:rsidR="00000000" w:rsidRPr="0077191E" w:rsidP="0077191E">
            <w:pPr>
              <w:pStyle w:val="BodyText"/>
            </w:pPr>
            <w:r w:rsidRPr="0077191E">
              <w:t>T3</w:t>
            </w:r>
            <w:r w:rsidRPr="0077191E">
              <w:tab/>
              <w:t>Installation of temporary traction bonds and cables encompassing:</w:t>
            </w:r>
          </w:p>
          <w:p w:rsidR="00000000" w:rsidRPr="0077191E" w:rsidP="0077191E">
            <w:pPr>
              <w:pStyle w:val="ListBullet"/>
            </w:pPr>
            <w:r w:rsidRPr="0077191E">
              <w:t xml:space="preserve">Types and purpose of tools </w:t>
            </w:r>
            <w:r w:rsidRPr="0077191E">
              <w:t>and equipment</w:t>
            </w:r>
          </w:p>
          <w:p w:rsidR="00000000" w:rsidRPr="0077191E" w:rsidP="0077191E">
            <w:pPr>
              <w:pStyle w:val="ListBullet"/>
            </w:pPr>
            <w:r w:rsidRPr="0077191E">
              <w:t>Installation and removal methods</w:t>
            </w:r>
          </w:p>
          <w:p w:rsidR="00000000" w:rsidRPr="0077191E" w:rsidP="0077191E">
            <w:pPr>
              <w:pStyle w:val="ListBullet"/>
            </w:pPr>
            <w:r w:rsidRPr="0077191E">
              <w:t>Testing for electrical integrity of bonds and cables</w:t>
            </w:r>
          </w:p>
          <w:p w:rsidR="00000000" w:rsidRPr="0077191E" w:rsidP="0077191E">
            <w:pPr>
              <w:pStyle w:val="BodyText"/>
            </w:pPr>
            <w:r w:rsidRPr="0077191E">
              <w:t>T4</w:t>
            </w:r>
            <w:r w:rsidRPr="0077191E">
              <w:tab/>
              <w:t>Installation of permanent traction bonds and cables encompassing:</w:t>
            </w:r>
          </w:p>
          <w:p w:rsidR="00000000" w:rsidRPr="0077191E" w:rsidP="0077191E">
            <w:pPr>
              <w:pStyle w:val="ListBullet"/>
            </w:pPr>
            <w:r w:rsidRPr="0077191E">
              <w:t>Types and purposes of tools and equipment</w:t>
            </w:r>
          </w:p>
          <w:p w:rsidR="00000000" w:rsidRPr="0077191E" w:rsidP="0077191E">
            <w:pPr>
              <w:pStyle w:val="ListBullet"/>
            </w:pPr>
            <w:r w:rsidRPr="0077191E">
              <w:t>Installation and removal methods</w:t>
            </w:r>
          </w:p>
          <w:p w:rsidR="00000000" w:rsidRPr="0077191E" w:rsidP="0077191E">
            <w:pPr>
              <w:pStyle w:val="ListBullet"/>
            </w:pPr>
            <w:r w:rsidRPr="0077191E">
              <w:t>Testing for</w:t>
            </w:r>
            <w:r w:rsidRPr="0077191E">
              <w:t xml:space="preserve"> electrical integrity of bond, cables and equipment</w:t>
            </w:r>
          </w:p>
        </w:tc>
      </w:tr>
    </w:tbl>
    <w:p w:rsidR="00000000" w:rsidRPr="0077191E" w:rsidP="0077191E">
      <w:pPr>
        <w:pStyle w:val="BodyText"/>
      </w:pPr>
    </w:p>
    <w:p w:rsidR="00000000" w:rsidRPr="0077191E" w:rsidP="0077191E">
      <w:pPr>
        <w:pStyle w:val="AllowPageBreak"/>
      </w:pPr>
    </w:p>
    <w:p w:rsidR="00000000" w:rsidRPr="0077191E" w:rsidP="0077191E">
      <w:pPr>
        <w:pStyle w:val="Heading1"/>
      </w:pPr>
      <w:bookmarkStart w:id="10" w:name="O_465252"/>
      <w:bookmarkEnd w:id="10"/>
      <w:r w:rsidRPr="0077191E">
        <w:t>Evidence Guide</w:t>
      </w:r>
    </w:p>
    <w:tbl>
      <w:tblPr>
        <w:tblW w:w="0" w:type="auto"/>
        <w:tblLayout w:type="fixed"/>
        <w:tblCellMar>
          <w:left w:w="62" w:type="dxa"/>
          <w:right w:w="62" w:type="dxa"/>
        </w:tblCellMar>
        <w:tblLook w:val="0000"/>
      </w:tblPr>
      <w:tblGrid>
        <w:gridCol w:w="8460"/>
      </w:tblGrid>
      <w:tr w:rsidTr="00B241A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EVIDENCE GUIDE</w:t>
            </w:r>
          </w:p>
        </w:tc>
      </w:tr>
      <w:tr w:rsidTr="00B241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rPr>
                <w:rStyle w:val="SpecialBold"/>
              </w:rPr>
              <w:t>9)</w:t>
            </w:r>
            <w:r w:rsidRPr="0077191E">
              <w:t xml:space="preserve"> This provides essential advice for assessment of the competency standard unit and must be read </w:t>
            </w:r>
            <w:r w:rsidRPr="0077191E">
              <w:t>in conjunction with the Performance Criteria and the range statement of the competency standard unit and the Training Package Assessment Guidelines.</w:t>
            </w:r>
          </w:p>
          <w:p w:rsidR="00000000" w:rsidRPr="0077191E" w:rsidP="0077191E">
            <w:pPr>
              <w:pStyle w:val="BodyText"/>
            </w:pPr>
            <w:r w:rsidRPr="0077191E">
              <w:t>The Evidence Guide forms an integral part of this Competency Standard Unit and shall be used in conjunction</w:t>
            </w:r>
            <w:r w:rsidRPr="0077191E">
              <w:t xml:space="preserve"> with all component parts of this unit and, performed in accordance with the Assessment Guidelines of this Training Package.</w:t>
            </w:r>
          </w:p>
        </w:tc>
      </w:tr>
    </w:tbl>
    <w:p w:rsidR="00000000" w:rsidRPr="0077191E" w:rsidP="0077191E">
      <w:pPr>
        <w:pStyle w:val="BodyText"/>
      </w:pPr>
    </w:p>
    <w:tbl>
      <w:tblPr>
        <w:tblW w:w="0" w:type="auto"/>
        <w:tblLayout w:type="fixed"/>
        <w:tblCellMar>
          <w:left w:w="62" w:type="dxa"/>
          <w:right w:w="62" w:type="dxa"/>
        </w:tblCellMar>
        <w:tblLook w:val="0000"/>
      </w:tblPr>
      <w:tblGrid>
        <w:gridCol w:w="1890"/>
        <w:gridCol w:w="6570"/>
      </w:tblGrid>
      <w:tr w:rsidTr="00B241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9.1)</w:t>
            </w:r>
          </w:p>
        </w:tc>
      </w:tr>
      <w:tr w:rsidTr="00B241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t>Longitudinal competency development approaches to assessment, such as Profiling, require data to be reliably gathered in a form that can be consistently interpreted over time. This approach is best utilised in Apprenticeship programs and reduces assessment</w:t>
            </w:r>
            <w:r w:rsidRPr="0077191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7191E">
              <w:t>tency in a realistically simulated work environment. It is recognised that, in some circumstances, assessment in part or full can occur outside the workplace. However, it must be in accord with Industry and, Regulatory policy in this regard.</w:t>
            </w:r>
          </w:p>
          <w:p w:rsidR="00000000" w:rsidRPr="0077191E" w:rsidP="0077191E">
            <w:pPr>
              <w:pStyle w:val="BodyText"/>
            </w:pPr>
            <w:r w:rsidRPr="0077191E">
              <w:t>Methods chosen</w:t>
            </w:r>
            <w:r w:rsidRPr="0077191E">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77191E">
              <w:t>equired and the critical nature of the competencies being assessed.</w:t>
            </w:r>
          </w:p>
          <w:p w:rsidR="00000000" w:rsidRPr="0077191E" w:rsidP="0077191E">
            <w:pPr>
              <w:pStyle w:val="BodyText"/>
            </w:pPr>
            <w:r w:rsidRPr="0077191E">
              <w:t>The critical safety nature of working with electricity, electrical equipment, gas or any other hazardous substance/material carries risk in deeming a person competent. Hence, sources of ev</w:t>
            </w:r>
            <w:r w:rsidRPr="0077191E">
              <w:t>idence need to be ‘rich’ in nature so as to minimise error in judgment.</w:t>
            </w:r>
          </w:p>
          <w:p w:rsidR="00000000" w:rsidRPr="0077191E" w:rsidP="0077191E">
            <w:pPr>
              <w:pStyle w:val="BodyText"/>
            </w:pPr>
            <w:r w:rsidRPr="0077191E">
              <w:t>Activities associated with normal every day work have a bearing on the decision as to how much and how detailed the data gathered will contribute to its ‘richness’. Some skills are mor</w:t>
            </w:r>
            <w:r w:rsidRPr="0077191E">
              <w:t>e critical to safety and operational requirements while the same skills may be more or less frequently practiced. These points are raised for the assessors to consider when choosing an assessment method and developing assessment instruments. Sample assessm</w:t>
            </w:r>
            <w:r w:rsidRPr="0077191E">
              <w:t>ent instruments are included for Assessors in the Assessment Guidelines of this Training Package.</w:t>
            </w:r>
          </w:p>
        </w:tc>
      </w:tr>
    </w:tbl>
    <w:p w:rsidR="00000000" w:rsidRPr="0077191E" w:rsidP="0077191E">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B241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9.2)</w:t>
            </w:r>
          </w:p>
        </w:tc>
      </w:tr>
      <w:tr w:rsidTr="00B241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t>Before the critical aspects of evidence are considered all prerequisi</w:t>
            </w:r>
            <w:r w:rsidRPr="0077191E">
              <w:t>tes shall be met.</w:t>
            </w:r>
          </w:p>
          <w:p w:rsidR="00000000" w:rsidRPr="0077191E" w:rsidP="0077191E">
            <w:pPr>
              <w:pStyle w:val="BodyText"/>
            </w:pPr>
            <w:r w:rsidRPr="0077191E">
              <w:t xml:space="preserve">Evidence for competence in this unit shall be considered holistically. Each element and associated Performance Criteria shall be demonstrated on at least two occasions in accordance with the “Assessment Guidelines – UET12”. Evidence </w:t>
            </w:r>
            <w:r w:rsidRPr="0077191E">
              <w:t>shall also comprise:</w:t>
            </w:r>
          </w:p>
          <w:p w:rsidR="00000000" w:rsidRPr="0077191E" w:rsidP="0077191E">
            <w:pPr>
              <w:pStyle w:val="ListBullet"/>
            </w:pPr>
            <w:r w:rsidRPr="0077191E">
              <w:t>A representative body of Performance Criteria demonstrated within the timeframes typically expected of the discipline, work function and industrial environment. In particular this shall incorporate evidence that shows a candidate is a</w:t>
            </w:r>
            <w:r w:rsidRPr="0077191E">
              <w:t>ble to:</w:t>
            </w:r>
          </w:p>
          <w:p w:rsidR="00000000" w:rsidRPr="0077191E" w:rsidP="0077191E">
            <w:pPr>
              <w:pStyle w:val="ListBullet2"/>
            </w:pPr>
            <w:r w:rsidRPr="0077191E">
              <w:t>Implement Occupational Health and Safety workplace procedures and practices including the use of risk control measures as specified in the Performance Criteria and range; and</w:t>
            </w:r>
          </w:p>
          <w:p w:rsidR="00000000" w:rsidRPr="0077191E" w:rsidP="0077191E">
            <w:pPr>
              <w:pStyle w:val="ListBullet2"/>
            </w:pPr>
            <w:r w:rsidRPr="0077191E">
              <w:t>Apply sustainable energy principles and practices as specified in the Pe</w:t>
            </w:r>
            <w:r w:rsidRPr="0077191E">
              <w:t>rformance Criteria and range; and</w:t>
            </w:r>
          </w:p>
          <w:p w:rsidR="00000000" w:rsidRPr="0077191E" w:rsidP="0077191E">
            <w:pPr>
              <w:pStyle w:val="ListBullet2"/>
            </w:pPr>
            <w:r w:rsidRPr="0077191E">
              <w:t>Demonstrate an understanding of the essential knowledge and associated skills as described in this unit to such an extent that the learner’s performance outcome is reported in accordance with the preferred approach; namely</w:t>
            </w:r>
            <w:r w:rsidRPr="0077191E">
              <w:t xml:space="preserve"> a percentile graded result, where required by the regulated environment; and</w:t>
            </w:r>
          </w:p>
          <w:p w:rsidR="00000000" w:rsidRPr="0077191E" w:rsidP="0077191E">
            <w:pPr>
              <w:pStyle w:val="ListBullet2"/>
            </w:pPr>
            <w:r w:rsidRPr="0077191E">
              <w:t>Demonstrate an appropriate level of employability skills; and</w:t>
            </w:r>
          </w:p>
          <w:p w:rsidR="00000000" w:rsidRPr="0077191E" w:rsidP="0077191E">
            <w:pPr>
              <w:pStyle w:val="ListBullet"/>
            </w:pPr>
            <w:r w:rsidRPr="0077191E">
              <w:t>Conduct work observing the relevant Anti Discrimination legislation, regulations, policies and workplace procedures</w:t>
            </w:r>
            <w:r w:rsidRPr="0077191E">
              <w:t>; and</w:t>
            </w:r>
          </w:p>
          <w:p w:rsidR="00000000" w:rsidP="0077191E">
            <w:pPr>
              <w:pStyle w:val="ListBullet2"/>
              <w:rPr>
                <w:lang w:val="en-NZ"/>
              </w:rPr>
            </w:pPr>
            <w:r w:rsidRPr="0077191E">
              <w:t>Demonstrated performance across a representative range of contexts from the prescribed items below:</w:t>
            </w:r>
          </w:p>
        </w:tc>
      </w:tr>
      <w:tr w:rsidTr="00B241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77191E">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91E">
            <w:pPr>
              <w:pStyle w:val="BodyText"/>
              <w:rPr>
                <w:lang w:val="en-NZ"/>
              </w:rPr>
            </w:pPr>
            <w:r w:rsidRPr="0077191E">
              <w:rPr>
                <w:rStyle w:val="SpecialBold"/>
              </w:rPr>
              <w:t>Range of tools/equipment/materials/procedures/workplaces/other variables</w:t>
            </w:r>
          </w:p>
        </w:tc>
      </w:tr>
      <w:tr w:rsidTr="00B241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77191E">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91E" w:rsidP="0077191E">
            <w:pPr>
              <w:pStyle w:val="BodyText"/>
            </w:pPr>
            <w:r w:rsidRPr="0077191E">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91E" w:rsidP="0077191E">
            <w:pPr>
              <w:pStyle w:val="BodyText"/>
            </w:pPr>
            <w:r w:rsidRPr="0077191E">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91E">
            <w:pPr>
              <w:pStyle w:val="BodyText"/>
              <w:rPr>
                <w:lang w:val="en-NZ"/>
              </w:rPr>
            </w:pPr>
            <w:r w:rsidRPr="0077191E">
              <w:rPr>
                <w:rStyle w:val="SpecialBold"/>
              </w:rPr>
              <w:t>Item List</w:t>
            </w:r>
          </w:p>
        </w:tc>
      </w:tr>
      <w:tr w:rsidTr="00B241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91E">
            <w:pPr>
              <w:pStyle w:val="BodyText"/>
              <w:rPr>
                <w:lang w:val="en-NZ"/>
              </w:rPr>
            </w:pPr>
            <w:r w:rsidRPr="0077191E">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91E">
            <w:pPr>
              <w:pStyle w:val="BodyText"/>
              <w:rPr>
                <w:lang w:val="en-NZ"/>
              </w:rPr>
            </w:pPr>
            <w:r w:rsidRPr="0077191E">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91E" w:rsidP="0077191E">
            <w:pPr>
              <w:pStyle w:val="BodyText"/>
            </w:pPr>
            <w:r w:rsidRPr="0077191E">
              <w:t>Covered or bare aluminium bonds</w:t>
            </w:r>
          </w:p>
          <w:p w:rsidR="00000000" w:rsidRPr="0077191E" w:rsidP="0077191E">
            <w:pPr>
              <w:pStyle w:val="BodyText"/>
            </w:pPr>
            <w:r w:rsidRPr="0077191E">
              <w:t>Copper bonds</w:t>
            </w:r>
          </w:p>
          <w:p w:rsidR="00000000" w:rsidRPr="0077191E" w:rsidP="0077191E">
            <w:pPr>
              <w:pStyle w:val="BodyText"/>
            </w:pPr>
            <w:r w:rsidRPr="0077191E">
              <w:t>Steel bonds</w:t>
            </w:r>
          </w:p>
          <w:p w:rsidR="00000000" w:rsidP="0077191E">
            <w:pPr>
              <w:pStyle w:val="BodyText"/>
              <w:rPr>
                <w:lang w:val="en-NZ"/>
              </w:rPr>
            </w:pPr>
            <w:r w:rsidRPr="0077191E">
              <w:t>Steel rail</w:t>
            </w:r>
          </w:p>
        </w:tc>
      </w:tr>
      <w:tr w:rsidTr="00B241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91E">
            <w:pPr>
              <w:pStyle w:val="BodyText"/>
              <w:rPr>
                <w:lang w:val="en-NZ"/>
              </w:rPr>
            </w:pPr>
            <w:r w:rsidRPr="0077191E">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91E">
            <w:pPr>
              <w:pStyle w:val="BodyText"/>
              <w:rPr>
                <w:lang w:val="en-NZ"/>
              </w:rPr>
            </w:pPr>
            <w:r w:rsidRPr="0077191E">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91E" w:rsidP="0077191E">
            <w:pPr>
              <w:pStyle w:val="BodyText"/>
            </w:pPr>
            <w:r w:rsidRPr="0077191E">
              <w:t>Bonding specific tools</w:t>
            </w:r>
          </w:p>
          <w:p w:rsidR="00000000" w:rsidRPr="0077191E" w:rsidP="0077191E">
            <w:pPr>
              <w:pStyle w:val="BodyText"/>
            </w:pPr>
            <w:r w:rsidRPr="0077191E">
              <w:t>Crimping devices</w:t>
            </w:r>
          </w:p>
          <w:p w:rsidR="00000000" w:rsidRPr="0077191E" w:rsidP="0077191E">
            <w:pPr>
              <w:pStyle w:val="BodyText"/>
            </w:pPr>
            <w:r w:rsidRPr="0077191E">
              <w:t>Thermal moulds</w:t>
            </w:r>
          </w:p>
          <w:p w:rsidR="00000000" w:rsidRPr="0077191E" w:rsidP="0077191E">
            <w:pPr>
              <w:pStyle w:val="BodyText"/>
            </w:pPr>
            <w:r w:rsidRPr="0077191E">
              <w:t>Rail drill</w:t>
            </w:r>
          </w:p>
          <w:p w:rsidR="00000000" w:rsidRPr="0077191E" w:rsidP="0077191E">
            <w:pPr>
              <w:pStyle w:val="BodyText"/>
            </w:pPr>
            <w:r w:rsidRPr="0077191E">
              <w:t>Bonding fittings</w:t>
            </w:r>
          </w:p>
          <w:p w:rsidR="00000000" w:rsidRPr="0077191E" w:rsidP="0077191E">
            <w:pPr>
              <w:pStyle w:val="BodyText"/>
            </w:pPr>
            <w:r w:rsidRPr="0077191E">
              <w:t>Explosive power tools</w:t>
            </w:r>
          </w:p>
          <w:p w:rsidR="00000000" w:rsidP="0077191E">
            <w:pPr>
              <w:pStyle w:val="BodyText"/>
              <w:rPr>
                <w:lang w:val="en-NZ"/>
              </w:rPr>
            </w:pPr>
            <w:r w:rsidRPr="0077191E">
              <w:t>Portable hand tools</w:t>
            </w:r>
          </w:p>
        </w:tc>
      </w:tr>
      <w:tr w:rsidTr="00B241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91E">
            <w:pPr>
              <w:pStyle w:val="BodyText"/>
              <w:rPr>
                <w:lang w:val="en-NZ"/>
              </w:rPr>
            </w:pPr>
            <w:r w:rsidRPr="0077191E">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91E">
            <w:pPr>
              <w:pStyle w:val="BodyText"/>
              <w:rPr>
                <w:lang w:val="en-NZ"/>
              </w:rPr>
            </w:pPr>
            <w:r w:rsidRPr="0077191E">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91E" w:rsidP="0077191E">
            <w:pPr>
              <w:pStyle w:val="BodyText"/>
            </w:pPr>
            <w:r w:rsidRPr="0077191E">
              <w:t xml:space="preserve">Dealing with an unplanned event by drawing on essential knowledge and associated skills to provide appropriate solutions incorporated in the </w:t>
            </w:r>
            <w:r w:rsidRPr="0077191E">
              <w:t>holistic assessment with the above listed items.</w:t>
            </w:r>
          </w:p>
        </w:tc>
      </w:tr>
    </w:tbl>
    <w:p w:rsidR="00000000" w:rsidRPr="0077191E" w:rsidP="0077191E">
      <w:pPr>
        <w:pStyle w:val="BodyText"/>
      </w:pPr>
    </w:p>
    <w:tbl>
      <w:tblPr>
        <w:tblW w:w="0" w:type="auto"/>
        <w:tblLayout w:type="fixed"/>
        <w:tblCellMar>
          <w:left w:w="62" w:type="dxa"/>
          <w:right w:w="62" w:type="dxa"/>
        </w:tblCellMar>
        <w:tblLook w:val="0000"/>
      </w:tblPr>
      <w:tblGrid>
        <w:gridCol w:w="1890"/>
        <w:gridCol w:w="6570"/>
      </w:tblGrid>
      <w:tr w:rsidTr="00B241A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9.3)</w:t>
            </w:r>
          </w:p>
        </w:tc>
      </w:tr>
      <w:tr w:rsidTr="00B241A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t xml:space="preserve">This unit should be assessed as it relates to normal work practice using procedures, information and resources typical of a workplace. This </w:t>
            </w:r>
            <w:r w:rsidRPr="0077191E">
              <w:t>should include:</w:t>
            </w:r>
          </w:p>
          <w:p w:rsidR="00000000" w:rsidRPr="0077191E" w:rsidP="0077191E">
            <w:pPr>
              <w:pStyle w:val="ListBullet"/>
            </w:pPr>
            <w:r w:rsidRPr="0077191E">
              <w:t>OHS policy and work procedures and instructions.</w:t>
            </w:r>
          </w:p>
          <w:p w:rsidR="00000000" w:rsidRPr="0077191E" w:rsidP="0077191E">
            <w:pPr>
              <w:pStyle w:val="ListBullet"/>
            </w:pPr>
            <w:r w:rsidRPr="0077191E">
              <w:t xml:space="preserve">Suitable work environment, facilities, equipment and materials to undertake actual installation of traction bonds. </w:t>
            </w:r>
          </w:p>
          <w:p w:rsidR="00000000" w:rsidRPr="0077191E" w:rsidP="0077191E">
            <w:pPr>
              <w:pStyle w:val="BodyText"/>
            </w:pPr>
            <w:r w:rsidRPr="0077191E">
              <w:t>In addition to the resources listed above, in context of and specific reso</w:t>
            </w:r>
            <w:r w:rsidRPr="0077191E">
              <w:t>urces for assessment, evidence should show demonstrated competency working below ground, in limited spaces, with different structural/construction types and method and in a variety of environments.</w:t>
            </w:r>
          </w:p>
        </w:tc>
      </w:tr>
    </w:tbl>
    <w:p w:rsidR="00000000" w:rsidRPr="0077191E" w:rsidP="0077191E">
      <w:pPr>
        <w:pStyle w:val="BodyText"/>
      </w:pPr>
    </w:p>
    <w:tbl>
      <w:tblPr>
        <w:tblW w:w="0" w:type="auto"/>
        <w:tblLayout w:type="fixed"/>
        <w:tblCellMar>
          <w:left w:w="62" w:type="dxa"/>
          <w:right w:w="62" w:type="dxa"/>
        </w:tblCellMar>
        <w:tblLook w:val="0000"/>
      </w:tblPr>
      <w:tblGrid>
        <w:gridCol w:w="1890"/>
        <w:gridCol w:w="6570"/>
      </w:tblGrid>
      <w:tr w:rsidTr="00B241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9.4)</w:t>
            </w:r>
          </w:p>
        </w:tc>
      </w:tr>
      <w:tr w:rsidTr="00B241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t>This Competency Standard Unit shall be assessed by methods given in Volume 1, Part 3 “Assessment Guidelines”.</w:t>
            </w:r>
          </w:p>
          <w:p w:rsidR="00000000" w:rsidRPr="0077191E" w:rsidP="0077191E">
            <w:pPr>
              <w:pStyle w:val="BodyText"/>
            </w:pPr>
            <w:r w:rsidRPr="0077191E">
              <w:t>Note:</w:t>
            </w:r>
          </w:p>
          <w:p w:rsidR="00000000" w:rsidRPr="0077191E" w:rsidP="0077191E">
            <w:pPr>
              <w:pStyle w:val="BodyText"/>
            </w:pPr>
            <w:r w:rsidRPr="0077191E">
              <w:t>Competent performance with inherent safe working practices is expected in the Transmission, Distribution and Rail Traction Industry. This re</w:t>
            </w:r>
            <w:r w:rsidRPr="0077191E">
              <w:t>quires that the specified essential knowledge and associated skills are assessed in a structured environment which is primarily intended for learning/assessment and incorporates all necessary equipment and facilities for learners to develop and demonstrate</w:t>
            </w:r>
            <w:r w:rsidRPr="0077191E">
              <w:t xml:space="preserve"> the essential knowledge and associated skills described in this unit.</w:t>
            </w:r>
          </w:p>
        </w:tc>
      </w:tr>
    </w:tbl>
    <w:p w:rsidR="00000000" w:rsidRPr="0077191E" w:rsidP="0077191E">
      <w:pPr>
        <w:pStyle w:val="BodyText"/>
      </w:pPr>
    </w:p>
    <w:tbl>
      <w:tblPr>
        <w:tblW w:w="0" w:type="auto"/>
        <w:tblLayout w:type="fixed"/>
        <w:tblCellMar>
          <w:left w:w="62" w:type="dxa"/>
          <w:right w:w="62" w:type="dxa"/>
        </w:tblCellMar>
        <w:tblLook w:val="0000"/>
      </w:tblPr>
      <w:tblGrid>
        <w:gridCol w:w="1890"/>
        <w:gridCol w:w="1530"/>
        <w:gridCol w:w="5040"/>
      </w:tblGrid>
      <w:tr w:rsidTr="00B241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9.5)</w:t>
            </w:r>
          </w:p>
        </w:tc>
      </w:tr>
      <w:tr w:rsidTr="00B241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For optimisation of training and assessment effort, competence in this unit may be assessed concurrently with the follo</w:t>
            </w:r>
            <w:r w:rsidRPr="0077191E">
              <w:t xml:space="preserve">wing units: </w:t>
            </w:r>
          </w:p>
        </w:tc>
      </w:tr>
      <w:tr w:rsidTr="00B241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UETTDRRT21A</w:t>
            </w:r>
          </w:p>
        </w:tc>
        <w:tc>
          <w:tcPr>
            <w:tcW w:w="504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Install traction overhead wiring systems</w:t>
            </w:r>
          </w:p>
        </w:tc>
      </w:tr>
      <w:tr w:rsidTr="00B241A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t>UETTDRRT27A</w:t>
            </w:r>
          </w:p>
        </w:tc>
        <w:tc>
          <w:tcPr>
            <w:tcW w:w="504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t>Install overhead traction components and equipment</w:t>
            </w:r>
          </w:p>
        </w:tc>
      </w:tr>
    </w:tbl>
    <w:p w:rsidR="00000000" w:rsidRPr="0077191E" w:rsidP="0077191E">
      <w:pPr>
        <w:pStyle w:val="BodyText"/>
      </w:pPr>
    </w:p>
    <w:p w:rsidR="00000000" w:rsidRPr="0077191E" w:rsidP="0077191E">
      <w:pPr>
        <w:pStyle w:val="AllowPageBreak"/>
      </w:pPr>
    </w:p>
    <w:p w:rsidR="00000000" w:rsidRPr="0077191E" w:rsidP="0077191E">
      <w:pPr>
        <w:pStyle w:val="Heading1"/>
      </w:pPr>
      <w:bookmarkStart w:id="11" w:name="O_465256"/>
      <w:bookmarkEnd w:id="11"/>
      <w:r w:rsidRPr="0077191E">
        <w:t>Range Statement</w:t>
      </w:r>
    </w:p>
    <w:tbl>
      <w:tblPr>
        <w:tblW w:w="0" w:type="auto"/>
        <w:tblLayout w:type="fixed"/>
        <w:tblCellMar>
          <w:left w:w="62" w:type="dxa"/>
          <w:right w:w="62" w:type="dxa"/>
        </w:tblCellMar>
        <w:tblLook w:val="0000"/>
      </w:tblPr>
      <w:tblGrid>
        <w:gridCol w:w="8460"/>
      </w:tblGrid>
      <w:tr w:rsidTr="00B241A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RANGE STATEMENT</w:t>
            </w:r>
          </w:p>
        </w:tc>
      </w:tr>
      <w:tr w:rsidTr="00B241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rPr>
                <w:rStyle w:val="SpecialBold"/>
              </w:rPr>
              <w:t>10)</w:t>
            </w:r>
            <w:r w:rsidRPr="0077191E">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77191E" w:rsidP="0077191E">
            <w:pPr>
              <w:pStyle w:val="BodyText"/>
            </w:pPr>
            <w:r w:rsidRPr="0077191E">
              <w:t>This Competency Standard</w:t>
            </w:r>
            <w:r w:rsidRPr="0077191E">
              <w:t xml:space="preserve"> Unit shall be demonstrated in relation to the installation of the temporary and permanent traction bonds and bonding cables according to work plans. </w:t>
            </w:r>
          </w:p>
          <w:p w:rsidR="00000000" w:rsidRPr="0077191E" w:rsidP="0077191E">
            <w:pPr>
              <w:pStyle w:val="BodyText"/>
            </w:pPr>
            <w:r w:rsidRPr="0077191E">
              <w:t>Installation includes but is not limited to fitting, setting up and putting in place structures, conducto</w:t>
            </w:r>
            <w:r w:rsidRPr="0077191E">
              <w:t xml:space="preserve">rs, bonding cables, equipment, spark gaps and connecting terminals and conducting tests for operational soundness. </w:t>
            </w:r>
          </w:p>
          <w:p w:rsidR="00000000" w:rsidRPr="0077191E" w:rsidP="0077191E">
            <w:pPr>
              <w:pStyle w:val="BodyText"/>
            </w:pPr>
            <w:r w:rsidRPr="0077191E">
              <w:t>Earthing and bonding systems may be permanent or temporary.</w:t>
            </w:r>
          </w:p>
          <w:p w:rsidR="00000000" w:rsidRPr="0077191E" w:rsidP="0077191E">
            <w:pPr>
              <w:pStyle w:val="BodyText"/>
            </w:pPr>
            <w:r w:rsidRPr="0077191E">
              <w:t xml:space="preserve">Types of conductors may include steel, </w:t>
            </w:r>
            <w:r w:rsidRPr="0077191E">
              <w:t>steel rail, copper, aluminium and steel, bare and sheathed cables, single core, stranded and flexible.</w:t>
            </w:r>
          </w:p>
          <w:p w:rsidR="00000000" w:rsidRPr="0077191E" w:rsidP="0077191E">
            <w:pPr>
              <w:pStyle w:val="BodyText"/>
            </w:pPr>
            <w:r w:rsidRPr="0077191E">
              <w:t>Cables may be surfaced mounted, buried and enclosed.</w:t>
            </w:r>
          </w:p>
          <w:p w:rsidR="00000000" w:rsidRPr="0077191E" w:rsidP="0077191E">
            <w:pPr>
              <w:pStyle w:val="BodyText"/>
            </w:pPr>
            <w:r w:rsidRPr="0077191E">
              <w:t>Permanent jointing and terminating materials include polymeric tape materials, polymeric heat shrink</w:t>
            </w:r>
            <w:r w:rsidRPr="0077191E">
              <w:t xml:space="preserve"> and covering materials, exothermic welds, crimped and bolted connections.</w:t>
            </w:r>
          </w:p>
          <w:p w:rsidR="00000000" w:rsidRPr="0077191E" w:rsidP="0077191E">
            <w:pPr>
              <w:pStyle w:val="BodyText"/>
            </w:pPr>
            <w:r w:rsidRPr="0077191E">
              <w:t>Temporary terminating components include screwed and clipped earth/rail/conductor clamps.</w:t>
            </w:r>
          </w:p>
          <w:p w:rsidR="00000000" w:rsidRPr="0077191E" w:rsidP="0077191E">
            <w:pPr>
              <w:pStyle w:val="BodyText"/>
            </w:pPr>
            <w:r w:rsidRPr="0077191E">
              <w:t xml:space="preserve">The following constants and variables included in the element/Performance Criteria in this </w:t>
            </w:r>
            <w:r w:rsidRPr="0077191E">
              <w:t>unit are fully described in the Definitions Section 1 of this volume and form an integral part of the Range Statement of this unit:</w:t>
            </w:r>
          </w:p>
          <w:p w:rsidR="00000000" w:rsidRPr="0077191E" w:rsidP="0077191E">
            <w:pPr>
              <w:pStyle w:val="ListBullet3"/>
            </w:pPr>
            <w:r w:rsidRPr="0077191E">
              <w:t>Appropriate and relevant persons (see Personnel)</w:t>
            </w:r>
          </w:p>
          <w:p w:rsidR="00000000" w:rsidRPr="0077191E" w:rsidP="0077191E">
            <w:pPr>
              <w:pStyle w:val="ListBullet3"/>
            </w:pPr>
            <w:r w:rsidRPr="0077191E">
              <w:t>Appropriate authorities</w:t>
            </w:r>
          </w:p>
          <w:p w:rsidR="00000000" w:rsidRPr="0077191E" w:rsidP="0077191E">
            <w:pPr>
              <w:pStyle w:val="ListBullet3"/>
            </w:pPr>
            <w:r w:rsidRPr="0077191E">
              <w:t>Appropriate work platform</w:t>
            </w:r>
          </w:p>
          <w:p w:rsidR="00000000" w:rsidRPr="0077191E" w:rsidP="0077191E">
            <w:pPr>
              <w:pStyle w:val="ListBullet3"/>
            </w:pPr>
            <w:r w:rsidRPr="0077191E">
              <w:t>Assessing risk</w:t>
            </w:r>
          </w:p>
          <w:p w:rsidR="00000000" w:rsidRPr="0077191E" w:rsidP="0077191E">
            <w:pPr>
              <w:pStyle w:val="ListBullet3"/>
            </w:pPr>
            <w:r w:rsidRPr="0077191E">
              <w:t>Assessmen</w:t>
            </w:r>
            <w:r w:rsidRPr="0077191E">
              <w:t>t</w:t>
            </w:r>
          </w:p>
          <w:p w:rsidR="00000000" w:rsidRPr="0077191E" w:rsidP="0077191E">
            <w:pPr>
              <w:pStyle w:val="ListBullet3"/>
            </w:pPr>
            <w:r w:rsidRPr="0077191E">
              <w:t>Authorisation</w:t>
            </w:r>
          </w:p>
          <w:p w:rsidR="00000000" w:rsidRPr="0077191E" w:rsidP="0077191E">
            <w:pPr>
              <w:pStyle w:val="ListBullet3"/>
            </w:pPr>
            <w:r w:rsidRPr="0077191E">
              <w:t>Confined space</w:t>
            </w:r>
          </w:p>
          <w:p w:rsidR="00000000" w:rsidRPr="0077191E" w:rsidP="0077191E">
            <w:pPr>
              <w:pStyle w:val="ListBullet3"/>
            </w:pPr>
            <w:r w:rsidRPr="0077191E">
              <w:t>Diagnostic, testing and restoration</w:t>
            </w:r>
          </w:p>
          <w:p w:rsidR="00000000" w:rsidRPr="0077191E" w:rsidP="0077191E">
            <w:pPr>
              <w:pStyle w:val="ListBullet3"/>
            </w:pPr>
            <w:r w:rsidRPr="0077191E">
              <w:t>Documenting detail of work events, record keeping and or storage of information</w:t>
            </w:r>
          </w:p>
          <w:p w:rsidR="00000000" w:rsidRPr="0077191E" w:rsidP="0077191E">
            <w:pPr>
              <w:pStyle w:val="ListBullet3"/>
            </w:pPr>
            <w:r w:rsidRPr="0077191E">
              <w:t>Drawings and specifications</w:t>
            </w:r>
          </w:p>
          <w:p w:rsidR="00000000" w:rsidRPr="0077191E" w:rsidP="0077191E">
            <w:pPr>
              <w:pStyle w:val="ListBullet3"/>
            </w:pPr>
            <w:r w:rsidRPr="0077191E">
              <w:t>Emergency</w:t>
            </w:r>
          </w:p>
          <w:p w:rsidR="00000000" w:rsidRPr="0077191E" w:rsidP="0077191E">
            <w:pPr>
              <w:pStyle w:val="ListBullet3"/>
            </w:pPr>
            <w:r w:rsidRPr="0077191E">
              <w:t>Environmental and sustainable energy procedures</w:t>
            </w:r>
          </w:p>
          <w:p w:rsidR="00000000" w:rsidRPr="0077191E" w:rsidP="0077191E">
            <w:pPr>
              <w:pStyle w:val="ListBullet3"/>
            </w:pPr>
            <w:r w:rsidRPr="0077191E">
              <w:t>Environmental legislati</w:t>
            </w:r>
            <w:r w:rsidRPr="0077191E">
              <w:t>on</w:t>
            </w:r>
          </w:p>
          <w:p w:rsidR="00000000" w:rsidRPr="0077191E" w:rsidP="0077191E">
            <w:pPr>
              <w:pStyle w:val="ListBullet3"/>
            </w:pPr>
            <w:r w:rsidRPr="0077191E">
              <w:t>Environmental management documentation</w:t>
            </w:r>
          </w:p>
          <w:p w:rsidR="00000000" w:rsidRPr="0077191E" w:rsidP="0077191E">
            <w:pPr>
              <w:pStyle w:val="ListBullet3"/>
            </w:pPr>
            <w:r w:rsidRPr="0077191E">
              <w:t>Established procedures</w:t>
            </w:r>
          </w:p>
          <w:p w:rsidR="00000000" w:rsidRPr="0077191E" w:rsidP="0077191E">
            <w:pPr>
              <w:pStyle w:val="ListBullet3"/>
            </w:pPr>
            <w:r w:rsidRPr="0077191E">
              <w:t>Fall prevention</w:t>
            </w:r>
          </w:p>
          <w:p w:rsidR="00000000" w:rsidRPr="0077191E" w:rsidP="0077191E">
            <w:pPr>
              <w:pStyle w:val="ListBullet3"/>
            </w:pPr>
            <w:r w:rsidRPr="0077191E">
              <w:t>Hazards</w:t>
            </w:r>
          </w:p>
          <w:p w:rsidR="00000000" w:rsidRPr="0077191E" w:rsidP="0077191E">
            <w:pPr>
              <w:pStyle w:val="ListBullet3"/>
            </w:pPr>
            <w:r w:rsidRPr="0077191E">
              <w:t>Identifying hazards</w:t>
            </w:r>
          </w:p>
          <w:p w:rsidR="00000000" w:rsidRPr="0077191E" w:rsidP="0077191E">
            <w:pPr>
              <w:pStyle w:val="ListBullet3"/>
            </w:pPr>
            <w:r w:rsidRPr="0077191E">
              <w:t>Inspect</w:t>
            </w:r>
          </w:p>
          <w:p w:rsidR="00000000" w:rsidRPr="0077191E" w:rsidP="0077191E">
            <w:pPr>
              <w:pStyle w:val="ListBullet3"/>
            </w:pPr>
            <w:r w:rsidRPr="0077191E">
              <w:t>Legislation</w:t>
            </w:r>
          </w:p>
          <w:p w:rsidR="00000000" w:rsidRPr="0077191E" w:rsidP="0077191E">
            <w:pPr>
              <w:pStyle w:val="ListBullet3"/>
            </w:pPr>
            <w:r w:rsidRPr="0077191E">
              <w:t>MSDS</w:t>
            </w:r>
          </w:p>
          <w:p w:rsidR="00000000" w:rsidRPr="0077191E" w:rsidP="0077191E">
            <w:pPr>
              <w:pStyle w:val="ListBullet3"/>
            </w:pPr>
            <w:r w:rsidRPr="0077191E">
              <w:t>Notification</w:t>
            </w:r>
          </w:p>
          <w:p w:rsidR="00000000" w:rsidRPr="0077191E" w:rsidP="0077191E">
            <w:pPr>
              <w:pStyle w:val="ListBullet3"/>
            </w:pPr>
            <w:r w:rsidRPr="0077191E">
              <w:t>OHS practices</w:t>
            </w:r>
          </w:p>
          <w:p w:rsidR="00000000" w:rsidRPr="0077191E" w:rsidP="0077191E">
            <w:pPr>
              <w:pStyle w:val="ListBullet3"/>
            </w:pPr>
            <w:r w:rsidRPr="0077191E">
              <w:t>OHS issues</w:t>
            </w:r>
          </w:p>
          <w:p w:rsidR="00000000" w:rsidRPr="0077191E" w:rsidP="0077191E">
            <w:pPr>
              <w:pStyle w:val="ListBullet3"/>
            </w:pPr>
            <w:r w:rsidRPr="0077191E">
              <w:t>Permits and/or permits to work</w:t>
            </w:r>
          </w:p>
          <w:p w:rsidR="00000000" w:rsidRPr="0077191E" w:rsidP="0077191E">
            <w:pPr>
              <w:pStyle w:val="ListBullet3"/>
            </w:pPr>
            <w:r w:rsidRPr="0077191E">
              <w:t>Personnel</w:t>
            </w:r>
          </w:p>
          <w:p w:rsidR="00000000" w:rsidRPr="0077191E" w:rsidP="0077191E">
            <w:pPr>
              <w:pStyle w:val="ListBullet3"/>
            </w:pPr>
            <w:r w:rsidRPr="0077191E">
              <w:t>Quality assurance systems</w:t>
            </w:r>
          </w:p>
          <w:p w:rsidR="00000000" w:rsidRPr="0077191E" w:rsidP="0077191E">
            <w:pPr>
              <w:pStyle w:val="ListBullet3"/>
            </w:pPr>
            <w:r w:rsidRPr="0077191E">
              <w:t>Requirements</w:t>
            </w:r>
          </w:p>
          <w:p w:rsidR="00000000" w:rsidRPr="0077191E" w:rsidP="0077191E">
            <w:pPr>
              <w:pStyle w:val="ListBullet3"/>
            </w:pPr>
            <w:r w:rsidRPr="0077191E">
              <w:t>Testing procedures</w:t>
            </w:r>
          </w:p>
          <w:p w:rsidR="00000000" w:rsidRPr="0077191E" w:rsidP="0077191E">
            <w:pPr>
              <w:pStyle w:val="ListBullet3"/>
            </w:pPr>
            <w:r w:rsidRPr="0077191E">
              <w:t>Work clearance systems</w:t>
            </w:r>
          </w:p>
        </w:tc>
      </w:tr>
    </w:tbl>
    <w:p w:rsidR="00000000" w:rsidRPr="0077191E" w:rsidP="0077191E">
      <w:pPr>
        <w:pStyle w:val="BodyText"/>
      </w:pPr>
    </w:p>
    <w:p w:rsidR="00000000" w:rsidRPr="0077191E" w:rsidP="0077191E">
      <w:pPr>
        <w:pStyle w:val="AllowPageBreak"/>
      </w:pPr>
    </w:p>
    <w:p w:rsidR="00000000" w:rsidRPr="0077191E" w:rsidP="0077191E">
      <w:pPr>
        <w:pStyle w:val="Heading1"/>
      </w:pPr>
      <w:bookmarkStart w:id="12" w:name="O_465259"/>
      <w:bookmarkEnd w:id="12"/>
      <w:r w:rsidRPr="0077191E">
        <w:t>Unit Sector(s)</w:t>
      </w:r>
    </w:p>
    <w:p w:rsidR="00000000" w:rsidRPr="0077191E" w:rsidP="0077191E">
      <w:pPr>
        <w:pStyle w:val="BodyText"/>
      </w:pPr>
      <w:r w:rsidRPr="0077191E">
        <w:t>Not applicable.</w:t>
      </w:r>
    </w:p>
    <w:p w:rsidR="00000000" w:rsidRPr="0077191E" w:rsidP="0077191E">
      <w:pPr>
        <w:pStyle w:val="AllowPageBreak"/>
      </w:pPr>
    </w:p>
    <w:p w:rsidR="00000000" w:rsidRPr="0077191E" w:rsidP="0077191E">
      <w:pPr>
        <w:pStyle w:val="Heading1"/>
      </w:pPr>
      <w:bookmarkStart w:id="13" w:name="O_465248"/>
      <w:bookmarkEnd w:id="13"/>
      <w:r w:rsidRPr="0077191E">
        <w:t>Competency Field</w:t>
      </w:r>
    </w:p>
    <w:tbl>
      <w:tblPr>
        <w:tblW w:w="0" w:type="auto"/>
        <w:tblLayout w:type="fixed"/>
        <w:tblCellMar>
          <w:left w:w="62" w:type="dxa"/>
          <w:right w:w="62" w:type="dxa"/>
        </w:tblCellMar>
        <w:tblLook w:val="0000"/>
      </w:tblPr>
      <w:tblGrid>
        <w:gridCol w:w="2700"/>
        <w:gridCol w:w="5760"/>
      </w:tblGrid>
      <w:tr w:rsidTr="00B241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7191E">
            <w:pPr>
              <w:pStyle w:val="BodyText"/>
              <w:rPr>
                <w:lang w:val="en-NZ"/>
              </w:rPr>
            </w:pPr>
            <w:r w:rsidRPr="0077191E">
              <w:rPr>
                <w:rStyle w:val="SpecialBold"/>
              </w:rPr>
              <w:t xml:space="preserve">11) </w:t>
            </w:r>
          </w:p>
        </w:tc>
      </w:tr>
      <w:tr w:rsidTr="00B241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191E" w:rsidP="0077191E">
            <w:pPr>
              <w:pStyle w:val="BodyText"/>
            </w:pPr>
            <w:r w:rsidRPr="0077191E">
              <w:t>Rail Traction Units</w:t>
            </w:r>
          </w:p>
        </w:tc>
      </w:tr>
    </w:tbl>
    <w:p w:rsidR="00000000" w:rsidRPr="0077191E" w:rsidP="0077191E">
      <w:pPr>
        <w:pStyle w:val="BodyText"/>
      </w:pPr>
    </w:p>
    <w:p w:rsidR="00000000" w:rsidRPr="0077191E" w:rsidP="0077191E"/>
    <w:sectPr w:rsidSect="007719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9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41A0" w:rsidP="00B241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9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1A0" w:rsidP="007719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241A0" w:rsidP="007719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241A0" w:rsidP="007719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9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41A0" w:rsidP="00B241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9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1A0" w:rsidP="0077191E">
    <w:pPr>
      <w:pStyle w:val="Header"/>
      <w:framePr w:wrap="around"/>
    </w:pPr>
    <w:r>
      <w:fldChar w:fldCharType="begin"/>
    </w:r>
    <w:r>
      <w:instrText xml:space="preserve"> TITLE   \* MERGEFORMAT </w:instrText>
    </w:r>
    <w:r>
      <w:fldChar w:fldCharType="separate"/>
    </w:r>
    <w:r>
      <w:t>UETTDRRT23A Install rail traction bonds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41A0" w:rsidP="007719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96A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B87B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BC06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9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191E"/>
    <w:pPr>
      <w:spacing w:before="360" w:after="60"/>
      <w:outlineLvl w:val="0"/>
    </w:pPr>
    <w:rPr>
      <w:sz w:val="32"/>
    </w:rPr>
  </w:style>
  <w:style w:type="paragraph" w:styleId="Heading2">
    <w:name w:val="heading 2"/>
    <w:basedOn w:val="HeadingBase"/>
    <w:next w:val="BodyText"/>
    <w:link w:val="Heading2Char"/>
    <w:qFormat/>
    <w:rsid w:val="0077191E"/>
    <w:pPr>
      <w:keepLines/>
      <w:spacing w:before="240" w:after="120"/>
      <w:outlineLvl w:val="1"/>
    </w:pPr>
    <w:rPr>
      <w:sz w:val="28"/>
      <w:szCs w:val="40"/>
    </w:rPr>
  </w:style>
  <w:style w:type="paragraph" w:styleId="Heading3">
    <w:name w:val="heading 3"/>
    <w:basedOn w:val="HeadingBase"/>
    <w:next w:val="BodyText"/>
    <w:link w:val="Heading3Char"/>
    <w:qFormat/>
    <w:rsid w:val="0077191E"/>
    <w:pPr>
      <w:spacing w:before="180" w:after="120"/>
      <w:outlineLvl w:val="2"/>
    </w:pPr>
    <w:rPr>
      <w:spacing w:val="-10"/>
      <w:kern w:val="32"/>
    </w:rPr>
  </w:style>
  <w:style w:type="paragraph" w:styleId="Heading4">
    <w:name w:val="heading 4"/>
    <w:basedOn w:val="HeadingBase"/>
    <w:next w:val="BodyText"/>
    <w:link w:val="Heading4Char"/>
    <w:qFormat/>
    <w:rsid w:val="0077191E"/>
    <w:pPr>
      <w:spacing w:before="160" w:after="120"/>
      <w:outlineLvl w:val="3"/>
    </w:pPr>
    <w:rPr>
      <w:sz w:val="22"/>
    </w:rPr>
  </w:style>
  <w:style w:type="paragraph" w:styleId="Heading5">
    <w:name w:val="heading 5"/>
    <w:basedOn w:val="HeadingBase"/>
    <w:next w:val="Normal"/>
    <w:link w:val="Heading5Char"/>
    <w:qFormat/>
    <w:rsid w:val="0077191E"/>
    <w:pPr>
      <w:spacing w:before="80"/>
      <w:outlineLvl w:val="4"/>
    </w:pPr>
    <w:rPr>
      <w:color w:val="918585"/>
      <w:sz w:val="20"/>
    </w:rPr>
  </w:style>
  <w:style w:type="paragraph" w:styleId="Heading6">
    <w:name w:val="heading 6"/>
    <w:basedOn w:val="HeadingBase"/>
    <w:next w:val="Normal"/>
    <w:link w:val="Heading6Char"/>
    <w:qFormat/>
    <w:rsid w:val="0077191E"/>
    <w:pPr>
      <w:spacing w:before="60"/>
      <w:outlineLvl w:val="5"/>
    </w:pPr>
    <w:rPr>
      <w:color w:val="918585"/>
      <w:sz w:val="20"/>
    </w:rPr>
  </w:style>
  <w:style w:type="paragraph" w:styleId="Heading7">
    <w:name w:val="heading 7"/>
    <w:basedOn w:val="Normal"/>
    <w:next w:val="Normal"/>
    <w:link w:val="Heading7Char"/>
    <w:qFormat/>
    <w:rsid w:val="0077191E"/>
    <w:pPr>
      <w:ind w:left="720"/>
      <w:outlineLvl w:val="6"/>
    </w:pPr>
    <w:rPr>
      <w:i/>
    </w:rPr>
  </w:style>
  <w:style w:type="paragraph" w:styleId="Heading8">
    <w:name w:val="heading 8"/>
    <w:basedOn w:val="Normal"/>
    <w:next w:val="Normal"/>
    <w:link w:val="Heading8Char"/>
    <w:qFormat/>
    <w:rsid w:val="0077191E"/>
    <w:pPr>
      <w:ind w:left="720"/>
      <w:outlineLvl w:val="7"/>
    </w:pPr>
    <w:rPr>
      <w:i/>
    </w:rPr>
  </w:style>
  <w:style w:type="paragraph" w:styleId="Heading9">
    <w:name w:val="heading 9"/>
    <w:basedOn w:val="Normal"/>
    <w:next w:val="Normal"/>
    <w:link w:val="Heading9Char"/>
    <w:qFormat/>
    <w:rsid w:val="0077191E"/>
    <w:pPr>
      <w:ind w:left="720"/>
      <w:outlineLvl w:val="8"/>
    </w:pPr>
    <w:rPr>
      <w:i/>
    </w:rPr>
  </w:style>
  <w:style w:type="character" w:default="1" w:styleId="DefaultParagraphFont">
    <w:name w:val="Default Paragraph Font"/>
    <w:uiPriority w:val="1"/>
    <w:unhideWhenUsed/>
    <w:rsid w:val="007719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91E"/>
  </w:style>
  <w:style w:type="character" w:customStyle="1" w:styleId="Heading1Char">
    <w:name w:val="Heading 1 Char"/>
    <w:basedOn w:val="DefaultParagraphFont"/>
    <w:link w:val="Heading1"/>
    <w:rsid w:val="0077191E"/>
    <w:rPr>
      <w:rFonts w:ascii="Times New Roman" w:eastAsia="Times New Roman" w:hAnsi="Times New Roman" w:cs="Times New Roman"/>
      <w:b/>
      <w:sz w:val="32"/>
      <w:szCs w:val="20"/>
      <w:lang w:eastAsia="en-US"/>
    </w:rPr>
  </w:style>
  <w:style w:type="paragraph" w:styleId="BodyText">
    <w:name w:val="Body Text"/>
    <w:basedOn w:val="Normal"/>
    <w:link w:val="BodyTextChar"/>
    <w:rsid w:val="007719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191E"/>
    <w:rPr>
      <w:rFonts w:ascii="Times New Roman" w:eastAsia="Times New Roman" w:hAnsi="Times New Roman" w:cs="Times New Roman"/>
      <w:sz w:val="24"/>
      <w:lang w:val="en-US" w:eastAsia="en-US"/>
    </w:rPr>
  </w:style>
  <w:style w:type="paragraph" w:styleId="Footer">
    <w:name w:val="footer"/>
    <w:basedOn w:val="Normal"/>
    <w:link w:val="FooterChar"/>
    <w:rsid w:val="007719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91E"/>
    <w:rPr>
      <w:rFonts w:ascii="Times New Roman" w:eastAsia="Times New Roman" w:hAnsi="Times New Roman" w:cs="Times New Roman"/>
      <w:sz w:val="16"/>
      <w:lang w:val="en-US" w:eastAsia="en-US"/>
    </w:rPr>
  </w:style>
  <w:style w:type="paragraph" w:styleId="ListBullet">
    <w:name w:val="List Bullet"/>
    <w:basedOn w:val="List"/>
    <w:rsid w:val="0077191E"/>
    <w:pPr>
      <w:numPr>
        <w:numId w:val="14"/>
      </w:numPr>
      <w:tabs>
        <w:tab w:val="clear" w:pos="340"/>
      </w:tabs>
      <w:spacing w:before="40" w:after="40"/>
    </w:pPr>
  </w:style>
  <w:style w:type="character" w:customStyle="1" w:styleId="SpecialBold">
    <w:name w:val="Special Bold"/>
    <w:basedOn w:val="DefaultParagraphFont"/>
    <w:rsid w:val="0077191E"/>
    <w:rPr>
      <w:b/>
      <w:spacing w:val="0"/>
    </w:rPr>
  </w:style>
  <w:style w:type="paragraph" w:styleId="ListBullet2">
    <w:name w:val="List Bullet 2"/>
    <w:basedOn w:val="List2"/>
    <w:rsid w:val="0077191E"/>
    <w:pPr>
      <w:numPr>
        <w:numId w:val="15"/>
      </w:numPr>
      <w:tabs>
        <w:tab w:val="clear" w:pos="680"/>
      </w:tabs>
    </w:pPr>
  </w:style>
  <w:style w:type="paragraph" w:styleId="Header">
    <w:name w:val="header"/>
    <w:basedOn w:val="Normal"/>
    <w:link w:val="HeaderChar"/>
    <w:rsid w:val="007719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9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191E"/>
    <w:pPr>
      <w:spacing w:before="240" w:after="120"/>
      <w:outlineLvl w:val="0"/>
    </w:pPr>
    <w:rPr>
      <w:rFonts w:ascii="Times New Roman" w:hAnsi="Times New Roman"/>
      <w:b/>
      <w:sz w:val="28"/>
    </w:rPr>
  </w:style>
  <w:style w:type="paragraph" w:customStyle="1" w:styleId="AllowPageBreak">
    <w:name w:val="AllowPageBreak"/>
    <w:rsid w:val="007719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7191E"/>
    <w:pPr>
      <w:numPr>
        <w:numId w:val="3"/>
      </w:numPr>
      <w:tabs>
        <w:tab w:val="clear" w:pos="1021"/>
      </w:tabs>
      <w:ind w:left="1037" w:hanging="357"/>
    </w:pPr>
  </w:style>
  <w:style w:type="character" w:customStyle="1" w:styleId="Heading2Char">
    <w:name w:val="Heading 2 Char"/>
    <w:basedOn w:val="DefaultParagraphFont"/>
    <w:link w:val="Heading2"/>
    <w:rsid w:val="007719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9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9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9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9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9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19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191E"/>
    <w:rPr>
      <w:rFonts w:ascii="Courier New" w:eastAsia="Times New Roman" w:hAnsi="Courier New" w:cs="Times New Roman"/>
      <w:i/>
      <w:szCs w:val="20"/>
      <w:lang w:val="en-US" w:eastAsia="en-US"/>
    </w:rPr>
  </w:style>
  <w:style w:type="paragraph" w:customStyle="1" w:styleId="HeadingBase">
    <w:name w:val="Heading Base"/>
    <w:rsid w:val="007719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91E"/>
    <w:pPr>
      <w:tabs>
        <w:tab w:val="right" w:leader="dot" w:pos="9072"/>
      </w:tabs>
      <w:ind w:left="567"/>
    </w:pPr>
    <w:rPr>
      <w:szCs w:val="22"/>
    </w:rPr>
  </w:style>
  <w:style w:type="paragraph" w:customStyle="1" w:styleId="TOCBase">
    <w:name w:val="TOC Base"/>
    <w:rsid w:val="007719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91E"/>
    <w:pPr>
      <w:tabs>
        <w:tab w:val="right" w:leader="dot" w:pos="9072"/>
      </w:tabs>
      <w:spacing w:before="40" w:after="40"/>
      <w:ind w:left="284"/>
    </w:pPr>
    <w:rPr>
      <w:rFonts w:ascii="Times New Roman" w:hAnsi="Times New Roman"/>
    </w:rPr>
  </w:style>
  <w:style w:type="paragraph" w:styleId="TOC1">
    <w:name w:val="toc 1"/>
    <w:basedOn w:val="TOCBase"/>
    <w:next w:val="Normal"/>
    <w:rsid w:val="007719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191E"/>
    <w:pPr>
      <w:spacing w:before="5040"/>
      <w:jc w:val="center"/>
    </w:pPr>
    <w:rPr>
      <w:sz w:val="48"/>
      <w:szCs w:val="72"/>
      <w:lang w:val="en-US"/>
    </w:rPr>
  </w:style>
  <w:style w:type="character" w:customStyle="1" w:styleId="TitleChar">
    <w:name w:val="Title Char"/>
    <w:basedOn w:val="DefaultParagraphFont"/>
    <w:link w:val="Title"/>
    <w:rsid w:val="007719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91E"/>
    <w:pPr>
      <w:tabs>
        <w:tab w:val="left" w:pos="3600"/>
        <w:tab w:val="left" w:pos="3958"/>
      </w:tabs>
    </w:pPr>
  </w:style>
  <w:style w:type="paragraph" w:styleId="List">
    <w:name w:val="List"/>
    <w:basedOn w:val="BodyText"/>
    <w:next w:val="BodyText"/>
    <w:rsid w:val="0077191E"/>
    <w:pPr>
      <w:tabs>
        <w:tab w:val="left" w:pos="340"/>
      </w:tabs>
      <w:spacing w:before="60" w:after="60"/>
      <w:ind w:left="340" w:hanging="340"/>
    </w:pPr>
  </w:style>
  <w:style w:type="paragraph" w:customStyle="1" w:styleId="Note">
    <w:name w:val="Note"/>
    <w:basedOn w:val="BodyText"/>
    <w:rsid w:val="007719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91E"/>
    <w:pPr>
      <w:framePr w:wrap="auto" w:hAnchor="text" w:y="6049"/>
    </w:pPr>
    <w:rPr>
      <w:color w:val="000000"/>
      <w:sz w:val="40"/>
    </w:rPr>
  </w:style>
  <w:style w:type="paragraph" w:customStyle="1" w:styleId="TOCTitle">
    <w:name w:val="TOCTitle"/>
    <w:basedOn w:val="Heading1"/>
    <w:rsid w:val="0077191E"/>
    <w:pPr>
      <w:spacing w:after="240"/>
      <w:jc w:val="center"/>
      <w:outlineLvl w:val="9"/>
    </w:pPr>
    <w:rPr>
      <w:caps/>
    </w:rPr>
  </w:style>
  <w:style w:type="paragraph" w:customStyle="1" w:styleId="Version">
    <w:name w:val="Version"/>
    <w:rsid w:val="007719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91E"/>
    <w:pPr>
      <w:keepNext w:val="0"/>
      <w:tabs>
        <w:tab w:val="right" w:pos="4176"/>
      </w:tabs>
      <w:ind w:left="198" w:hanging="198"/>
    </w:pPr>
    <w:rPr>
      <w:rFonts w:ascii="Garamond" w:hAnsi="Garamond"/>
    </w:rPr>
  </w:style>
  <w:style w:type="paragraph" w:styleId="IndexHeading">
    <w:name w:val="index heading"/>
    <w:basedOn w:val="Normal"/>
    <w:next w:val="Index1"/>
    <w:semiHidden/>
    <w:rsid w:val="0077191E"/>
    <w:pPr>
      <w:spacing w:before="120" w:after="120"/>
    </w:pPr>
    <w:rPr>
      <w:rFonts w:ascii="Arial" w:hAnsi="Arial"/>
      <w:b/>
      <w:color w:val="918585"/>
      <w:sz w:val="24"/>
    </w:rPr>
  </w:style>
  <w:style w:type="paragraph" w:customStyle="1" w:styleId="Chapter">
    <w:name w:val="Chapter"/>
    <w:basedOn w:val="Normal"/>
    <w:rsid w:val="0077191E"/>
    <w:pPr>
      <w:spacing w:before="240"/>
    </w:pPr>
    <w:rPr>
      <w:rFonts w:ascii="Times New Roman" w:hAnsi="Times New Roman"/>
      <w:smallCaps/>
      <w:spacing w:val="80"/>
      <w:sz w:val="28"/>
    </w:rPr>
  </w:style>
  <w:style w:type="paragraph" w:customStyle="1" w:styleId="InChapter">
    <w:name w:val="InChapter"/>
    <w:basedOn w:val="Heading3"/>
    <w:rsid w:val="0077191E"/>
    <w:pPr>
      <w:spacing w:after="240"/>
      <w:outlineLvl w:val="9"/>
    </w:pPr>
    <w:rPr>
      <w:noProof/>
    </w:rPr>
  </w:style>
  <w:style w:type="paragraph" w:styleId="Index2">
    <w:name w:val="index 2"/>
    <w:basedOn w:val="Normal"/>
    <w:next w:val="Normal"/>
    <w:semiHidden/>
    <w:rsid w:val="0077191E"/>
    <w:pPr>
      <w:tabs>
        <w:tab w:val="right" w:pos="4176"/>
      </w:tabs>
      <w:ind w:left="568" w:hanging="284"/>
    </w:pPr>
    <w:rPr>
      <w:rFonts w:ascii="Garamond" w:hAnsi="Garamond"/>
    </w:rPr>
  </w:style>
  <w:style w:type="paragraph" w:customStyle="1" w:styleId="Byline">
    <w:name w:val="Byline"/>
    <w:rsid w:val="007719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91E"/>
    <w:pPr>
      <w:tabs>
        <w:tab w:val="clear" w:pos="3600"/>
        <w:tab w:val="clear" w:pos="3958"/>
      </w:tabs>
      <w:jc w:val="right"/>
    </w:pPr>
  </w:style>
  <w:style w:type="character" w:styleId="Emphasis">
    <w:name w:val="Emphasis"/>
    <w:basedOn w:val="DefaultParagraphFont"/>
    <w:qFormat/>
    <w:rsid w:val="0077191E"/>
    <w:rPr>
      <w:i/>
    </w:rPr>
  </w:style>
  <w:style w:type="paragraph" w:styleId="Caption">
    <w:name w:val="caption"/>
    <w:basedOn w:val="BodyText"/>
    <w:next w:val="Normal"/>
    <w:qFormat/>
    <w:rsid w:val="0077191E"/>
    <w:pPr>
      <w:framePr w:w="2268" w:hSpace="181" w:vSpace="181" w:wrap="around" w:vAnchor="text" w:hAnchor="page" w:x="1135" w:y="285" w:anchorLock="1"/>
    </w:pPr>
    <w:rPr>
      <w:i/>
    </w:rPr>
  </w:style>
  <w:style w:type="paragraph" w:customStyle="1" w:styleId="MiniTOCTitle">
    <w:name w:val="MiniTOCTitle"/>
    <w:basedOn w:val="Heading4"/>
    <w:rsid w:val="0077191E"/>
    <w:pPr>
      <w:spacing w:before="240"/>
      <w:outlineLvl w:val="9"/>
    </w:pPr>
    <w:rPr>
      <w:noProof/>
      <w:sz w:val="24"/>
    </w:rPr>
  </w:style>
  <w:style w:type="paragraph" w:customStyle="1" w:styleId="MiniTOCItem">
    <w:name w:val="MiniTOCItem"/>
    <w:basedOn w:val="ListBullet"/>
    <w:rsid w:val="0077191E"/>
    <w:pPr>
      <w:numPr>
        <w:numId w:val="0"/>
      </w:numPr>
      <w:tabs>
        <w:tab w:val="right" w:leader="dot" w:pos="6521"/>
      </w:tabs>
      <w:spacing w:before="0" w:after="0"/>
    </w:pPr>
  </w:style>
  <w:style w:type="paragraph" w:customStyle="1" w:styleId="TOFTitle">
    <w:name w:val="TOFTitle"/>
    <w:basedOn w:val="TOCTitle"/>
    <w:rsid w:val="0077191E"/>
  </w:style>
  <w:style w:type="paragraph" w:styleId="TableofFigures">
    <w:name w:val="table of figures"/>
    <w:basedOn w:val="Normal"/>
    <w:next w:val="Normal"/>
    <w:semiHidden/>
    <w:rsid w:val="0077191E"/>
    <w:pPr>
      <w:tabs>
        <w:tab w:val="right" w:leader="dot" w:pos="9072"/>
      </w:tabs>
      <w:ind w:left="970" w:hanging="403"/>
    </w:pPr>
    <w:rPr>
      <w:rFonts w:ascii="Times New Roman" w:hAnsi="Times New Roman"/>
      <w:b/>
    </w:rPr>
  </w:style>
  <w:style w:type="paragraph" w:styleId="ListNumber">
    <w:name w:val="List Number"/>
    <w:basedOn w:val="List"/>
    <w:rsid w:val="0077191E"/>
    <w:pPr>
      <w:numPr>
        <w:numId w:val="12"/>
      </w:numPr>
    </w:pPr>
  </w:style>
  <w:style w:type="character" w:customStyle="1" w:styleId="WingdingSymbols">
    <w:name w:val="Wingding Symbols"/>
    <w:rsid w:val="0077191E"/>
    <w:rPr>
      <w:rFonts w:ascii="Wingdings" w:hAnsi="Wingdings"/>
    </w:rPr>
  </w:style>
  <w:style w:type="paragraph" w:customStyle="1" w:styleId="TableHeading">
    <w:name w:val="Table Heading"/>
    <w:basedOn w:val="HeadingBase"/>
    <w:rsid w:val="0077191E"/>
    <w:pPr>
      <w:keepLines/>
      <w:pBdr>
        <w:bottom w:val="single" w:sz="6" w:space="1" w:color="918585"/>
      </w:pBdr>
      <w:spacing w:before="240"/>
    </w:pPr>
  </w:style>
  <w:style w:type="character" w:customStyle="1" w:styleId="HotSpot">
    <w:name w:val="HotSpot"/>
    <w:rsid w:val="0077191E"/>
    <w:rPr>
      <w:color w:val="0033CC"/>
      <w:u w:val="none"/>
    </w:rPr>
  </w:style>
  <w:style w:type="paragraph" w:customStyle="1" w:styleId="BodyTextRight">
    <w:name w:val="Body Text Right"/>
    <w:basedOn w:val="BodyText"/>
    <w:rsid w:val="0077191E"/>
    <w:pPr>
      <w:spacing w:before="0" w:after="0"/>
      <w:jc w:val="right"/>
    </w:pPr>
  </w:style>
  <w:style w:type="paragraph" w:styleId="Index3">
    <w:name w:val="index 3"/>
    <w:basedOn w:val="ListNumber2"/>
    <w:next w:val="Normal"/>
    <w:semiHidden/>
    <w:rsid w:val="0077191E"/>
    <w:pPr>
      <w:numPr>
        <w:numId w:val="0"/>
      </w:numPr>
      <w:tabs>
        <w:tab w:val="right" w:leader="dot" w:pos="4176"/>
      </w:tabs>
    </w:pPr>
  </w:style>
  <w:style w:type="paragraph" w:styleId="ListNumber2">
    <w:name w:val="List Number 2"/>
    <w:basedOn w:val="List2"/>
    <w:rsid w:val="0077191E"/>
    <w:pPr>
      <w:numPr>
        <w:numId w:val="11"/>
      </w:numPr>
      <w:tabs>
        <w:tab w:val="clear" w:pos="1060"/>
      </w:tabs>
    </w:pPr>
  </w:style>
  <w:style w:type="paragraph" w:customStyle="1" w:styleId="MarginNote">
    <w:name w:val="Margin Note"/>
    <w:basedOn w:val="BodyText"/>
    <w:rsid w:val="007719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9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9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191E"/>
    <w:rPr>
      <w:sz w:val="32"/>
    </w:rPr>
  </w:style>
  <w:style w:type="paragraph" w:customStyle="1" w:styleId="HeadingProcedure">
    <w:name w:val="Heading Procedure"/>
    <w:basedOn w:val="HeadingBase"/>
    <w:next w:val="Normal"/>
    <w:rsid w:val="0077191E"/>
    <w:pPr>
      <w:tabs>
        <w:tab w:val="left" w:pos="0"/>
      </w:tabs>
      <w:spacing w:before="120" w:after="60"/>
    </w:pPr>
    <w:rPr>
      <w:i/>
      <w:color w:val="918585"/>
      <w:sz w:val="22"/>
    </w:rPr>
  </w:style>
  <w:style w:type="paragraph" w:customStyle="1" w:styleId="TableBodyText">
    <w:name w:val="Table Body Text"/>
    <w:basedOn w:val="BodyText"/>
    <w:rsid w:val="0077191E"/>
    <w:pPr>
      <w:spacing w:before="60" w:after="60"/>
    </w:pPr>
  </w:style>
  <w:style w:type="paragraph" w:styleId="ListContinue">
    <w:name w:val="List Continue"/>
    <w:basedOn w:val="List"/>
    <w:rsid w:val="0077191E"/>
    <w:pPr>
      <w:ind w:firstLine="0"/>
    </w:pPr>
  </w:style>
  <w:style w:type="paragraph" w:customStyle="1" w:styleId="ListNote">
    <w:name w:val="List Note"/>
    <w:basedOn w:val="List"/>
    <w:rsid w:val="0077191E"/>
    <w:pPr>
      <w:pBdr>
        <w:top w:val="single" w:sz="6" w:space="2" w:color="918585"/>
        <w:bottom w:val="single" w:sz="6" w:space="2" w:color="918585"/>
      </w:pBdr>
      <w:tabs>
        <w:tab w:val="left" w:pos="1021"/>
      </w:tabs>
      <w:ind w:firstLine="0"/>
    </w:pPr>
  </w:style>
  <w:style w:type="paragraph" w:customStyle="1" w:styleId="Warning">
    <w:name w:val="Warning"/>
    <w:basedOn w:val="BodyText"/>
    <w:rsid w:val="0077191E"/>
    <w:pPr>
      <w:shd w:val="clear" w:color="auto" w:fill="D9D9D9"/>
      <w:tabs>
        <w:tab w:val="left" w:pos="992"/>
      </w:tabs>
      <w:ind w:left="119" w:right="119"/>
    </w:pPr>
    <w:rPr>
      <w:sz w:val="20"/>
    </w:rPr>
  </w:style>
  <w:style w:type="paragraph" w:customStyle="1" w:styleId="MarginIcons">
    <w:name w:val="Margin Icons"/>
    <w:basedOn w:val="BodyText"/>
    <w:rsid w:val="007719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91E"/>
    <w:rPr>
      <w:rFonts w:ascii="Courier New" w:hAnsi="Courier New"/>
    </w:rPr>
  </w:style>
  <w:style w:type="paragraph" w:customStyle="1" w:styleId="NoteBullet">
    <w:name w:val="Note Bullet"/>
    <w:basedOn w:val="Note"/>
    <w:rsid w:val="0077191E"/>
    <w:pPr>
      <w:tabs>
        <w:tab w:val="clear" w:pos="680"/>
      </w:tabs>
      <w:spacing w:before="60" w:after="60"/>
    </w:pPr>
  </w:style>
  <w:style w:type="paragraph" w:customStyle="1" w:styleId="SubHeading2">
    <w:name w:val="SubHeading2"/>
    <w:basedOn w:val="HeadingBase"/>
    <w:rsid w:val="0077191E"/>
    <w:pPr>
      <w:spacing w:before="240" w:after="60"/>
    </w:pPr>
    <w:rPr>
      <w:sz w:val="20"/>
    </w:rPr>
  </w:style>
  <w:style w:type="paragraph" w:customStyle="1" w:styleId="SubHeading1">
    <w:name w:val="SubHeading1"/>
    <w:basedOn w:val="HeadingBase"/>
    <w:rsid w:val="0077191E"/>
    <w:pPr>
      <w:spacing w:before="240" w:after="60"/>
    </w:pPr>
    <w:rPr>
      <w:color w:val="918585"/>
      <w:sz w:val="22"/>
    </w:rPr>
  </w:style>
  <w:style w:type="paragraph" w:customStyle="1" w:styleId="SideHeading">
    <w:name w:val="Side Heading"/>
    <w:basedOn w:val="HeadingBase"/>
    <w:rsid w:val="007719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91E"/>
    <w:pPr>
      <w:numPr>
        <w:numId w:val="13"/>
      </w:numPr>
    </w:pPr>
  </w:style>
  <w:style w:type="paragraph" w:styleId="PlainText">
    <w:name w:val="Plain Text"/>
    <w:basedOn w:val="Normal"/>
    <w:link w:val="PlainTextChar"/>
    <w:rsid w:val="0077191E"/>
    <w:rPr>
      <w:sz w:val="20"/>
    </w:rPr>
  </w:style>
  <w:style w:type="character" w:customStyle="1" w:styleId="PlainTextChar">
    <w:name w:val="Plain Text Char"/>
    <w:basedOn w:val="DefaultParagraphFont"/>
    <w:link w:val="PlainText"/>
    <w:rsid w:val="007719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191E"/>
    <w:rPr>
      <w:b/>
      <w:smallCaps/>
    </w:rPr>
  </w:style>
  <w:style w:type="paragraph" w:customStyle="1" w:styleId="TableListNumber">
    <w:name w:val="Table List Number"/>
    <w:basedOn w:val="ListNumber"/>
    <w:rsid w:val="0077191E"/>
    <w:pPr>
      <w:numPr>
        <w:numId w:val="0"/>
      </w:numPr>
    </w:pPr>
  </w:style>
  <w:style w:type="paragraph" w:styleId="TOC4">
    <w:name w:val="toc 4"/>
    <w:basedOn w:val="TOCBase"/>
    <w:next w:val="Normal"/>
    <w:semiHidden/>
    <w:rsid w:val="0077191E"/>
    <w:pPr>
      <w:tabs>
        <w:tab w:val="right" w:leader="dot" w:pos="9071"/>
      </w:tabs>
      <w:ind w:left="1701"/>
    </w:pPr>
  </w:style>
  <w:style w:type="paragraph" w:customStyle="1" w:styleId="ListAlpha">
    <w:name w:val="List Alpha"/>
    <w:basedOn w:val="List"/>
    <w:rsid w:val="0077191E"/>
    <w:pPr>
      <w:numPr>
        <w:numId w:val="10"/>
      </w:numPr>
    </w:pPr>
  </w:style>
  <w:style w:type="paragraph" w:customStyle="1" w:styleId="ListAlpha2">
    <w:name w:val="List Alpha 2"/>
    <w:basedOn w:val="List2"/>
    <w:rsid w:val="0077191E"/>
    <w:pPr>
      <w:numPr>
        <w:numId w:val="9"/>
      </w:numPr>
    </w:pPr>
  </w:style>
  <w:style w:type="paragraph" w:styleId="List2">
    <w:name w:val="List 2"/>
    <w:basedOn w:val="BodyText"/>
    <w:rsid w:val="0077191E"/>
    <w:pPr>
      <w:tabs>
        <w:tab w:val="left" w:pos="680"/>
      </w:tabs>
      <w:spacing w:before="60" w:after="60"/>
      <w:ind w:left="680" w:hanging="340"/>
    </w:pPr>
  </w:style>
  <w:style w:type="paragraph" w:styleId="List3">
    <w:name w:val="List 3"/>
    <w:basedOn w:val="BodyText"/>
    <w:rsid w:val="0077191E"/>
    <w:pPr>
      <w:tabs>
        <w:tab w:val="left" w:pos="1021"/>
      </w:tabs>
      <w:spacing w:before="60" w:after="60"/>
      <w:ind w:left="1020" w:hanging="340"/>
    </w:pPr>
  </w:style>
  <w:style w:type="paragraph" w:styleId="List4">
    <w:name w:val="List 4"/>
    <w:basedOn w:val="BodyText"/>
    <w:rsid w:val="0077191E"/>
    <w:pPr>
      <w:tabs>
        <w:tab w:val="left" w:pos="1361"/>
      </w:tabs>
      <w:spacing w:before="60" w:after="60"/>
      <w:ind w:left="1361" w:hanging="340"/>
    </w:pPr>
  </w:style>
  <w:style w:type="paragraph" w:styleId="List5">
    <w:name w:val="List 5"/>
    <w:basedOn w:val="BodyText"/>
    <w:rsid w:val="0077191E"/>
    <w:pPr>
      <w:tabs>
        <w:tab w:val="left" w:pos="1701"/>
      </w:tabs>
      <w:spacing w:before="60" w:after="60"/>
      <w:ind w:left="1701" w:hanging="340"/>
    </w:pPr>
  </w:style>
  <w:style w:type="paragraph" w:styleId="ListBullet4">
    <w:name w:val="List Bullet 4"/>
    <w:basedOn w:val="List4"/>
    <w:rsid w:val="0077191E"/>
    <w:pPr>
      <w:numPr>
        <w:numId w:val="4"/>
      </w:numPr>
    </w:pPr>
  </w:style>
  <w:style w:type="paragraph" w:styleId="ListBullet5">
    <w:name w:val="List Bullet 5"/>
    <w:basedOn w:val="List5"/>
    <w:rsid w:val="0077191E"/>
    <w:pPr>
      <w:numPr>
        <w:numId w:val="5"/>
      </w:numPr>
    </w:pPr>
  </w:style>
  <w:style w:type="paragraph" w:styleId="ListContinue2">
    <w:name w:val="List Continue 2"/>
    <w:basedOn w:val="List2"/>
    <w:rsid w:val="0077191E"/>
    <w:pPr>
      <w:ind w:firstLine="0"/>
    </w:pPr>
  </w:style>
  <w:style w:type="paragraph" w:styleId="ListContinue3">
    <w:name w:val="List Continue 3"/>
    <w:basedOn w:val="List3"/>
    <w:rsid w:val="0077191E"/>
    <w:pPr>
      <w:ind w:left="1021" w:firstLine="0"/>
    </w:pPr>
  </w:style>
  <w:style w:type="paragraph" w:styleId="ListContinue4">
    <w:name w:val="List Continue 4"/>
    <w:basedOn w:val="List4"/>
    <w:rsid w:val="0077191E"/>
    <w:pPr>
      <w:ind w:firstLine="0"/>
    </w:pPr>
  </w:style>
  <w:style w:type="paragraph" w:styleId="ListContinue5">
    <w:name w:val="List Continue 5"/>
    <w:basedOn w:val="List5"/>
    <w:rsid w:val="0077191E"/>
    <w:pPr>
      <w:ind w:firstLine="0"/>
    </w:pPr>
  </w:style>
  <w:style w:type="paragraph" w:styleId="ListNumber3">
    <w:name w:val="List Number 3"/>
    <w:basedOn w:val="List3"/>
    <w:rsid w:val="0077191E"/>
    <w:pPr>
      <w:numPr>
        <w:numId w:val="6"/>
      </w:numPr>
    </w:pPr>
  </w:style>
  <w:style w:type="paragraph" w:styleId="ListNumber4">
    <w:name w:val="List Number 4"/>
    <w:basedOn w:val="List4"/>
    <w:rsid w:val="0077191E"/>
    <w:pPr>
      <w:numPr>
        <w:numId w:val="7"/>
      </w:numPr>
    </w:pPr>
  </w:style>
  <w:style w:type="paragraph" w:styleId="ListNumber5">
    <w:name w:val="List Number 5"/>
    <w:basedOn w:val="List5"/>
    <w:rsid w:val="0077191E"/>
    <w:pPr>
      <w:numPr>
        <w:numId w:val="8"/>
      </w:numPr>
    </w:pPr>
  </w:style>
  <w:style w:type="paragraph" w:styleId="BlockText">
    <w:name w:val="Block Text"/>
    <w:basedOn w:val="Normal"/>
    <w:rsid w:val="0077191E"/>
    <w:pPr>
      <w:spacing w:after="120"/>
      <w:ind w:left="1440" w:right="1440"/>
    </w:pPr>
  </w:style>
  <w:style w:type="character" w:customStyle="1" w:styleId="Subscript">
    <w:name w:val="Subscript"/>
    <w:basedOn w:val="DefaultParagraphFont"/>
    <w:rsid w:val="0077191E"/>
    <w:rPr>
      <w:sz w:val="16"/>
      <w:vertAlign w:val="subscript"/>
    </w:rPr>
  </w:style>
  <w:style w:type="character" w:customStyle="1" w:styleId="Superscript">
    <w:name w:val="Superscript"/>
    <w:basedOn w:val="DefaultParagraphFont"/>
    <w:rsid w:val="0077191E"/>
    <w:rPr>
      <w:sz w:val="16"/>
      <w:vertAlign w:val="superscript"/>
    </w:rPr>
  </w:style>
  <w:style w:type="character" w:customStyle="1" w:styleId="Symbols">
    <w:name w:val="Symbols"/>
    <w:basedOn w:val="DefaultParagraphFont"/>
    <w:rsid w:val="0077191E"/>
    <w:rPr>
      <w:rFonts w:ascii="Symbol" w:hAnsi="Symbol"/>
    </w:rPr>
  </w:style>
  <w:style w:type="character" w:customStyle="1" w:styleId="MenuOptions">
    <w:name w:val="Menu Options"/>
    <w:basedOn w:val="DefaultParagraphFont"/>
    <w:rsid w:val="0077191E"/>
    <w:rPr>
      <w:rFonts w:ascii="Arial Narrow" w:hAnsi="Arial Narrow"/>
      <w:smallCaps/>
    </w:rPr>
  </w:style>
  <w:style w:type="character" w:customStyle="1" w:styleId="Buttons">
    <w:name w:val="Buttons"/>
    <w:basedOn w:val="DefaultParagraphFont"/>
    <w:rsid w:val="0077191E"/>
    <w:rPr>
      <w:b/>
    </w:rPr>
  </w:style>
  <w:style w:type="character" w:customStyle="1" w:styleId="Underlined">
    <w:name w:val="Underlined"/>
    <w:basedOn w:val="DefaultParagraphFont"/>
    <w:rsid w:val="0077191E"/>
    <w:rPr>
      <w:u w:val="single"/>
    </w:rPr>
  </w:style>
  <w:style w:type="paragraph" w:customStyle="1" w:styleId="TableBodyTextRight">
    <w:name w:val="Table Body Text Right"/>
    <w:basedOn w:val="TableBodyText"/>
    <w:rsid w:val="0077191E"/>
    <w:pPr>
      <w:widowControl w:val="0"/>
      <w:autoSpaceDE w:val="0"/>
      <w:autoSpaceDN w:val="0"/>
      <w:adjustRightInd w:val="0"/>
      <w:jc w:val="right"/>
    </w:pPr>
    <w:rPr>
      <w:rFonts w:cs="Arial"/>
      <w:szCs w:val="18"/>
    </w:rPr>
  </w:style>
  <w:style w:type="paragraph" w:customStyle="1" w:styleId="CopyrightText">
    <w:name w:val="Copyright Text"/>
    <w:basedOn w:val="BodyText"/>
    <w:rsid w:val="0077191E"/>
    <w:rPr>
      <w:sz w:val="18"/>
    </w:rPr>
  </w:style>
  <w:style w:type="paragraph" w:customStyle="1" w:styleId="BodySmallRight">
    <w:name w:val="Body Small Right"/>
    <w:basedOn w:val="BodyTextRight"/>
    <w:rsid w:val="0077191E"/>
    <w:rPr>
      <w:sz w:val="18"/>
      <w:szCs w:val="18"/>
    </w:rPr>
  </w:style>
  <w:style w:type="paragraph" w:customStyle="1" w:styleId="MarginEdition">
    <w:name w:val="Margin Edition"/>
    <w:basedOn w:val="MarginNote"/>
    <w:rsid w:val="0077191E"/>
    <w:pPr>
      <w:spacing w:before="0" w:after="0"/>
    </w:pPr>
    <w:rPr>
      <w:rFonts w:ascii="Times New Roman" w:hAnsi="Times New Roman"/>
      <w:color w:val="999999"/>
    </w:rPr>
  </w:style>
  <w:style w:type="paragraph" w:customStyle="1" w:styleId="Spacer">
    <w:name w:val="Spacer"/>
    <w:basedOn w:val="Normal"/>
    <w:rsid w:val="0077191E"/>
    <w:rPr>
      <w:sz w:val="2"/>
      <w:szCs w:val="2"/>
    </w:rPr>
  </w:style>
  <w:style w:type="character" w:customStyle="1" w:styleId="Small">
    <w:name w:val="Small"/>
    <w:basedOn w:val="DefaultParagraphFont"/>
    <w:rsid w:val="0077191E"/>
    <w:rPr>
      <w:sz w:val="16"/>
    </w:rPr>
  </w:style>
  <w:style w:type="paragraph" w:customStyle="1" w:styleId="WideTable">
    <w:name w:val="Wide Table"/>
    <w:basedOn w:val="Normal"/>
    <w:rsid w:val="0077191E"/>
    <w:pPr>
      <w:ind w:left="-1418"/>
    </w:pPr>
    <w:rPr>
      <w:sz w:val="2"/>
      <w:szCs w:val="2"/>
    </w:rPr>
  </w:style>
  <w:style w:type="character" w:styleId="PageNumber">
    <w:name w:val="page number"/>
    <w:basedOn w:val="DefaultParagraphFont"/>
    <w:rsid w:val="0077191E"/>
  </w:style>
  <w:style w:type="paragraph" w:styleId="Quote">
    <w:name w:val="Quote"/>
    <w:basedOn w:val="Heading1"/>
    <w:link w:val="QuoteChar"/>
    <w:qFormat/>
    <w:rsid w:val="0077191E"/>
    <w:rPr>
      <w:b w:val="0"/>
      <w:sz w:val="72"/>
      <w:szCs w:val="72"/>
      <w:lang w:val="en-NZ"/>
    </w:rPr>
  </w:style>
  <w:style w:type="character" w:customStyle="1" w:styleId="QuoteChar">
    <w:name w:val="Quote Char"/>
    <w:basedOn w:val="DefaultParagraphFont"/>
    <w:link w:val="Quote"/>
    <w:rsid w:val="007719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91E"/>
    <w:pPr>
      <w:pageBreakBefore/>
    </w:pPr>
  </w:style>
  <w:style w:type="paragraph" w:customStyle="1" w:styleId="Border">
    <w:name w:val="Border"/>
    <w:basedOn w:val="Normal"/>
    <w:qFormat/>
    <w:rsid w:val="007719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91E"/>
    <w:rPr>
      <w:b/>
      <w:bCs/>
      <w:i/>
      <w:iCs/>
      <w:color w:val="auto"/>
    </w:rPr>
  </w:style>
  <w:style w:type="paragraph" w:styleId="IntenseQuote">
    <w:name w:val="Intense Quote"/>
    <w:basedOn w:val="Normal"/>
    <w:next w:val="Normal"/>
    <w:link w:val="IntenseQuoteChar"/>
    <w:uiPriority w:val="30"/>
    <w:qFormat/>
    <w:rsid w:val="007719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9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191E"/>
    <w:rPr>
      <w:smallCaps/>
      <w:color w:val="auto"/>
      <w:u w:val="single"/>
    </w:rPr>
  </w:style>
  <w:style w:type="character" w:styleId="IntenseReference">
    <w:name w:val="Intense Reference"/>
    <w:basedOn w:val="DefaultParagraphFont"/>
    <w:uiPriority w:val="32"/>
    <w:qFormat/>
    <w:rsid w:val="0077191E"/>
    <w:rPr>
      <w:b/>
      <w:bCs/>
      <w:smallCaps/>
      <w:color w:val="auto"/>
      <w:spacing w:val="5"/>
      <w:u w:val="single"/>
    </w:rPr>
  </w:style>
  <w:style w:type="paragraph" w:customStyle="1" w:styleId="2ColumnHeading">
    <w:name w:val="2Column Heading"/>
    <w:basedOn w:val="BodyText"/>
    <w:qFormat/>
    <w:rsid w:val="0077191E"/>
    <w:pPr>
      <w:spacing w:after="60"/>
      <w:ind w:left="-2268"/>
    </w:pPr>
    <w:rPr>
      <w:b/>
    </w:rPr>
  </w:style>
  <w:style w:type="paragraph" w:customStyle="1" w:styleId="Heading1TOC">
    <w:name w:val="Heading1 TOC"/>
    <w:basedOn w:val="Normal"/>
    <w:qFormat/>
    <w:rsid w:val="0077191E"/>
    <w:pPr>
      <w:spacing w:before="240" w:after="120"/>
    </w:pPr>
    <w:rPr>
      <w:rFonts w:ascii="Times New Roman" w:hAnsi="Times New Roman"/>
      <w:b/>
      <w:sz w:val="32"/>
    </w:rPr>
  </w:style>
  <w:style w:type="paragraph" w:customStyle="1" w:styleId="Heading2TOC">
    <w:name w:val="Heading2 TOC"/>
    <w:basedOn w:val="Normal"/>
    <w:qFormat/>
    <w:rsid w:val="0077191E"/>
    <w:pPr>
      <w:spacing w:before="240" w:after="60"/>
    </w:pPr>
    <w:rPr>
      <w:rFonts w:ascii="Times New Roman" w:hAnsi="Times New Roman"/>
      <w:b/>
      <w:sz w:val="28"/>
    </w:rPr>
  </w:style>
  <w:style w:type="character" w:customStyle="1" w:styleId="Underline">
    <w:name w:val="Underline"/>
    <w:basedOn w:val="DefaultParagraphFont"/>
    <w:qFormat/>
    <w:rsid w:val="0077191E"/>
    <w:rPr>
      <w:u w:val="single"/>
    </w:rPr>
  </w:style>
  <w:style w:type="character" w:customStyle="1" w:styleId="BoldandItalics">
    <w:name w:val="Bold and Italics"/>
    <w:qFormat/>
    <w:rsid w:val="0077191E"/>
    <w:rPr>
      <w:b/>
      <w:i/>
      <w:u w:val="none"/>
    </w:rPr>
  </w:style>
  <w:style w:type="paragraph" w:styleId="BalloonText">
    <w:name w:val="Balloon Text"/>
    <w:basedOn w:val="Normal"/>
    <w:link w:val="BalloonTextChar"/>
    <w:rsid w:val="0077191E"/>
    <w:rPr>
      <w:rFonts w:ascii="Tahoma" w:hAnsi="Tahoma" w:cs="Tahoma"/>
      <w:sz w:val="16"/>
      <w:szCs w:val="16"/>
    </w:rPr>
  </w:style>
  <w:style w:type="character" w:customStyle="1" w:styleId="BalloonTextChar">
    <w:name w:val="Balloon Text Char"/>
    <w:basedOn w:val="DefaultParagraphFont"/>
    <w:link w:val="BalloonText"/>
    <w:rsid w:val="007719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19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19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2524</Words>
  <Characters>15613</Characters>
  <Application>Microsoft Office Word</Application>
  <DocSecurity>0</DocSecurity>
  <Lines>635</Lines>
  <Paragraphs>264</Paragraphs>
  <ScaleCrop>false</ScaleCrop>
  <Company>Author-it Software Corporation Ltd.</Company>
  <LinksUpToDate>false</LinksUpToDate>
  <CharactersWithSpaces>17938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UETTDRRT23A Install rail traction bonds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2012-05-26T12:17:00Z</dcterms:created>
  <dcterms:modified xsi:type="dcterms:W3CDTF">2012-05-26T12:17:00Z</dcterms:modified>
</cp:coreProperties>
</file>