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D47" w:rsidP="00150D47">
      <w:pPr>
        <w:pStyle w:val="Title"/>
      </w:pPr>
      <w:r>
        <w:fldChar w:fldCharType="begin"/>
      </w:r>
      <w:r>
        <w:instrText xml:space="preserve"> TITLE   \* MERGEFORMAT </w:instrText>
      </w:r>
      <w:r>
        <w:fldChar w:fldCharType="separate"/>
      </w:r>
      <w:r>
        <w:t>UETTDRRT22A Maintain traction overhead wiring systems</w:t>
      </w:r>
      <w:r>
        <w:fldChar w:fldCharType="end"/>
      </w:r>
    </w:p>
    <w:p w:rsidR="00150D47" w:rsidP="00150D47">
      <w:pPr>
        <w:pStyle w:val="Version"/>
        <w:sectPr w:rsidSect="009A7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150" w:rsidP="009A7150">
      <w:pPr>
        <w:pStyle w:val="SuperHeading"/>
      </w:pPr>
      <w:r w:rsidRPr="009A7150">
        <w:t>UETTDRRT22A Maintain traction overhead wiring systems</w:t>
      </w:r>
    </w:p>
    <w:p w:rsidR="00000000" w:rsidRPr="009A7150" w:rsidP="009A7150">
      <w:pPr>
        <w:pStyle w:val="Heading1"/>
      </w:pPr>
      <w:bookmarkStart w:id="1" w:name="O_465245"/>
      <w:bookmarkEnd w:id="1"/>
      <w:r w:rsidRPr="009A7150">
        <w:t>Modification History</w:t>
      </w:r>
    </w:p>
    <w:p w:rsidR="00000000" w:rsidRPr="009A7150" w:rsidP="009A7150">
      <w:pPr>
        <w:pStyle w:val="BodyText"/>
      </w:pPr>
      <w:r w:rsidRPr="009A7150">
        <w:t>Not applicable.</w:t>
      </w:r>
    </w:p>
    <w:p w:rsidR="00000000" w:rsidRPr="009A7150" w:rsidP="009A7150">
      <w:pPr>
        <w:pStyle w:val="AllowPageBreak"/>
      </w:pPr>
    </w:p>
    <w:p w:rsidR="00000000" w:rsidRPr="009A7150" w:rsidP="009A7150">
      <w:pPr>
        <w:pStyle w:val="Heading1"/>
      </w:pPr>
      <w:bookmarkStart w:id="2" w:name="O_465243"/>
      <w:bookmarkEnd w:id="2"/>
      <w:r w:rsidRPr="009A7150">
        <w:t>Unit Descriptor</w:t>
      </w:r>
    </w:p>
    <w:tbl>
      <w:tblPr>
        <w:tblW w:w="0" w:type="auto"/>
        <w:tblLayout w:type="fixed"/>
        <w:tblCellMar>
          <w:left w:w="62" w:type="dxa"/>
          <w:right w:w="62" w:type="dxa"/>
        </w:tblCellMar>
        <w:tblLook w:val="0000"/>
      </w:tblPr>
      <w:tblGrid>
        <w:gridCol w:w="2700"/>
        <w:gridCol w:w="5760"/>
      </w:tblGrid>
      <w:tr w:rsidTr="00150D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1)</w:t>
            </w:r>
            <w:r w:rsidRPr="009A7150">
              <w:t xml:space="preserve"> </w:t>
            </w:r>
            <w:r w:rsidRPr="009A7150">
              <w:rPr>
                <w:rStyle w:val="SpecialBold"/>
              </w:rPr>
              <w:t>Scope:</w:t>
            </w:r>
          </w:p>
        </w:tc>
      </w:tr>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715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1.1) Descriptor</w:t>
            </w:r>
          </w:p>
        </w:tc>
      </w:tr>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This Competency Standard Unit covers the maintenance and repair of overhead traction wiring systems to ensure their serviceability, in particular the correct registration of the contact wire with respect to the current collectors. It includes the undertaki</w:t>
            </w:r>
            <w:r w:rsidRPr="009A7150">
              <w:t>ng of safe working practises on or about the running line/track, the preparation needed for stringing and profiling including the isolation of systems and circuits for safe working according to work plans, the diagnosis of faults and the modification and r</w:t>
            </w:r>
            <w:r w:rsidRPr="009A7150">
              <w:t>e-adjustment to appropriate standards. It may also encompass the correct positioning of road signs, barriers and or warning devices and the procedure of issuing/accepting electrical permits, the re-commissioning tests as required to ensure the integrity of</w:t>
            </w:r>
            <w:r w:rsidRPr="009A7150">
              <w:t xml:space="preserve"> the traction system prior to returning to service and, the updating of system data and/or maintenance records.</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3" w:name="O_465232"/>
      <w:bookmarkEnd w:id="3"/>
      <w:r w:rsidRPr="009A7150">
        <w:t>Application of the Unit</w:t>
      </w:r>
    </w:p>
    <w:tbl>
      <w:tblPr>
        <w:tblW w:w="0" w:type="auto"/>
        <w:tblLayout w:type="fixed"/>
        <w:tblCellMar>
          <w:left w:w="62" w:type="dxa"/>
          <w:right w:w="62" w:type="dxa"/>
        </w:tblCellMar>
        <w:tblLook w:val="0000"/>
      </w:tblPr>
      <w:tblGrid>
        <w:gridCol w:w="2672"/>
        <w:gridCol w:w="5699"/>
      </w:tblGrid>
      <w:tr w:rsidTr="00150D4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2)</w:t>
            </w:r>
          </w:p>
        </w:tc>
      </w:tr>
      <w:tr w:rsidTr="00150D4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This Competency Standard Unit is intended to augment formally acquired competencies. It is suitable for employment-based programs under an approved contract of training.</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4" w:name="O_465239"/>
      <w:bookmarkEnd w:id="4"/>
      <w:r w:rsidRPr="009A7150">
        <w:t>Licensing/Regulatory Information</w:t>
      </w:r>
    </w:p>
    <w:tbl>
      <w:tblPr>
        <w:tblW w:w="0" w:type="auto"/>
        <w:tblLayout w:type="fixed"/>
        <w:tblCellMar>
          <w:left w:w="62" w:type="dxa"/>
          <w:right w:w="62" w:type="dxa"/>
        </w:tblCellMar>
        <w:tblLook w:val="0000"/>
      </w:tblPr>
      <w:tblGrid>
        <w:gridCol w:w="2700"/>
        <w:gridCol w:w="5760"/>
      </w:tblGrid>
      <w:tr w:rsidTr="00150D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 xml:space="preserve">3) </w:t>
            </w:r>
          </w:p>
        </w:tc>
      </w:tr>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The skil</w:t>
            </w:r>
            <w:r w:rsidRPr="009A7150">
              <w:t>ls and knowledge described in this unit may require a licence/registration to practice in the work place subject to regulations for undertaking of electrical work. Practice in workplace and during training is also subject to regulations directly related to</w:t>
            </w:r>
            <w:r w:rsidRPr="009A7150">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9A7150">
              <w:t>gulations may exist that limits the age of operating certain equipment.</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5" w:name="O_465240"/>
      <w:bookmarkEnd w:id="5"/>
      <w:r w:rsidRPr="009A7150">
        <w:t>Pre-Requisites</w:t>
      </w:r>
    </w:p>
    <w:tbl>
      <w:tblPr>
        <w:tblW w:w="0" w:type="auto"/>
        <w:tblLayout w:type="fixed"/>
        <w:tblCellMar>
          <w:left w:w="62" w:type="dxa"/>
          <w:right w:w="62" w:type="dxa"/>
        </w:tblCellMar>
        <w:tblLook w:val="0000"/>
      </w:tblPr>
      <w:tblGrid>
        <w:gridCol w:w="2681"/>
        <w:gridCol w:w="19"/>
        <w:gridCol w:w="1890"/>
        <w:gridCol w:w="3870"/>
      </w:tblGrid>
      <w:tr w:rsidTr="00150D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 xml:space="preserve">4) </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4.1)</w:t>
            </w:r>
          </w:p>
        </w:tc>
      </w:tr>
      <w:tr w:rsidTr="00150D4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Gra</w:t>
            </w:r>
            <w:r w:rsidRPr="009A7150">
              <w:t>nting of competency in this unit shall be made only after competency in the following unit(s) has/have been confirmed.</w:t>
            </w:r>
          </w:p>
          <w:p w:rsidR="00000000" w:rsidP="009A7150">
            <w:pPr>
              <w:pStyle w:val="BodyText"/>
              <w:rPr>
                <w:lang w:val="en-NZ"/>
              </w:rPr>
            </w:pPr>
            <w:r w:rsidRPr="009A7150">
              <w:t>Where pre-requisite pathways have been identified. All competencies in the Common Unit Group must be have been completed.</w:t>
            </w:r>
          </w:p>
        </w:tc>
      </w:tr>
      <w:tr w:rsidTr="00150D4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9" w:type="dxa"/>
            <w:gridSpan w:val="3"/>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 xml:space="preserve">Common Unit </w:t>
            </w:r>
            <w:r w:rsidRPr="009A7150">
              <w:t>Group</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Unit Code</w:t>
            </w:r>
            <w:r w:rsidRPr="009A7150">
              <w:tab/>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Unit Title</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Apply Occupational Health and Safety regulations, codes and practices in the workplace</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Fabricate, assemble and dismantle utilities industry components</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Solve problems in d.c. Circuits</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Fix and secure electrotechnology equipment</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Use drawings, diagrams, schedules, standards, codes and specifications</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Solve problems in electromagnetic devices and related circuits</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Solve problems in low voltage a.c. Circuits</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 xml:space="preserve">Apply sustainable energy and environmental procedures </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 xml:space="preserve">Operate plant and equipment near live electrical conductors and apparatus </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Working safely near live electrical appa</w:t>
            </w:r>
            <w:r w:rsidRPr="009A7150">
              <w:t xml:space="preserve">ratus </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Install and maintain poles, structures and associated hardware</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9A7150">
            <w:pPr>
              <w:pStyle w:val="BodyText"/>
              <w:rPr>
                <w:lang w:val="en-NZ"/>
              </w:rPr>
            </w:pPr>
            <w:r w:rsidRPr="009A7150">
              <w:t xml:space="preserve">Install and maintain poles, structures, overhead conductors and cables </w:t>
            </w:r>
          </w:p>
        </w:tc>
      </w:tr>
      <w:tr w:rsidTr="00150D47">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UETTDRRT21A</w:t>
            </w:r>
          </w:p>
        </w:tc>
        <w:tc>
          <w:tcPr>
            <w:tcW w:w="3870" w:type="dxa"/>
            <w:tcBorders>
              <w:top w:val="nil"/>
              <w:left w:val="nil"/>
              <w:bottom w:val="nil"/>
              <w:right w:val="nil"/>
            </w:tcBorders>
            <w:tcMar>
              <w:top w:w="0" w:type="dxa"/>
              <w:left w:w="62" w:type="dxa"/>
              <w:bottom w:w="0" w:type="dxa"/>
              <w:right w:w="62" w:type="dxa"/>
            </w:tcMar>
            <w:vAlign w:val="bottom"/>
          </w:tcPr>
          <w:p w:rsidR="00000000" w:rsidRPr="009A7150" w:rsidP="009A7150">
            <w:pPr>
              <w:pStyle w:val="BodyText"/>
            </w:pPr>
            <w:r w:rsidRPr="009A7150">
              <w:t xml:space="preserve">Install traction overhead wiring systems </w:t>
            </w:r>
          </w:p>
        </w:tc>
      </w:tr>
    </w:tbl>
    <w:p w:rsidR="00000000" w:rsidRPr="009A7150" w:rsidP="009A715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50D4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 xml:space="preserve">4.2) </w:t>
            </w:r>
          </w:p>
        </w:tc>
      </w:tr>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Participants are best equipped to achieve this unit if they have reading, writing and numeracy skills indicated by the following scales. Description of each scale is given in Volume 2, Part 3 “Literacy and Numeracy”.</w:t>
            </w:r>
          </w:p>
        </w:tc>
      </w:tr>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Reading</w:t>
            </w:r>
          </w:p>
        </w:tc>
        <w:tc>
          <w:tcPr>
            <w:tcW w:w="81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w:t>
            </w:r>
          </w:p>
        </w:tc>
        <w:tc>
          <w:tcPr>
            <w:tcW w:w="99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Writing</w:t>
            </w:r>
          </w:p>
        </w:tc>
        <w:tc>
          <w:tcPr>
            <w:tcW w:w="90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w:t>
            </w:r>
          </w:p>
        </w:tc>
        <w:tc>
          <w:tcPr>
            <w:tcW w:w="12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Numeracy</w:t>
            </w:r>
          </w:p>
        </w:tc>
        <w:tc>
          <w:tcPr>
            <w:tcW w:w="72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3</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6" w:name="O_465236"/>
      <w:bookmarkEnd w:id="6"/>
      <w:r w:rsidRPr="009A7150">
        <w:t>Employability Skills Information</w:t>
      </w:r>
    </w:p>
    <w:tbl>
      <w:tblPr>
        <w:tblW w:w="0" w:type="auto"/>
        <w:tblLayout w:type="fixed"/>
        <w:tblCellMar>
          <w:left w:w="62" w:type="dxa"/>
          <w:right w:w="62" w:type="dxa"/>
        </w:tblCellMar>
        <w:tblLook w:val="0000"/>
      </w:tblPr>
      <w:tblGrid>
        <w:gridCol w:w="2700"/>
        <w:gridCol w:w="5760"/>
      </w:tblGrid>
      <w:tr w:rsidTr="00150D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 xml:space="preserve">5) </w:t>
            </w:r>
          </w:p>
        </w:tc>
      </w:tr>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 xml:space="preserve">The required outcomes described in this unit of competency contain applicable facets of Employability Skills. The Employability Skills Summary </w:t>
            </w:r>
            <w:r w:rsidRPr="009A7150">
              <w:t>of the qualification in which this unit of competency is packaged will assist in identifying Employability Skill requirements.</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7" w:name="O_465235"/>
      <w:bookmarkEnd w:id="7"/>
      <w:r w:rsidRPr="009A7150">
        <w:t>Elements and Performance Criteria Pre-Content</w:t>
      </w:r>
    </w:p>
    <w:tbl>
      <w:tblPr>
        <w:tblW w:w="0" w:type="auto"/>
        <w:tblLayout w:type="fixed"/>
        <w:tblCellMar>
          <w:left w:w="62" w:type="dxa"/>
          <w:right w:w="62" w:type="dxa"/>
        </w:tblCellMar>
        <w:tblLook w:val="0000"/>
      </w:tblPr>
      <w:tblGrid>
        <w:gridCol w:w="2700"/>
        <w:gridCol w:w="5760"/>
      </w:tblGrid>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6)</w:t>
            </w:r>
            <w:r w:rsidRPr="009A715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Performance Criteria describe the required performance needed to demonstrate achievement of the element. Assessment of performance is to be consistent with the Evidence Guide.</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8" w:name="O_465234"/>
      <w:bookmarkEnd w:id="8"/>
      <w:r w:rsidRPr="009A7150">
        <w:t>Elements and Performance Criteria</w:t>
      </w:r>
    </w:p>
    <w:tbl>
      <w:tblPr>
        <w:tblW w:w="0" w:type="auto"/>
        <w:tblLayout w:type="fixed"/>
        <w:tblCellMar>
          <w:left w:w="62" w:type="dxa"/>
          <w:right w:w="62" w:type="dxa"/>
        </w:tblCellMar>
        <w:tblLook w:val="0000"/>
      </w:tblPr>
      <w:tblGrid>
        <w:gridCol w:w="405"/>
        <w:gridCol w:w="2295"/>
        <w:gridCol w:w="825"/>
        <w:gridCol w:w="4935"/>
      </w:tblGrid>
      <w:tr w:rsidTr="00150D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PERFORMANCE CRITERIA</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w:t>
            </w:r>
          </w:p>
        </w:tc>
        <w:tc>
          <w:tcPr>
            <w:tcW w:w="229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Prepare to maintain overhead traction wiring systems</w:t>
            </w: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1.1</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Works schedule(s), including drawings, plans, requirements, established procedures, and material lists, are received, analysed and confirmed, if necessary, by site inspection.</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1.2</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Relevant requirements and established procedures for the work are communi</w:t>
            </w:r>
            <w:r w:rsidRPr="009A7150">
              <w:t>cated to all personnel and identified for all work sites.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1.3</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 xml:space="preserve">OHS policies and procedures related to requirements and established procedures for the maintenance of overhead traction wiring systems are obtained and confirmed for the purposes of the work </w:t>
            </w:r>
            <w:r w:rsidRPr="009A7150">
              <w:t>to be performed and communicated.</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1.4</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Work is prioritised and sequenced following consultation with others for completion within acceptable timeframes and in accordance with established procedures.</w:t>
            </w:r>
          </w:p>
        </w:tc>
      </w:tr>
      <w:tr w:rsidTr="00150D47">
        <w:tblPrEx>
          <w:tblW w:w="0" w:type="auto"/>
          <w:tblLayout w:type="fixed"/>
          <w:tblCellMar>
            <w:left w:w="62" w:type="dxa"/>
            <w:right w:w="62" w:type="dxa"/>
          </w:tblCellMar>
          <w:tblLook w:val="0000"/>
        </w:tblPrEx>
        <w:trPr>
          <w:trHeight w:val="1084"/>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1.5</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Hazards are identified; OHS risks assessed and control measures are prioritised, implemented and monitored including emergency exits kept clear according to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1.6</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Relevant work permits are obtained to access and perform work accord</w:t>
            </w:r>
            <w:r w:rsidRPr="009A7150">
              <w:t>ing to requirements and/or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1.7</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Resources including personnel, equipment, tools and personal protective equipment required for the job are obtained and confirmed in working order.</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1.8</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Relevant personnel at worksite are confirmed current in CPR, First Aid, and other rescue procedures according to requirements.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1.9</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Liaison and communication issues with other authorised personnel, authorities, clients and land owners are resolved to car</w:t>
            </w:r>
            <w:r w:rsidRPr="009A7150">
              <w:t>ry out work where necessary.</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1.10</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Site is prepared according to the work schedule and to minimise risk and damage to property, commerce, and individuals in accordance with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1.11</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Personnel participating in the work, including plant operators and contractors, are fully briefed and respective responsibilities confirmed where applicable in accordance with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1.12</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Rail/road signs, barriers and warning devices ar</w:t>
            </w:r>
            <w:r w:rsidRPr="009A7150">
              <w:t>e positioned in accordance with requirements.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1.13</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Environmental constraints applicable to work are identified and control measures applied.</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w:t>
            </w:r>
          </w:p>
        </w:tc>
        <w:tc>
          <w:tcPr>
            <w:tcW w:w="229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Carry out maintenance on overhead traction wiring systems</w:t>
            </w: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2.1</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OHS and sustainable energy principles and pract</w:t>
            </w:r>
            <w:r w:rsidRPr="009A7150">
              <w:t>ices to reduce the incidents of accidents and minimise waste are monitored and followed in accordance with requirements and/or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2.2</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Lifting, climbing, working aloft, and use of power tools/equipment, techniques and practices are safely followed and, currency according to requirements confirmed.</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2.3</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Systems and circuits are isolated as required, proved safe to work on in accordance w</w:t>
            </w:r>
            <w:r w:rsidRPr="009A7150">
              <w:t>ith the requirements/permits and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2.4</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 xml:space="preserve">Essential knowledge and associated skills are applied for the safe maintenance of overhead traction wiring systems to ensure completion in an agreed timeframe and, to quality standards with a </w:t>
            </w:r>
            <w:r w:rsidRPr="009A7150">
              <w:t>minimum of waste according to requirements.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2.5</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Maintenance, including repair and/or replacement of overhead traction wiring systems, including the modification and re-adjustment of overhead traction conductors is carried out, in accordance with the wor</w:t>
            </w:r>
            <w:r w:rsidRPr="009A7150">
              <w:t>k schedule and requirements/established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2.6</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Hazard warnings and safety signs are recognised and hazards and assessed OHS risks are reported to the immediate authorised persons for directions according to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2.7</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Unplanned events in the maintenance on overhead traction wiring systems are undertaken within the scope of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2.8</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Known solutions to a variety of problems are applied using acquired essential knowledge and associated skills.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2.9</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Ongoing checks of quality of the work are undertaken in accordance with instructions and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2.10</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Recommissioning checks and tests are undertaken to ensure the integrity of the system prior to returning to service.</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w:t>
            </w:r>
          </w:p>
        </w:tc>
        <w:tc>
          <w:tcPr>
            <w:tcW w:w="2295" w:type="dxa"/>
            <w:vMerge w:val="restart"/>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Complete the ma</w:t>
            </w:r>
            <w:r w:rsidRPr="009A7150">
              <w:t>intenance on overhead traction wiring systems</w:t>
            </w: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3.1</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Work undertaken is checked against works schedule for conformance with requirements and anomalies reported in accordance with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3.2</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Accidents and/or injuri</w:t>
            </w:r>
            <w:r w:rsidRPr="009A7150">
              <w:t>es are reported in accordance with requirements/established procedures, where applicable.</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3.3</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Work site is rehabilitated, cleaned up and made safe in accordance with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3.4</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Tools, equipment and any surplus resources and materials are, where appropriate, cleaned, checked and returned to storage in accordance with established procedures.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3.5</w:t>
            </w:r>
          </w:p>
        </w:tc>
        <w:tc>
          <w:tcPr>
            <w:tcW w:w="493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Relevant work permit(s) are signed off and, the overhead traction wiring system is r</w:t>
            </w:r>
            <w:r w:rsidRPr="009A7150">
              <w:t>eturned to service in accordance with requirements.</w:t>
            </w:r>
          </w:p>
        </w:tc>
      </w:tr>
      <w:tr w:rsidTr="00150D47">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3.6</w:t>
            </w:r>
          </w:p>
        </w:tc>
        <w:tc>
          <w:tcPr>
            <w:tcW w:w="4935"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Works completion records, reports, as installed /modified drawing and/or documentation and information are finalised and processed and appropriate personnel notified.</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9" w:name="O_465242"/>
      <w:bookmarkEnd w:id="9"/>
      <w:r w:rsidRPr="009A7150">
        <w:t>Required Sk</w:t>
      </w:r>
      <w:r w:rsidRPr="009A7150">
        <w:t>ills and Knowledge</w:t>
      </w:r>
    </w:p>
    <w:tbl>
      <w:tblPr>
        <w:tblW w:w="0" w:type="auto"/>
        <w:tblLayout w:type="fixed"/>
        <w:tblCellMar>
          <w:left w:w="62" w:type="dxa"/>
          <w:right w:w="62" w:type="dxa"/>
        </w:tblCellMar>
        <w:tblLook w:val="0000"/>
      </w:tblPr>
      <w:tblGrid>
        <w:gridCol w:w="8460"/>
      </w:tblGrid>
      <w:tr w:rsidTr="00150D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REQUIRED SKILLS AND KNOWLEDGE</w:t>
            </w:r>
          </w:p>
        </w:tc>
      </w:tr>
      <w:tr w:rsidTr="00150D4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8)</w:t>
            </w:r>
            <w:r w:rsidRPr="009A7150">
              <w:t xml:space="preserve"> Essential Knowledge and Associated Skills (EKAS): This describes the essential skills and knowledge and their level, required for this unit.</w:t>
            </w:r>
          </w:p>
          <w:p w:rsidR="00000000" w:rsidRPr="009A7150" w:rsidP="009A7150">
            <w:pPr>
              <w:pStyle w:val="BodyText"/>
            </w:pPr>
            <w:r w:rsidRPr="009A7150">
              <w:t>Evidence shall show that knowledge of maintaining overhead traction wiring systems has been acquired.</w:t>
            </w:r>
          </w:p>
          <w:p w:rsidR="00000000" w:rsidRPr="009A7150" w:rsidP="009A7150">
            <w:pPr>
              <w:pStyle w:val="BodyText"/>
            </w:pPr>
            <w:r w:rsidRPr="009A7150">
              <w:t>All knowledge and skills detailed in this unit should be contextualised to current industry practices and technologies.</w:t>
            </w:r>
          </w:p>
          <w:p w:rsidR="00000000" w:rsidRPr="009A7150" w:rsidP="009A7150">
            <w:pPr>
              <w:pStyle w:val="BodyText"/>
            </w:pPr>
            <w:r w:rsidRPr="009A7150">
              <w:t>KS01-TRT22A</w:t>
            </w:r>
            <w:r w:rsidRPr="009A7150">
              <w:tab/>
              <w:t>Maintain overhead trac</w:t>
            </w:r>
            <w:r w:rsidRPr="009A7150">
              <w:t>tion wiring systems</w:t>
            </w:r>
          </w:p>
          <w:p w:rsidR="00000000" w:rsidRPr="009A7150" w:rsidP="009A7150">
            <w:pPr>
              <w:pStyle w:val="BodyText"/>
            </w:pPr>
            <w:r w:rsidRPr="009A7150">
              <w:t>Evidence shall show an understanding of the maintenance of overhead wiring systems indicated by the following aspects:</w:t>
            </w:r>
          </w:p>
          <w:p w:rsidR="00000000" w:rsidRPr="009A7150" w:rsidP="009A7150">
            <w:pPr>
              <w:pStyle w:val="BodyText"/>
            </w:pPr>
            <w:r w:rsidRPr="009A7150">
              <w:t>T1</w:t>
            </w:r>
            <w:r w:rsidRPr="009A7150">
              <w:tab/>
              <w:t>Electrical wiring system components</w:t>
            </w:r>
          </w:p>
          <w:p w:rsidR="00000000" w:rsidRPr="009A7150" w:rsidP="009A7150">
            <w:pPr>
              <w:pStyle w:val="ListBullet"/>
            </w:pPr>
            <w:r w:rsidRPr="009A7150">
              <w:t>(Note: Examples include catenary wire, contact/trolley wire, droppers, feeder</w:t>
            </w:r>
            <w:r w:rsidRPr="009A7150">
              <w:t xml:space="preserve"> wire, return conductor, insulators, surge arresters, cantilevers, tensioning equipment, tram support network, tram fittings, bridge/tunnel fittings, current collectors)</w:t>
            </w:r>
          </w:p>
          <w:p w:rsidR="00000000" w:rsidRPr="009A7150" w:rsidP="009A7150">
            <w:pPr>
              <w:pStyle w:val="BodyText"/>
            </w:pPr>
            <w:r w:rsidRPr="009A7150">
              <w:t>T2</w:t>
            </w:r>
            <w:r w:rsidRPr="009A7150">
              <w:tab/>
              <w:t>Electrical traction circuits encompassing:</w:t>
            </w:r>
          </w:p>
          <w:p w:rsidR="00000000" w:rsidRPr="009A7150" w:rsidP="009A7150">
            <w:pPr>
              <w:pStyle w:val="ListBullet"/>
            </w:pPr>
            <w:r w:rsidRPr="009A7150">
              <w:t>Types</w:t>
            </w:r>
          </w:p>
          <w:p w:rsidR="00000000" w:rsidRPr="009A7150" w:rsidP="009A7150">
            <w:pPr>
              <w:pStyle w:val="ListBullet"/>
            </w:pPr>
            <w:r w:rsidRPr="009A7150">
              <w:t>Applications</w:t>
            </w:r>
          </w:p>
          <w:p w:rsidR="00000000" w:rsidRPr="009A7150" w:rsidP="009A7150">
            <w:pPr>
              <w:pStyle w:val="BodyText"/>
            </w:pPr>
            <w:r w:rsidRPr="009A7150">
              <w:t>T3</w:t>
            </w:r>
            <w:r w:rsidRPr="009A7150">
              <w:tab/>
              <w:t>Relationship of t</w:t>
            </w:r>
            <w:r w:rsidRPr="009A7150">
              <w:t>he components, apparatus and conductors to the operation of the traction system</w:t>
            </w:r>
          </w:p>
          <w:p w:rsidR="00000000" w:rsidRPr="009A7150" w:rsidP="009A7150">
            <w:pPr>
              <w:pStyle w:val="BodyText"/>
            </w:pPr>
            <w:r w:rsidRPr="009A7150">
              <w:t>T4</w:t>
            </w:r>
            <w:r w:rsidRPr="009A7150">
              <w:tab/>
              <w:t>Effective current collection and wire interface</w:t>
            </w:r>
          </w:p>
          <w:p w:rsidR="00000000" w:rsidRPr="009A7150" w:rsidP="009A7150">
            <w:pPr>
              <w:pStyle w:val="BodyText"/>
            </w:pPr>
            <w:r w:rsidRPr="009A7150">
              <w:t>T5</w:t>
            </w:r>
            <w:r w:rsidRPr="009A7150">
              <w:tab/>
              <w:t>Effective registration in the traction power system</w:t>
            </w:r>
          </w:p>
          <w:p w:rsidR="00000000" w:rsidRPr="009A7150" w:rsidP="009A7150">
            <w:pPr>
              <w:pStyle w:val="BodyText"/>
            </w:pPr>
            <w:r w:rsidRPr="009A7150">
              <w:t>T6</w:t>
            </w:r>
            <w:r w:rsidRPr="009A7150">
              <w:tab/>
              <w:t>Dynamic and static forces encompassing:</w:t>
            </w:r>
          </w:p>
          <w:p w:rsidR="00000000" w:rsidRPr="009A7150" w:rsidP="009A7150">
            <w:pPr>
              <w:pStyle w:val="ListBullet"/>
            </w:pPr>
            <w:r w:rsidRPr="009A7150">
              <w:t>Types that effect traction</w:t>
            </w:r>
            <w:r w:rsidRPr="009A7150">
              <w:t xml:space="preserve"> systems</w:t>
            </w:r>
          </w:p>
          <w:p w:rsidR="00000000" w:rsidRPr="009A7150" w:rsidP="009A7150">
            <w:pPr>
              <w:pStyle w:val="ListBullet"/>
            </w:pPr>
            <w:r w:rsidRPr="009A7150">
              <w:t>Effects on effective registration</w:t>
            </w:r>
          </w:p>
          <w:p w:rsidR="00000000" w:rsidRPr="009A7150" w:rsidP="009A7150">
            <w:pPr>
              <w:pStyle w:val="ListBullet"/>
            </w:pPr>
            <w:r w:rsidRPr="009A7150">
              <w:t>Techniques to minimise adverse effects</w:t>
            </w:r>
          </w:p>
          <w:p w:rsidR="00000000" w:rsidRPr="009A7150" w:rsidP="009A7150">
            <w:pPr>
              <w:pStyle w:val="BodyText"/>
            </w:pPr>
            <w:r w:rsidRPr="009A7150">
              <w:t>T7</w:t>
            </w:r>
            <w:r w:rsidRPr="009A7150">
              <w:tab/>
              <w:t>Safe and effective use of repair and maintenance tools, equipment and machinery</w:t>
            </w:r>
          </w:p>
          <w:p w:rsidR="00000000" w:rsidRPr="009A7150" w:rsidP="009A7150">
            <w:pPr>
              <w:pStyle w:val="BodyText"/>
            </w:pPr>
            <w:r w:rsidRPr="009A7150">
              <w:t>T8</w:t>
            </w:r>
            <w:r w:rsidRPr="009A7150">
              <w:tab/>
              <w:t>Maintenance of overhead traction wiring systems encompassing:</w:t>
            </w:r>
          </w:p>
          <w:p w:rsidR="00000000" w:rsidRPr="009A7150" w:rsidP="009A7150">
            <w:pPr>
              <w:pStyle w:val="ListBullet"/>
            </w:pPr>
            <w:r w:rsidRPr="009A7150">
              <w:t>Types of equipment and components</w:t>
            </w:r>
          </w:p>
          <w:p w:rsidR="00000000" w:rsidRPr="009A7150" w:rsidP="009A7150">
            <w:pPr>
              <w:pStyle w:val="ListBullet"/>
            </w:pPr>
            <w:r w:rsidRPr="009A7150">
              <w:t>Types and function of tools and equipment</w:t>
            </w:r>
          </w:p>
          <w:p w:rsidR="00000000" w:rsidRPr="009A7150" w:rsidP="009A7150">
            <w:pPr>
              <w:pStyle w:val="ListBullet"/>
            </w:pPr>
            <w:r w:rsidRPr="009A7150">
              <w:t>Maintenance/repair procedures</w:t>
            </w:r>
          </w:p>
          <w:p w:rsidR="00000000" w:rsidRPr="009A7150" w:rsidP="009A7150">
            <w:pPr>
              <w:pStyle w:val="ListBullet"/>
            </w:pPr>
            <w:r w:rsidRPr="009A7150">
              <w:t>Inspection and recording procedures</w:t>
            </w:r>
          </w:p>
          <w:p w:rsidR="00000000" w:rsidRPr="009A7150" w:rsidP="009A7150">
            <w:pPr>
              <w:pStyle w:val="BodyText"/>
            </w:pPr>
            <w:r w:rsidRPr="009A7150">
              <w:t>T9</w:t>
            </w:r>
            <w:r w:rsidRPr="009A7150">
              <w:tab/>
              <w:t>Diagnose and correct simple faults in specific overhead wiring systems encompassing:</w:t>
            </w:r>
          </w:p>
          <w:p w:rsidR="00000000" w:rsidRPr="009A7150" w:rsidP="009A7150">
            <w:pPr>
              <w:pStyle w:val="ListBullet"/>
            </w:pPr>
            <w:r w:rsidRPr="009A7150">
              <w:t>Types and causes</w:t>
            </w:r>
          </w:p>
          <w:p w:rsidR="00000000" w:rsidRPr="009A7150" w:rsidP="009A7150">
            <w:pPr>
              <w:pStyle w:val="ListBullet"/>
            </w:pPr>
            <w:r w:rsidRPr="009A7150">
              <w:t>Determin</w:t>
            </w:r>
            <w:r w:rsidRPr="009A7150">
              <w:t>ation of appropriate corrective actions</w:t>
            </w:r>
          </w:p>
          <w:p w:rsidR="00000000" w:rsidRPr="009A7150" w:rsidP="009A7150">
            <w:pPr>
              <w:pStyle w:val="ListBullet"/>
            </w:pPr>
            <w:r w:rsidRPr="009A7150">
              <w:t xml:space="preserve">Repair and replace procedures for overhead wiring systems </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10" w:name="O_465237"/>
      <w:bookmarkEnd w:id="10"/>
      <w:r w:rsidRPr="009A7150">
        <w:t>Evidence Guide</w:t>
      </w:r>
    </w:p>
    <w:tbl>
      <w:tblPr>
        <w:tblW w:w="0" w:type="auto"/>
        <w:tblLayout w:type="fixed"/>
        <w:tblCellMar>
          <w:left w:w="62" w:type="dxa"/>
          <w:right w:w="62" w:type="dxa"/>
        </w:tblCellMar>
        <w:tblLook w:val="0000"/>
      </w:tblPr>
      <w:tblGrid>
        <w:gridCol w:w="8460"/>
      </w:tblGrid>
      <w:tr w:rsidTr="00150D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EVIDENCE GUIDE</w:t>
            </w:r>
          </w:p>
        </w:tc>
      </w:tr>
      <w:tr w:rsidTr="00150D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9)</w:t>
            </w:r>
            <w:r w:rsidRPr="009A7150">
              <w:t xml:space="preserve"> This provides essential advice for assessment of the competency standard unit and must be read </w:t>
            </w:r>
            <w:r w:rsidRPr="009A7150">
              <w:t>in conjunction with the Performance Criteria and the range statement of the competency standard unit and the Training Package Assessment Guidelines.</w:t>
            </w:r>
          </w:p>
          <w:p w:rsidR="00000000" w:rsidRPr="009A7150" w:rsidP="009A7150">
            <w:pPr>
              <w:pStyle w:val="BodyText"/>
            </w:pPr>
            <w:r w:rsidRPr="009A7150">
              <w:t>The Evidence Guide forms an integral part of this Competency Standard Unit and shall be used in conjunction</w:t>
            </w:r>
            <w:r w:rsidRPr="009A7150">
              <w:t xml:space="preserve"> with all component parts of this unit and, performed in accordance with the Assessment Guidelines of this Training Package.</w:t>
            </w:r>
          </w:p>
        </w:tc>
      </w:tr>
    </w:tbl>
    <w:p w:rsidR="00000000" w:rsidRPr="009A7150" w:rsidP="009A7150">
      <w:pPr>
        <w:pStyle w:val="BodyText"/>
      </w:pPr>
    </w:p>
    <w:tbl>
      <w:tblPr>
        <w:tblW w:w="0" w:type="auto"/>
        <w:tblLayout w:type="fixed"/>
        <w:tblCellMar>
          <w:left w:w="62" w:type="dxa"/>
          <w:right w:w="62" w:type="dxa"/>
        </w:tblCellMar>
        <w:tblLook w:val="0000"/>
      </w:tblPr>
      <w:tblGrid>
        <w:gridCol w:w="1890"/>
        <w:gridCol w:w="6570"/>
      </w:tblGrid>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9.1)</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Longitudinal competency development approaches to assessment, such as Profiling, require data to be reliably gathered in a form that can be consistently interpreted over time. This approach is best utilised in Apprenticeship programs and reduces assessment</w:t>
            </w:r>
            <w:r w:rsidRPr="009A715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A7150">
              <w:t>tency in a realistically simulated work environment. It is recognised that, in some circumstances, assessment in part or full can occur outside the workplace. However, it must be in accord with Industry and, Regulatory policy in this regard.</w:t>
            </w:r>
          </w:p>
          <w:p w:rsidR="00000000" w:rsidRPr="009A7150" w:rsidP="009A7150">
            <w:pPr>
              <w:pStyle w:val="BodyText"/>
            </w:pPr>
            <w:r w:rsidRPr="009A7150">
              <w:t>Methods chosen</w:t>
            </w:r>
            <w:r w:rsidRPr="009A715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A7150">
              <w:t>equired and the critical nature of the competencies being assessed.</w:t>
            </w:r>
          </w:p>
          <w:p w:rsidR="00000000" w:rsidRPr="009A7150" w:rsidP="009A7150">
            <w:pPr>
              <w:pStyle w:val="BodyText"/>
            </w:pPr>
            <w:r w:rsidRPr="009A7150">
              <w:t>The critical safety nature of working with electricity, electrical equipment, gas or any other hazardous substance/material carries risk in deeming a person competent. Hence, sources of ev</w:t>
            </w:r>
            <w:r w:rsidRPr="009A7150">
              <w:t>idence need to be ‘rich’ in nature so as to minimise error in judgment.</w:t>
            </w:r>
          </w:p>
          <w:p w:rsidR="00000000" w:rsidRPr="009A7150" w:rsidP="009A7150">
            <w:pPr>
              <w:pStyle w:val="BodyText"/>
            </w:pPr>
            <w:r w:rsidRPr="009A7150">
              <w:t>Activities associated with normal every day work have a bearing on the decision as to how much and how detailed the data gathered will contribute to its ‘richness’. Some skills are mor</w:t>
            </w:r>
            <w:r w:rsidRPr="009A7150">
              <w:t>e critical to safety and operational requirements while the same skills may be more or less frequently practiced. These points are raised for the assessors to consider when choosing an assessment method and developing assessment instruments. Sample assessm</w:t>
            </w:r>
            <w:r w:rsidRPr="009A7150">
              <w:t>ent instruments are included for Assessors in the Assessment Guidelines of this Training Package.</w:t>
            </w:r>
          </w:p>
        </w:tc>
      </w:tr>
    </w:tbl>
    <w:p w:rsidR="00000000" w:rsidRPr="009A7150" w:rsidP="009A7150">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9.2)</w:t>
            </w:r>
          </w:p>
        </w:tc>
      </w:tr>
      <w:tr w:rsidTr="00150D47">
        <w:tblPrEx>
          <w:tblW w:w="0" w:type="auto"/>
          <w:tblLayout w:type="fixed"/>
          <w:tblCellMar>
            <w:left w:w="62" w:type="dxa"/>
            <w:right w:w="62" w:type="dxa"/>
          </w:tblCellMar>
          <w:tblLook w:val="0000"/>
        </w:tblPrEx>
        <w:trPr>
          <w:trHeight w:val="697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Before the critical aspects of evidence are considered all prerequisi</w:t>
            </w:r>
            <w:r w:rsidRPr="009A7150">
              <w:t>tes shall be met.</w:t>
            </w:r>
          </w:p>
          <w:p w:rsidR="00000000" w:rsidRPr="009A7150" w:rsidP="009A7150">
            <w:pPr>
              <w:pStyle w:val="BodyText"/>
            </w:pPr>
            <w:r w:rsidRPr="009A7150">
              <w:t>Evidence for competence in this unit shall be considered holistically. Each element and associated Performance Criteria shall be demonstrated on at least two occasions in accordance with the “Assessment Guidelines – UET12”. Evidence shall</w:t>
            </w:r>
            <w:r w:rsidRPr="009A7150">
              <w:t xml:space="preserve"> also comprise:</w:t>
            </w:r>
          </w:p>
          <w:p w:rsidR="00000000" w:rsidRPr="009A7150" w:rsidP="009A7150">
            <w:pPr>
              <w:pStyle w:val="ListBullet"/>
            </w:pPr>
            <w:r w:rsidRPr="009A7150">
              <w:t xml:space="preserve">A representative body of Performance Criteria demonstrated within the timeframes </w:t>
            </w:r>
            <w:r w:rsidRPr="009A7150">
              <w:t>typically expected of the discipline, work function and industrial environment. In particular this shall incorporate evidence that shows a candidate is able to:</w:t>
            </w:r>
          </w:p>
          <w:p w:rsidR="00000000" w:rsidRPr="009A7150" w:rsidP="009A7150">
            <w:pPr>
              <w:pStyle w:val="ListBullet2"/>
            </w:pPr>
            <w:r w:rsidRPr="009A7150">
              <w:t xml:space="preserve">Implement Occupational Health and Safety workplace procedures and practices including the use </w:t>
            </w:r>
            <w:r w:rsidRPr="009A7150">
              <w:t>of risk control measures as specified in the Performance Criteria and range; and</w:t>
            </w:r>
          </w:p>
          <w:p w:rsidR="00000000" w:rsidRPr="009A7150" w:rsidP="009A7150">
            <w:pPr>
              <w:pStyle w:val="ListBullet2"/>
            </w:pPr>
            <w:r w:rsidRPr="009A7150">
              <w:t>Apply sustainable energy principles and practices as specified in the Performance Criteria and range; and</w:t>
            </w:r>
          </w:p>
          <w:p w:rsidR="00000000" w:rsidRPr="009A7150" w:rsidP="009A7150">
            <w:pPr>
              <w:pStyle w:val="ListBullet2"/>
            </w:pPr>
            <w:r w:rsidRPr="009A7150">
              <w:t>Demonstrate an understanding of the essential knowledge and associate</w:t>
            </w:r>
            <w:r w:rsidRPr="009A7150">
              <w:t>d skills as described in this unit to such an extent that the learner’s performance outcome is reported in accordance with the preferred approach; namely a percentile graded result, where required by the regulated environment; and</w:t>
            </w:r>
          </w:p>
          <w:p w:rsidR="00000000" w:rsidRPr="009A7150" w:rsidP="009A7150">
            <w:pPr>
              <w:pStyle w:val="ListBullet2"/>
            </w:pPr>
            <w:r w:rsidRPr="009A7150">
              <w:t>Demonstrate an appropriat</w:t>
            </w:r>
            <w:r w:rsidRPr="009A7150">
              <w:t>e level of employability skills; and</w:t>
            </w:r>
          </w:p>
          <w:p w:rsidR="00000000" w:rsidRPr="009A7150" w:rsidP="009A7150">
            <w:pPr>
              <w:pStyle w:val="ListBullet"/>
            </w:pPr>
            <w:r w:rsidRPr="009A7150">
              <w:t>Conduct work observing the relevant Anti Discrimination legislation, regulations, policies and workplace procedures; and</w:t>
            </w:r>
          </w:p>
          <w:p w:rsidR="00000000" w:rsidP="009A7150">
            <w:pPr>
              <w:pStyle w:val="ListBullet2"/>
              <w:rPr>
                <w:lang w:val="en-NZ"/>
              </w:rPr>
            </w:pPr>
            <w:r w:rsidRPr="009A7150">
              <w:t>Demonstrated performance across a representative range of contexts from the prescribed items bel</w:t>
            </w:r>
            <w:r w:rsidRPr="009A7150">
              <w:t>ow:</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A715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rPr>
                <w:rStyle w:val="SpecialBold"/>
              </w:rPr>
              <w:t>Range of tools/equipment/materials/procedures/workplaces/other variables</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A715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150" w:rsidP="009A7150">
            <w:pPr>
              <w:pStyle w:val="BodyText"/>
            </w:pPr>
            <w:r w:rsidRPr="009A715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150" w:rsidP="009A7150">
            <w:pPr>
              <w:pStyle w:val="BodyText"/>
            </w:pPr>
            <w:r w:rsidRPr="009A7150">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rPr>
                <w:rStyle w:val="SpecialBold"/>
              </w:rPr>
              <w:t>Item List</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150" w:rsidP="009A7150">
            <w:pPr>
              <w:pStyle w:val="BodyText"/>
            </w:pPr>
            <w:r w:rsidRPr="009A7150">
              <w:t>Support structure</w:t>
            </w:r>
          </w:p>
          <w:p w:rsidR="00000000" w:rsidRPr="009A7150" w:rsidP="009A7150">
            <w:pPr>
              <w:pStyle w:val="BodyText"/>
            </w:pPr>
            <w:r w:rsidRPr="009A7150">
              <w:t>Span</w:t>
            </w:r>
          </w:p>
          <w:p w:rsidR="00000000" w:rsidRPr="009A7150" w:rsidP="009A7150">
            <w:pPr>
              <w:pStyle w:val="BodyText"/>
            </w:pPr>
            <w:r w:rsidRPr="009A7150">
              <w:t>Section insulator</w:t>
            </w:r>
          </w:p>
          <w:p w:rsidR="00000000" w:rsidRPr="009A7150" w:rsidP="009A7150">
            <w:pPr>
              <w:pStyle w:val="BodyText"/>
            </w:pPr>
            <w:r w:rsidRPr="009A7150">
              <w:t>Neutral section</w:t>
            </w:r>
          </w:p>
          <w:p w:rsidR="00000000" w:rsidRPr="009A7150" w:rsidP="009A7150">
            <w:pPr>
              <w:pStyle w:val="BodyText"/>
            </w:pPr>
            <w:r w:rsidRPr="009A7150">
              <w:t>Midpoint anchor</w:t>
            </w:r>
          </w:p>
          <w:p w:rsidR="00000000" w:rsidRPr="009A7150" w:rsidP="009A7150">
            <w:pPr>
              <w:pStyle w:val="BodyText"/>
            </w:pPr>
            <w:r w:rsidRPr="009A7150">
              <w:t>Support equipment</w:t>
            </w:r>
          </w:p>
          <w:p w:rsidR="00000000" w:rsidRPr="009A7150" w:rsidP="009A7150">
            <w:pPr>
              <w:pStyle w:val="BodyText"/>
            </w:pPr>
            <w:r w:rsidRPr="009A7150">
              <w:t>Tension regulators</w:t>
            </w:r>
          </w:p>
          <w:p w:rsidR="00000000" w:rsidRPr="009A7150" w:rsidP="009A7150">
            <w:pPr>
              <w:pStyle w:val="BodyText"/>
            </w:pPr>
            <w:r w:rsidRPr="009A7150">
              <w:t>Stay/guy wire</w:t>
            </w:r>
          </w:p>
          <w:p w:rsidR="00000000" w:rsidP="009A7150">
            <w:pPr>
              <w:pStyle w:val="BodyText"/>
              <w:rPr>
                <w:lang w:val="en-NZ"/>
              </w:rPr>
            </w:pPr>
            <w:r w:rsidRPr="009A7150">
              <w:t>Tramway support network</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150" w:rsidP="009A7150">
            <w:pPr>
              <w:pStyle w:val="BodyText"/>
            </w:pPr>
            <w:r w:rsidRPr="009A7150">
              <w:t>Catenary</w:t>
            </w:r>
          </w:p>
          <w:p w:rsidR="00000000" w:rsidRPr="009A7150" w:rsidP="009A7150">
            <w:pPr>
              <w:pStyle w:val="BodyText"/>
            </w:pPr>
            <w:r w:rsidRPr="009A7150">
              <w:t>Dropper</w:t>
            </w:r>
          </w:p>
          <w:p w:rsidR="00000000" w:rsidRPr="009A7150" w:rsidP="009A7150">
            <w:pPr>
              <w:pStyle w:val="BodyText"/>
            </w:pPr>
            <w:r w:rsidRPr="009A7150">
              <w:t>Contact/trolley*</w:t>
            </w:r>
          </w:p>
          <w:p w:rsidR="00000000" w:rsidRPr="009A7150" w:rsidP="009A7150">
            <w:pPr>
              <w:pStyle w:val="BodyText"/>
            </w:pPr>
            <w:r w:rsidRPr="009A7150">
              <w:t>Feeder</w:t>
            </w:r>
          </w:p>
          <w:p w:rsidR="00000000" w:rsidRPr="009A7150" w:rsidP="009A7150">
            <w:pPr>
              <w:pStyle w:val="BodyText"/>
            </w:pPr>
            <w:r w:rsidRPr="009A7150">
              <w:t>Earth conductor</w:t>
            </w:r>
          </w:p>
          <w:p w:rsidR="00000000" w:rsidRPr="009A7150" w:rsidP="009A7150">
            <w:pPr>
              <w:pStyle w:val="BodyText"/>
            </w:pPr>
            <w:r w:rsidRPr="009A7150">
              <w:t>Drape/potential jumper</w:t>
            </w:r>
          </w:p>
          <w:p w:rsidR="00000000" w:rsidP="009A7150">
            <w:pPr>
              <w:pStyle w:val="BodyText"/>
              <w:rPr>
                <w:lang w:val="en-NZ"/>
              </w:rPr>
            </w:pPr>
            <w:r w:rsidRPr="009A7150">
              <w:t>(* must do)</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150" w:rsidP="009A7150">
            <w:pPr>
              <w:pStyle w:val="BodyText"/>
            </w:pPr>
            <w:r w:rsidRPr="009A7150">
              <w:t>Elevating work platform</w:t>
            </w:r>
          </w:p>
          <w:p w:rsidR="00000000" w:rsidRPr="009A7150" w:rsidP="009A7150">
            <w:pPr>
              <w:pStyle w:val="BodyText"/>
            </w:pPr>
            <w:r w:rsidRPr="009A7150">
              <w:t>Ladder</w:t>
            </w:r>
          </w:p>
          <w:p w:rsidR="00000000" w:rsidP="009A7150">
            <w:pPr>
              <w:pStyle w:val="BodyText"/>
              <w:rPr>
                <w:lang w:val="en-NZ"/>
              </w:rPr>
            </w:pPr>
            <w:r w:rsidRPr="009A7150">
              <w:t>Mobile platform</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150" w:rsidP="009A7150">
            <w:pPr>
              <w:pStyle w:val="BodyText"/>
            </w:pPr>
            <w:r w:rsidRPr="009A7150">
              <w:t>Tensioning equipment*</w:t>
            </w:r>
          </w:p>
          <w:p w:rsidR="00000000" w:rsidRPr="009A7150" w:rsidP="009A7150">
            <w:pPr>
              <w:pStyle w:val="BodyText"/>
            </w:pPr>
            <w:r w:rsidRPr="009A7150">
              <w:t>Specialised tools</w:t>
            </w:r>
          </w:p>
          <w:p w:rsidR="00000000" w:rsidRPr="009A7150" w:rsidP="009A7150">
            <w:pPr>
              <w:pStyle w:val="BodyText"/>
            </w:pPr>
            <w:r w:rsidRPr="009A7150">
              <w:t>Ropes</w:t>
            </w:r>
          </w:p>
          <w:p w:rsidR="00000000" w:rsidRPr="009A7150" w:rsidP="009A7150">
            <w:pPr>
              <w:pStyle w:val="BodyText"/>
            </w:pPr>
            <w:r w:rsidRPr="009A7150">
              <w:t>Geometry profiling equipment</w:t>
            </w:r>
          </w:p>
          <w:p w:rsidR="00000000" w:rsidP="009A7150">
            <w:pPr>
              <w:pStyle w:val="BodyText"/>
              <w:rPr>
                <w:lang w:val="en-NZ"/>
              </w:rPr>
            </w:pPr>
            <w:r w:rsidRPr="009A7150">
              <w:t>(* must do)</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150">
            <w:pPr>
              <w:pStyle w:val="BodyText"/>
              <w:rPr>
                <w:lang w:val="en-NZ"/>
              </w:rPr>
            </w:pPr>
            <w:r w:rsidRPr="009A7150">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150" w:rsidP="009A7150">
            <w:pPr>
              <w:pStyle w:val="BodyText"/>
            </w:pPr>
            <w:r w:rsidRPr="009A7150">
              <w:t>Dealing with an unplanned event by drawing on essential knowledge and associated skills to provide appropriate solutions incorporated in the holistic assessment with the above listed items.</w:t>
            </w:r>
          </w:p>
        </w:tc>
      </w:tr>
    </w:tbl>
    <w:p w:rsidR="00000000" w:rsidRPr="009A7150" w:rsidP="009A7150">
      <w:pPr>
        <w:pStyle w:val="BodyText"/>
      </w:pPr>
    </w:p>
    <w:tbl>
      <w:tblPr>
        <w:tblW w:w="0" w:type="auto"/>
        <w:tblLayout w:type="fixed"/>
        <w:tblCellMar>
          <w:left w:w="62" w:type="dxa"/>
          <w:right w:w="62" w:type="dxa"/>
        </w:tblCellMar>
        <w:tblLook w:val="0000"/>
      </w:tblPr>
      <w:tblGrid>
        <w:gridCol w:w="1890"/>
        <w:gridCol w:w="6570"/>
      </w:tblGrid>
      <w:tr w:rsidTr="00150D4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9.3)</w:t>
            </w:r>
          </w:p>
        </w:tc>
      </w:tr>
      <w:tr w:rsidTr="00150D4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This unit should be assessed as it relates to normal work practice using procedures, information and resources typical of a workplace. This should include:</w:t>
            </w:r>
          </w:p>
          <w:p w:rsidR="00000000" w:rsidRPr="009A7150" w:rsidP="009A7150">
            <w:pPr>
              <w:pStyle w:val="ListBullet"/>
            </w:pPr>
            <w:r w:rsidRPr="009A7150">
              <w:t>OHS policy and work procedures and instructions.</w:t>
            </w:r>
          </w:p>
          <w:p w:rsidR="00000000" w:rsidRPr="009A7150" w:rsidP="009A7150">
            <w:pPr>
              <w:pStyle w:val="ListBullet"/>
            </w:pPr>
            <w:r w:rsidRPr="009A7150">
              <w:t>Suitable work environment, facilities, equipment a</w:t>
            </w:r>
            <w:r w:rsidRPr="009A7150">
              <w:t>nd materials to undertake actual maintenance of overhead traction wiring systems.</w:t>
            </w:r>
          </w:p>
          <w:p w:rsidR="00000000" w:rsidRPr="009A7150" w:rsidP="009A7150">
            <w:pPr>
              <w:pStyle w:val="BodyText"/>
            </w:pPr>
            <w:r w:rsidRPr="009A7150">
              <w:t xml:space="preserve">In addition to the resources listed above, in context of and specific resources for assessment, evidence should show demonstrated competency working below ground, in limited </w:t>
            </w:r>
            <w:r w:rsidRPr="009A7150">
              <w:t>spaces, with different structural/construction types and method and in a variety of environments.</w:t>
            </w:r>
          </w:p>
        </w:tc>
      </w:tr>
    </w:tbl>
    <w:p w:rsidR="00000000" w:rsidRPr="009A7150" w:rsidP="009A7150">
      <w:pPr>
        <w:pStyle w:val="BodyText"/>
      </w:pPr>
    </w:p>
    <w:tbl>
      <w:tblPr>
        <w:tblW w:w="0" w:type="auto"/>
        <w:tblLayout w:type="fixed"/>
        <w:tblCellMar>
          <w:left w:w="62" w:type="dxa"/>
          <w:right w:w="62" w:type="dxa"/>
        </w:tblCellMar>
        <w:tblLook w:val="0000"/>
      </w:tblPr>
      <w:tblGrid>
        <w:gridCol w:w="1890"/>
        <w:gridCol w:w="6570"/>
      </w:tblGrid>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9.4)</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This Competency Standard Unit shall be assessed by methods given in Volume 1, Part 3 “Assessment Guidelines”.</w:t>
            </w:r>
          </w:p>
          <w:p w:rsidR="00000000" w:rsidRPr="009A7150" w:rsidP="009A7150">
            <w:pPr>
              <w:pStyle w:val="BodyText"/>
            </w:pPr>
            <w:r w:rsidRPr="009A7150">
              <w:t>Note:</w:t>
            </w:r>
          </w:p>
          <w:p w:rsidR="00000000" w:rsidRPr="009A7150" w:rsidP="009A7150">
            <w:pPr>
              <w:pStyle w:val="BodyText"/>
            </w:pPr>
            <w:r w:rsidRPr="009A7150">
              <w:t>Competent performance with inherent safe working practices is expected in the Transmission, Distribution and Rail Traction Industry. This requires that the specified essential knowledge and associated skills are assessed in a structured environment which i</w:t>
            </w:r>
            <w:r w:rsidRPr="009A7150">
              <w:t>s primarily intended for learning/assessment and incorporates all necessary equipment and facilities for learners to develop and demonstrate the essential knowledge and associated skills described in this unit.</w:t>
            </w:r>
          </w:p>
        </w:tc>
      </w:tr>
    </w:tbl>
    <w:p w:rsidR="00000000" w:rsidRPr="009A7150" w:rsidP="009A7150">
      <w:pPr>
        <w:pStyle w:val="BodyText"/>
      </w:pPr>
    </w:p>
    <w:tbl>
      <w:tblPr>
        <w:tblW w:w="0" w:type="auto"/>
        <w:tblLayout w:type="fixed"/>
        <w:tblCellMar>
          <w:left w:w="62" w:type="dxa"/>
          <w:right w:w="62" w:type="dxa"/>
        </w:tblCellMar>
        <w:tblLook w:val="0000"/>
      </w:tblPr>
      <w:tblGrid>
        <w:gridCol w:w="1890"/>
        <w:gridCol w:w="1530"/>
        <w:gridCol w:w="5040"/>
      </w:tblGrid>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Concurrent assessment and relationship with</w:t>
            </w:r>
            <w:r w:rsidRPr="009A7150">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9.5)</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 xml:space="preserve">For optimisation of training and assessment effort, competence in this unit may be assessed concurrently with the following units: </w:t>
            </w:r>
            <w:r w:rsidRPr="009A7150">
              <w:tab/>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UETTDRRT28A</w:t>
            </w:r>
          </w:p>
        </w:tc>
        <w:tc>
          <w:tcPr>
            <w:tcW w:w="504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 xml:space="preserve">Maintain overhead traction components and equipment </w:t>
            </w:r>
          </w:p>
        </w:tc>
      </w:tr>
      <w:tr w:rsidTr="00150D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t>UETTDRRT29A</w:t>
            </w:r>
          </w:p>
        </w:tc>
        <w:tc>
          <w:tcPr>
            <w:tcW w:w="504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Operate rail road traction height access equipment.</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11" w:name="O_465241"/>
      <w:bookmarkEnd w:id="11"/>
      <w:r w:rsidRPr="009A7150">
        <w:t>Range Statement</w:t>
      </w:r>
    </w:p>
    <w:tbl>
      <w:tblPr>
        <w:tblW w:w="0" w:type="auto"/>
        <w:tblLayout w:type="fixed"/>
        <w:tblCellMar>
          <w:left w:w="62" w:type="dxa"/>
          <w:right w:w="62" w:type="dxa"/>
        </w:tblCellMar>
        <w:tblLook w:val="0000"/>
      </w:tblPr>
      <w:tblGrid>
        <w:gridCol w:w="8460"/>
      </w:tblGrid>
      <w:tr w:rsidTr="00150D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RANGE STATEMENT</w:t>
            </w:r>
          </w:p>
        </w:tc>
      </w:tr>
      <w:tr w:rsidTr="00150D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10)</w:t>
            </w:r>
            <w:r w:rsidRPr="009A7150">
              <w:t xml:space="preserve"> This relates to the competency standard unit as a whole providing the range of contexts and </w:t>
            </w:r>
            <w:r w:rsidRPr="009A7150">
              <w:t>conditions to which the Performance Criteria apply. It allows for different work environments and situations that will affect performance.</w:t>
            </w:r>
          </w:p>
          <w:p w:rsidR="00000000" w:rsidRPr="009A7150" w:rsidP="009A7150">
            <w:pPr>
              <w:pStyle w:val="BodyText"/>
            </w:pPr>
            <w:r w:rsidRPr="009A7150">
              <w:t>This Competency Standard Unit shall be demonstrated in relation to the maintenance of overhead traction wiring system</w:t>
            </w:r>
            <w:r w:rsidRPr="009A7150">
              <w:t xml:space="preserve">s as it relates to the correct registration of the contact wire with respect to the current collectors </w:t>
            </w:r>
          </w:p>
          <w:p w:rsidR="00000000" w:rsidRPr="009A7150" w:rsidP="009A7150">
            <w:pPr>
              <w:pStyle w:val="BodyText"/>
            </w:pPr>
            <w:r w:rsidRPr="009A7150">
              <w:t>Maintenance may include the removal, repair and replacement of cables, conductors and associated hardware.</w:t>
            </w:r>
          </w:p>
          <w:p w:rsidR="00000000" w:rsidRPr="009A7150" w:rsidP="009A7150">
            <w:pPr>
              <w:pStyle w:val="BodyText"/>
            </w:pPr>
            <w:r w:rsidRPr="009A7150">
              <w:t>Types of conductor may include HD, CAD, tin b</w:t>
            </w:r>
            <w:r w:rsidRPr="009A7150">
              <w:t>earing and magnesium copper, aluminium, steel, aluminium conductor steel reinforced (ACSR), insulated screened and unscreened cable and pilot and control cables.</w:t>
            </w:r>
          </w:p>
          <w:p w:rsidR="00000000" w:rsidRPr="009A7150" w:rsidP="009A7150">
            <w:pPr>
              <w:pStyle w:val="BodyText"/>
            </w:pPr>
            <w:r w:rsidRPr="009A7150">
              <w:t>Materials and equipment may include porcelain, glass, ceramic, fibre glass and composite insul</w:t>
            </w:r>
            <w:r w:rsidRPr="009A7150">
              <w:t>ators, steel, brass, stainless steel, neoprene, copper, cast and galvanized fittings, drums, pulleys, hooks, yoke plate, line grips, tensioning devices, ropes, slings, hydraulic/manual crimping and cutting tools, specialized tools and dynamometers.</w:t>
            </w:r>
          </w:p>
          <w:p w:rsidR="00000000" w:rsidRPr="009A7150" w:rsidP="009A7150">
            <w:pPr>
              <w:pStyle w:val="BodyText"/>
            </w:pPr>
            <w:r w:rsidRPr="009A7150">
              <w:t>Conduct</w:t>
            </w:r>
            <w:r w:rsidRPr="009A7150">
              <w:t>ors and support wires include droppers wire, catenary wire, contact/trolley wire, earth wire, feeder wire, drape/potential jumper wire, stay wire, cross-span, networks and head span wire.</w:t>
            </w:r>
          </w:p>
          <w:p w:rsidR="00000000" w:rsidRPr="009A7150" w:rsidP="009A7150">
            <w:pPr>
              <w:pStyle w:val="BodyText"/>
            </w:pPr>
            <w:r w:rsidRPr="009A7150">
              <w:t>Associated equipment to conductors may include registration arms, mi</w:t>
            </w:r>
            <w:r w:rsidRPr="009A7150">
              <w:t>dpoint anchors, section insulators, neutral sections, supports, cantilevers, portals, drop verticals, surge diverters and tensioning devices.</w:t>
            </w:r>
          </w:p>
          <w:p w:rsidR="00000000" w:rsidRPr="009A7150" w:rsidP="009A7150">
            <w:pPr>
              <w:pStyle w:val="BodyText"/>
            </w:pPr>
            <w:r w:rsidRPr="009A7150">
              <w:t>Plant may include ladders, elevating work platform, winches and capstans, specialist tensioning stringing equipmen</w:t>
            </w:r>
            <w:r w:rsidRPr="009A7150">
              <w:t>t, cable trailers and drum stands, rail and road rail mounted overhead wiring vehicles.</w:t>
            </w:r>
          </w:p>
          <w:p w:rsidR="00000000" w:rsidRPr="009A7150" w:rsidP="009A7150">
            <w:pPr>
              <w:pStyle w:val="BodyText"/>
            </w:pPr>
            <w:r w:rsidRPr="009A7150">
              <w:t>Installing tension regulators encompasses fitting, positioning and securing weight chains and pulley systems.</w:t>
            </w:r>
          </w:p>
          <w:p w:rsidR="00000000" w:rsidRPr="009A7150" w:rsidP="009A7150">
            <w:pPr>
              <w:pStyle w:val="BodyText"/>
            </w:pPr>
            <w:r w:rsidRPr="009A7150">
              <w:t>Permits may include access permits, permits to work and or</w:t>
            </w:r>
            <w:r w:rsidRPr="009A7150">
              <w:t xml:space="preserve"> other relevant permits and documents by recognised bodies.</w:t>
            </w:r>
          </w:p>
          <w:p w:rsidR="00000000" w:rsidRPr="009A7150" w:rsidP="009A7150">
            <w:pPr>
              <w:pStyle w:val="BodyText"/>
            </w:pPr>
            <w:r w:rsidRPr="009A7150">
              <w:t>Profiling encompasses sag, tension, encumbrances, offsets, cants and registration which involves horizontal and vertical calibration of the contact wire or trolley wire to a design height and stag</w:t>
            </w:r>
            <w:r w:rsidRPr="009A7150">
              <w:t>ger in reference to the running rail.</w:t>
            </w:r>
          </w:p>
          <w:p w:rsidR="00000000" w:rsidRPr="009A7150" w:rsidP="009A7150">
            <w:pPr>
              <w:pStyle w:val="BodyText"/>
            </w:pPr>
            <w:r w:rsidRPr="009A7150">
              <w:t>Current collectors may include pantographs and tram trolley poles.</w:t>
            </w:r>
          </w:p>
          <w:p w:rsidR="00000000" w:rsidRPr="009A7150" w:rsidP="009A7150">
            <w:pPr>
              <w:pStyle w:val="BodyText"/>
            </w:pPr>
            <w:r w:rsidRPr="009A7150">
              <w:t>The following constants and variables included in the element/Performance Criteria in this unit are fully described in the Definitions Section 1 of thi</w:t>
            </w:r>
            <w:r w:rsidRPr="009A7150">
              <w:t>s volume and form an integral part of the Range Statement of this unit:</w:t>
            </w:r>
          </w:p>
          <w:p w:rsidR="00000000" w:rsidRPr="009A7150" w:rsidP="009A7150">
            <w:pPr>
              <w:pStyle w:val="ListBullet3"/>
            </w:pPr>
            <w:r w:rsidRPr="009A7150">
              <w:t>Appropriate and relevant persons (see Personnel)</w:t>
            </w:r>
          </w:p>
          <w:p w:rsidR="00000000" w:rsidRPr="009A7150" w:rsidP="009A7150">
            <w:pPr>
              <w:pStyle w:val="ListBullet3"/>
            </w:pPr>
            <w:r w:rsidRPr="009A7150">
              <w:t>Appropriate authorities</w:t>
            </w:r>
          </w:p>
          <w:p w:rsidR="00000000" w:rsidRPr="009A7150" w:rsidP="009A7150">
            <w:pPr>
              <w:pStyle w:val="ListBullet3"/>
            </w:pPr>
            <w:r w:rsidRPr="009A7150">
              <w:t>Appropriate work platform</w:t>
            </w:r>
          </w:p>
          <w:p w:rsidR="00000000" w:rsidRPr="009A7150" w:rsidP="009A7150">
            <w:pPr>
              <w:pStyle w:val="ListBullet3"/>
            </w:pPr>
            <w:r w:rsidRPr="009A7150">
              <w:t>Assessing risk</w:t>
            </w:r>
          </w:p>
          <w:p w:rsidR="00000000" w:rsidRPr="009A7150" w:rsidP="009A7150">
            <w:pPr>
              <w:pStyle w:val="ListBullet3"/>
            </w:pPr>
            <w:r w:rsidRPr="009A7150">
              <w:t>Assessment</w:t>
            </w:r>
          </w:p>
          <w:p w:rsidR="00000000" w:rsidRPr="009A7150" w:rsidP="009A7150">
            <w:pPr>
              <w:pStyle w:val="ListBullet3"/>
            </w:pPr>
            <w:r w:rsidRPr="009A7150">
              <w:t>Authorisation</w:t>
            </w:r>
          </w:p>
          <w:p w:rsidR="00000000" w:rsidRPr="009A7150" w:rsidP="009A7150">
            <w:pPr>
              <w:pStyle w:val="ListBullet3"/>
            </w:pPr>
            <w:r w:rsidRPr="009A7150">
              <w:t>Confined space</w:t>
            </w:r>
          </w:p>
          <w:p w:rsidR="00000000" w:rsidRPr="009A7150" w:rsidP="009A7150">
            <w:pPr>
              <w:pStyle w:val="ListBullet3"/>
            </w:pPr>
            <w:r w:rsidRPr="009A7150">
              <w:t>Diagnostic, testing and restoration</w:t>
            </w:r>
          </w:p>
          <w:p w:rsidR="00000000" w:rsidRPr="009A7150" w:rsidP="009A7150">
            <w:pPr>
              <w:pStyle w:val="ListBullet3"/>
            </w:pPr>
            <w:r w:rsidRPr="009A7150">
              <w:t>Documenting detail of work events, record keeping and or storage of information</w:t>
            </w:r>
          </w:p>
          <w:p w:rsidR="00000000" w:rsidRPr="009A7150" w:rsidP="009A7150">
            <w:pPr>
              <w:pStyle w:val="ListBullet3"/>
            </w:pPr>
            <w:r w:rsidRPr="009A7150">
              <w:t>Drawings and specifications</w:t>
            </w:r>
          </w:p>
          <w:p w:rsidR="00000000" w:rsidRPr="009A7150" w:rsidP="009A7150">
            <w:pPr>
              <w:pStyle w:val="ListBullet3"/>
            </w:pPr>
            <w:r w:rsidRPr="009A7150">
              <w:t>Emergency</w:t>
            </w:r>
          </w:p>
          <w:p w:rsidR="00000000" w:rsidRPr="009A7150" w:rsidP="009A7150">
            <w:pPr>
              <w:pStyle w:val="ListBullet3"/>
            </w:pPr>
            <w:r w:rsidRPr="009A7150">
              <w:t>Environmental and sustainable energy procedures</w:t>
            </w:r>
          </w:p>
          <w:p w:rsidR="00000000" w:rsidRPr="009A7150" w:rsidP="009A7150">
            <w:pPr>
              <w:pStyle w:val="ListBullet3"/>
            </w:pPr>
            <w:r w:rsidRPr="009A7150">
              <w:t>Environmental legislation.</w:t>
            </w:r>
          </w:p>
          <w:p w:rsidR="00000000" w:rsidRPr="009A7150" w:rsidP="009A7150">
            <w:pPr>
              <w:pStyle w:val="ListBullet3"/>
            </w:pPr>
            <w:r w:rsidRPr="009A7150">
              <w:t>Environmental management do</w:t>
            </w:r>
            <w:r w:rsidRPr="009A7150">
              <w:t>cumentation.</w:t>
            </w:r>
          </w:p>
          <w:p w:rsidR="00000000" w:rsidRPr="009A7150" w:rsidP="009A7150">
            <w:pPr>
              <w:pStyle w:val="ListBullet3"/>
            </w:pPr>
            <w:r w:rsidRPr="009A7150">
              <w:t>Established procedures</w:t>
            </w:r>
          </w:p>
          <w:p w:rsidR="00000000" w:rsidRPr="009A7150" w:rsidP="009A7150">
            <w:pPr>
              <w:pStyle w:val="ListBullet3"/>
            </w:pPr>
            <w:r w:rsidRPr="009A7150">
              <w:t>Fall prevention</w:t>
            </w:r>
          </w:p>
          <w:p w:rsidR="00000000" w:rsidRPr="009A7150" w:rsidP="009A7150">
            <w:pPr>
              <w:pStyle w:val="ListBullet3"/>
            </w:pPr>
            <w:r w:rsidRPr="009A7150">
              <w:t>Hazards</w:t>
            </w:r>
          </w:p>
          <w:p w:rsidR="00000000" w:rsidRPr="009A7150" w:rsidP="009A7150">
            <w:pPr>
              <w:pStyle w:val="ListBullet3"/>
            </w:pPr>
            <w:r w:rsidRPr="009A7150">
              <w:t>Identifying hazards</w:t>
            </w:r>
          </w:p>
          <w:p w:rsidR="00000000" w:rsidRPr="009A7150" w:rsidP="009A7150">
            <w:pPr>
              <w:pStyle w:val="ListBullet3"/>
            </w:pPr>
            <w:r w:rsidRPr="009A7150">
              <w:t>Inspect</w:t>
            </w:r>
          </w:p>
          <w:p w:rsidR="00000000" w:rsidRPr="009A7150" w:rsidP="009A7150">
            <w:pPr>
              <w:pStyle w:val="ListBullet3"/>
            </w:pPr>
            <w:r w:rsidRPr="009A7150">
              <w:t>Legislation</w:t>
            </w:r>
          </w:p>
          <w:p w:rsidR="00000000" w:rsidRPr="009A7150" w:rsidP="009A7150">
            <w:pPr>
              <w:pStyle w:val="ListBullet3"/>
            </w:pPr>
            <w:r w:rsidRPr="009A7150">
              <w:t>MSDS</w:t>
            </w:r>
          </w:p>
          <w:p w:rsidR="00000000" w:rsidRPr="009A7150" w:rsidP="009A7150">
            <w:pPr>
              <w:pStyle w:val="ListBullet3"/>
            </w:pPr>
            <w:r w:rsidRPr="009A7150">
              <w:t>Notification</w:t>
            </w:r>
          </w:p>
          <w:p w:rsidR="00000000" w:rsidRPr="009A7150" w:rsidP="009A7150">
            <w:pPr>
              <w:pStyle w:val="ListBullet3"/>
            </w:pPr>
            <w:r w:rsidRPr="009A7150">
              <w:t>OHS practices</w:t>
            </w:r>
          </w:p>
          <w:p w:rsidR="00000000" w:rsidRPr="009A7150" w:rsidP="009A7150">
            <w:pPr>
              <w:pStyle w:val="ListBullet3"/>
            </w:pPr>
            <w:r w:rsidRPr="009A7150">
              <w:t>OHS issues</w:t>
            </w:r>
          </w:p>
          <w:p w:rsidR="00000000" w:rsidRPr="009A7150" w:rsidP="009A7150">
            <w:pPr>
              <w:pStyle w:val="ListBullet3"/>
            </w:pPr>
            <w:r w:rsidRPr="009A7150">
              <w:t>Permits and/or permits to work</w:t>
            </w:r>
          </w:p>
          <w:p w:rsidR="00000000" w:rsidRPr="009A7150" w:rsidP="009A7150">
            <w:pPr>
              <w:pStyle w:val="ListBullet3"/>
            </w:pPr>
            <w:r w:rsidRPr="009A7150">
              <w:t>Personnel</w:t>
            </w:r>
          </w:p>
          <w:p w:rsidR="00000000" w:rsidRPr="009A7150" w:rsidP="009A7150">
            <w:pPr>
              <w:pStyle w:val="ListBullet3"/>
            </w:pPr>
            <w:r w:rsidRPr="009A7150">
              <w:t>Quality assurance systems</w:t>
            </w:r>
          </w:p>
          <w:p w:rsidR="00000000" w:rsidRPr="009A7150" w:rsidP="009A7150">
            <w:pPr>
              <w:pStyle w:val="ListBullet3"/>
            </w:pPr>
            <w:r w:rsidRPr="009A7150">
              <w:t>Requirements</w:t>
            </w:r>
          </w:p>
          <w:p w:rsidR="00000000" w:rsidRPr="009A7150" w:rsidP="009A7150">
            <w:pPr>
              <w:pStyle w:val="ListBullet3"/>
            </w:pPr>
            <w:r w:rsidRPr="009A7150">
              <w:t>Testing procedures</w:t>
            </w:r>
          </w:p>
          <w:p w:rsidR="00000000" w:rsidRPr="009A7150" w:rsidP="009A7150">
            <w:pPr>
              <w:pStyle w:val="ListBullet3"/>
            </w:pPr>
            <w:r w:rsidRPr="009A7150">
              <w:t>Work clearance systems</w:t>
            </w:r>
          </w:p>
        </w:tc>
      </w:tr>
    </w:tbl>
    <w:p w:rsidR="00000000" w:rsidRPr="009A7150" w:rsidP="009A7150">
      <w:pPr>
        <w:pStyle w:val="BodyText"/>
      </w:pPr>
    </w:p>
    <w:p w:rsidR="00000000" w:rsidRPr="009A7150" w:rsidP="009A7150">
      <w:pPr>
        <w:pStyle w:val="AllowPageBreak"/>
      </w:pPr>
    </w:p>
    <w:p w:rsidR="00000000" w:rsidRPr="009A7150" w:rsidP="009A7150">
      <w:pPr>
        <w:pStyle w:val="Heading1"/>
      </w:pPr>
      <w:bookmarkStart w:id="12" w:name="O_465244"/>
      <w:bookmarkEnd w:id="12"/>
      <w:r w:rsidRPr="009A7150">
        <w:t>Unit Sector(s)</w:t>
      </w:r>
    </w:p>
    <w:p w:rsidR="00000000" w:rsidRPr="009A7150" w:rsidP="009A7150">
      <w:pPr>
        <w:pStyle w:val="BodyText"/>
      </w:pPr>
      <w:r w:rsidRPr="009A7150">
        <w:t>Not applicable.</w:t>
      </w:r>
    </w:p>
    <w:p w:rsidR="00000000" w:rsidRPr="009A7150" w:rsidP="009A7150">
      <w:pPr>
        <w:pStyle w:val="AllowPageBreak"/>
      </w:pPr>
    </w:p>
    <w:p w:rsidR="00000000" w:rsidRPr="009A7150" w:rsidP="009A7150">
      <w:pPr>
        <w:pStyle w:val="Heading1"/>
      </w:pPr>
      <w:bookmarkStart w:id="13" w:name="O_465233"/>
      <w:bookmarkEnd w:id="13"/>
      <w:r w:rsidRPr="009A7150">
        <w:t>Competency Field</w:t>
      </w:r>
    </w:p>
    <w:tbl>
      <w:tblPr>
        <w:tblW w:w="0" w:type="auto"/>
        <w:tblLayout w:type="fixed"/>
        <w:tblCellMar>
          <w:left w:w="62" w:type="dxa"/>
          <w:right w:w="62" w:type="dxa"/>
        </w:tblCellMar>
        <w:tblLook w:val="0000"/>
      </w:tblPr>
      <w:tblGrid>
        <w:gridCol w:w="2700"/>
        <w:gridCol w:w="5760"/>
      </w:tblGrid>
      <w:tr w:rsidTr="00150D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A7150">
            <w:pPr>
              <w:pStyle w:val="BodyText"/>
              <w:rPr>
                <w:lang w:val="en-NZ"/>
              </w:rPr>
            </w:pPr>
            <w:r w:rsidRPr="009A7150">
              <w:rPr>
                <w:rStyle w:val="SpecialBold"/>
              </w:rPr>
              <w:t xml:space="preserve">11) </w:t>
            </w:r>
          </w:p>
        </w:tc>
      </w:tr>
      <w:tr w:rsidTr="00150D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7150" w:rsidP="009A7150">
            <w:pPr>
              <w:pStyle w:val="BodyText"/>
            </w:pPr>
            <w:r w:rsidRPr="009A7150">
              <w:t>Rail Traction Units</w:t>
            </w:r>
          </w:p>
        </w:tc>
      </w:tr>
    </w:tbl>
    <w:p w:rsidR="00000000" w:rsidRPr="009A7150" w:rsidP="009A7150">
      <w:pPr>
        <w:pStyle w:val="BodyText"/>
      </w:pPr>
    </w:p>
    <w:p w:rsidR="00000000" w:rsidRPr="009A7150" w:rsidP="009A7150"/>
    <w:sectPr w:rsidSect="009A7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D47" w:rsidP="00150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47" w:rsidP="009A7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150D47" w:rsidP="009A71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50D47" w:rsidP="009A71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D47" w:rsidP="00150D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D47" w:rsidP="009A7150">
    <w:pPr>
      <w:pStyle w:val="Header"/>
      <w:framePr w:wrap="around"/>
    </w:pPr>
    <w:r>
      <w:fldChar w:fldCharType="begin"/>
    </w:r>
    <w:r>
      <w:instrText xml:space="preserve"> TITLE   \* MERGEFORMAT </w:instrText>
    </w:r>
    <w:r>
      <w:fldChar w:fldCharType="separate"/>
    </w:r>
    <w:r>
      <w:t>UETTDRRT22A Maintain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0D47" w:rsidP="009A71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46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84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08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1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7150"/>
    <w:pPr>
      <w:spacing w:before="360" w:after="60"/>
      <w:outlineLvl w:val="0"/>
    </w:pPr>
    <w:rPr>
      <w:sz w:val="32"/>
    </w:rPr>
  </w:style>
  <w:style w:type="paragraph" w:styleId="Heading2">
    <w:name w:val="heading 2"/>
    <w:basedOn w:val="HeadingBase"/>
    <w:next w:val="BodyText"/>
    <w:link w:val="Heading2Char"/>
    <w:qFormat/>
    <w:rsid w:val="009A7150"/>
    <w:pPr>
      <w:keepLines/>
      <w:spacing w:before="240" w:after="120"/>
      <w:outlineLvl w:val="1"/>
    </w:pPr>
    <w:rPr>
      <w:sz w:val="28"/>
      <w:szCs w:val="40"/>
    </w:rPr>
  </w:style>
  <w:style w:type="paragraph" w:styleId="Heading3">
    <w:name w:val="heading 3"/>
    <w:basedOn w:val="HeadingBase"/>
    <w:next w:val="BodyText"/>
    <w:link w:val="Heading3Char"/>
    <w:qFormat/>
    <w:rsid w:val="009A7150"/>
    <w:pPr>
      <w:spacing w:before="180" w:after="120"/>
      <w:outlineLvl w:val="2"/>
    </w:pPr>
    <w:rPr>
      <w:spacing w:val="-10"/>
      <w:kern w:val="32"/>
    </w:rPr>
  </w:style>
  <w:style w:type="paragraph" w:styleId="Heading4">
    <w:name w:val="heading 4"/>
    <w:basedOn w:val="HeadingBase"/>
    <w:next w:val="BodyText"/>
    <w:link w:val="Heading4Char"/>
    <w:qFormat/>
    <w:rsid w:val="009A7150"/>
    <w:pPr>
      <w:spacing w:before="160" w:after="120"/>
      <w:outlineLvl w:val="3"/>
    </w:pPr>
    <w:rPr>
      <w:sz w:val="22"/>
    </w:rPr>
  </w:style>
  <w:style w:type="paragraph" w:styleId="Heading5">
    <w:name w:val="heading 5"/>
    <w:basedOn w:val="HeadingBase"/>
    <w:next w:val="Normal"/>
    <w:link w:val="Heading5Char"/>
    <w:qFormat/>
    <w:rsid w:val="009A7150"/>
    <w:pPr>
      <w:spacing w:before="80"/>
      <w:outlineLvl w:val="4"/>
    </w:pPr>
    <w:rPr>
      <w:color w:val="918585"/>
      <w:sz w:val="20"/>
    </w:rPr>
  </w:style>
  <w:style w:type="paragraph" w:styleId="Heading6">
    <w:name w:val="heading 6"/>
    <w:basedOn w:val="HeadingBase"/>
    <w:next w:val="Normal"/>
    <w:link w:val="Heading6Char"/>
    <w:qFormat/>
    <w:rsid w:val="009A7150"/>
    <w:pPr>
      <w:spacing w:before="60"/>
      <w:outlineLvl w:val="5"/>
    </w:pPr>
    <w:rPr>
      <w:color w:val="918585"/>
      <w:sz w:val="20"/>
    </w:rPr>
  </w:style>
  <w:style w:type="paragraph" w:styleId="Heading7">
    <w:name w:val="heading 7"/>
    <w:basedOn w:val="Normal"/>
    <w:next w:val="Normal"/>
    <w:link w:val="Heading7Char"/>
    <w:qFormat/>
    <w:rsid w:val="009A7150"/>
    <w:pPr>
      <w:ind w:left="720"/>
      <w:outlineLvl w:val="6"/>
    </w:pPr>
    <w:rPr>
      <w:i/>
    </w:rPr>
  </w:style>
  <w:style w:type="paragraph" w:styleId="Heading8">
    <w:name w:val="heading 8"/>
    <w:basedOn w:val="Normal"/>
    <w:next w:val="Normal"/>
    <w:link w:val="Heading8Char"/>
    <w:qFormat/>
    <w:rsid w:val="009A7150"/>
    <w:pPr>
      <w:ind w:left="720"/>
      <w:outlineLvl w:val="7"/>
    </w:pPr>
    <w:rPr>
      <w:i/>
    </w:rPr>
  </w:style>
  <w:style w:type="paragraph" w:styleId="Heading9">
    <w:name w:val="heading 9"/>
    <w:basedOn w:val="Normal"/>
    <w:next w:val="Normal"/>
    <w:link w:val="Heading9Char"/>
    <w:qFormat/>
    <w:rsid w:val="009A7150"/>
    <w:pPr>
      <w:ind w:left="720"/>
      <w:outlineLvl w:val="8"/>
    </w:pPr>
    <w:rPr>
      <w:i/>
    </w:rPr>
  </w:style>
  <w:style w:type="character" w:default="1" w:styleId="DefaultParagraphFont">
    <w:name w:val="Default Paragraph Font"/>
    <w:uiPriority w:val="1"/>
    <w:unhideWhenUsed/>
    <w:rsid w:val="009A7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150"/>
  </w:style>
  <w:style w:type="character" w:customStyle="1" w:styleId="Heading1Char">
    <w:name w:val="Heading 1 Char"/>
    <w:link w:val="Heading1"/>
    <w:rsid w:val="009A7150"/>
    <w:rPr>
      <w:rFonts w:ascii="Times New Roman" w:eastAsia="Times New Roman" w:hAnsi="Times New Roman" w:cs="Times New Roman"/>
      <w:b/>
      <w:sz w:val="32"/>
      <w:szCs w:val="20"/>
      <w:lang w:eastAsia="en-US"/>
    </w:rPr>
  </w:style>
  <w:style w:type="paragraph" w:styleId="BodyText">
    <w:name w:val="Body Text"/>
    <w:basedOn w:val="Normal"/>
    <w:link w:val="BodyTextChar"/>
    <w:rsid w:val="009A7150"/>
    <w:pPr>
      <w:spacing w:before="120" w:after="120"/>
      <w:contextualSpacing/>
    </w:pPr>
    <w:rPr>
      <w:rFonts w:ascii="Times New Roman" w:hAnsi="Times New Roman"/>
      <w:sz w:val="24"/>
      <w:szCs w:val="22"/>
    </w:rPr>
  </w:style>
  <w:style w:type="character" w:customStyle="1" w:styleId="BodyTextChar">
    <w:name w:val="Body Text Char"/>
    <w:link w:val="BodyText"/>
    <w:rsid w:val="009A7150"/>
    <w:rPr>
      <w:rFonts w:ascii="Times New Roman" w:eastAsia="Times New Roman" w:hAnsi="Times New Roman" w:cs="Times New Roman"/>
      <w:sz w:val="24"/>
      <w:lang w:val="en-US" w:eastAsia="en-US"/>
    </w:rPr>
  </w:style>
  <w:style w:type="paragraph" w:styleId="Footer">
    <w:name w:val="footer"/>
    <w:basedOn w:val="Normal"/>
    <w:link w:val="FooterChar"/>
    <w:rsid w:val="009A7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7150"/>
    <w:rPr>
      <w:rFonts w:ascii="Times New Roman" w:eastAsia="Times New Roman" w:hAnsi="Times New Roman" w:cs="Times New Roman"/>
      <w:sz w:val="16"/>
      <w:lang w:val="en-US" w:eastAsia="en-US"/>
    </w:rPr>
  </w:style>
  <w:style w:type="paragraph" w:styleId="ListBullet">
    <w:name w:val="List Bullet"/>
    <w:basedOn w:val="List"/>
    <w:rsid w:val="009A7150"/>
    <w:pPr>
      <w:numPr>
        <w:numId w:val="14"/>
      </w:numPr>
      <w:tabs>
        <w:tab w:val="clear" w:pos="340"/>
      </w:tabs>
      <w:spacing w:before="40" w:after="40"/>
    </w:pPr>
  </w:style>
  <w:style w:type="character" w:customStyle="1" w:styleId="SpecialBold">
    <w:name w:val="Special Bold"/>
    <w:rsid w:val="009A7150"/>
    <w:rPr>
      <w:b/>
      <w:spacing w:val="0"/>
    </w:rPr>
  </w:style>
  <w:style w:type="paragraph" w:styleId="ListBullet2">
    <w:name w:val="List Bullet 2"/>
    <w:basedOn w:val="List2"/>
    <w:rsid w:val="009A7150"/>
    <w:pPr>
      <w:numPr>
        <w:numId w:val="15"/>
      </w:numPr>
      <w:tabs>
        <w:tab w:val="clear" w:pos="680"/>
      </w:tabs>
    </w:pPr>
  </w:style>
  <w:style w:type="paragraph" w:styleId="Header">
    <w:name w:val="header"/>
    <w:basedOn w:val="Normal"/>
    <w:link w:val="HeaderChar"/>
    <w:rsid w:val="009A7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71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7150"/>
    <w:pPr>
      <w:spacing w:before="240" w:after="120"/>
      <w:outlineLvl w:val="0"/>
    </w:pPr>
    <w:rPr>
      <w:rFonts w:ascii="Times New Roman" w:hAnsi="Times New Roman"/>
      <w:b/>
      <w:sz w:val="28"/>
    </w:rPr>
  </w:style>
  <w:style w:type="paragraph" w:customStyle="1" w:styleId="AllowPageBreak">
    <w:name w:val="AllowPageBreak"/>
    <w:rsid w:val="009A71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7150"/>
    <w:pPr>
      <w:numPr>
        <w:numId w:val="3"/>
      </w:numPr>
      <w:tabs>
        <w:tab w:val="clear" w:pos="1021"/>
      </w:tabs>
      <w:ind w:left="1037" w:hanging="357"/>
    </w:pPr>
  </w:style>
  <w:style w:type="character" w:customStyle="1" w:styleId="Heading2Char">
    <w:name w:val="Heading 2 Char"/>
    <w:link w:val="Heading2"/>
    <w:rsid w:val="009A7150"/>
    <w:rPr>
      <w:rFonts w:ascii="Times New Roman" w:eastAsia="Times New Roman" w:hAnsi="Times New Roman" w:cs="Times New Roman"/>
      <w:b/>
      <w:sz w:val="28"/>
      <w:szCs w:val="40"/>
      <w:lang w:eastAsia="en-US"/>
    </w:rPr>
  </w:style>
  <w:style w:type="character" w:customStyle="1" w:styleId="Heading3Char">
    <w:name w:val="Heading 3 Char"/>
    <w:link w:val="Heading3"/>
    <w:rsid w:val="009A71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7150"/>
    <w:rPr>
      <w:rFonts w:ascii="Times New Roman" w:eastAsia="Times New Roman" w:hAnsi="Times New Roman" w:cs="Times New Roman"/>
      <w:b/>
      <w:szCs w:val="20"/>
      <w:lang w:eastAsia="en-US"/>
    </w:rPr>
  </w:style>
  <w:style w:type="character" w:customStyle="1" w:styleId="Heading5Char">
    <w:name w:val="Heading 5 Char"/>
    <w:link w:val="Heading5"/>
    <w:rsid w:val="009A71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7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1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71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7150"/>
    <w:rPr>
      <w:rFonts w:ascii="Courier New" w:eastAsia="Times New Roman" w:hAnsi="Courier New" w:cs="Times New Roman"/>
      <w:i/>
      <w:szCs w:val="20"/>
      <w:lang w:val="en-US" w:eastAsia="en-US"/>
    </w:rPr>
  </w:style>
  <w:style w:type="paragraph" w:customStyle="1" w:styleId="HeadingBase">
    <w:name w:val="Heading Base"/>
    <w:rsid w:val="009A7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150"/>
    <w:pPr>
      <w:tabs>
        <w:tab w:val="right" w:leader="dot" w:pos="9072"/>
      </w:tabs>
      <w:ind w:left="567"/>
    </w:pPr>
    <w:rPr>
      <w:szCs w:val="22"/>
    </w:rPr>
  </w:style>
  <w:style w:type="paragraph" w:customStyle="1" w:styleId="TOCBase">
    <w:name w:val="TOC Base"/>
    <w:rsid w:val="009A7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150"/>
    <w:pPr>
      <w:tabs>
        <w:tab w:val="right" w:leader="dot" w:pos="9072"/>
      </w:tabs>
      <w:spacing w:before="40" w:after="40"/>
      <w:ind w:left="284"/>
    </w:pPr>
    <w:rPr>
      <w:rFonts w:ascii="Times New Roman" w:hAnsi="Times New Roman"/>
    </w:rPr>
  </w:style>
  <w:style w:type="paragraph" w:styleId="TOC1">
    <w:name w:val="toc 1"/>
    <w:basedOn w:val="TOCBase"/>
    <w:next w:val="Normal"/>
    <w:rsid w:val="009A71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150"/>
    <w:pPr>
      <w:spacing w:before="5040"/>
      <w:jc w:val="center"/>
    </w:pPr>
    <w:rPr>
      <w:sz w:val="48"/>
      <w:szCs w:val="72"/>
      <w:lang w:val="en-US"/>
    </w:rPr>
  </w:style>
  <w:style w:type="character" w:customStyle="1" w:styleId="TitleChar">
    <w:name w:val="Title Char"/>
    <w:link w:val="Title"/>
    <w:rsid w:val="009A7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150"/>
    <w:pPr>
      <w:tabs>
        <w:tab w:val="left" w:pos="3600"/>
        <w:tab w:val="left" w:pos="3958"/>
      </w:tabs>
    </w:pPr>
  </w:style>
  <w:style w:type="paragraph" w:styleId="List">
    <w:name w:val="List"/>
    <w:basedOn w:val="BodyText"/>
    <w:next w:val="BodyText"/>
    <w:rsid w:val="009A7150"/>
    <w:pPr>
      <w:tabs>
        <w:tab w:val="left" w:pos="340"/>
      </w:tabs>
      <w:spacing w:before="60" w:after="60"/>
      <w:ind w:left="340" w:hanging="340"/>
    </w:pPr>
  </w:style>
  <w:style w:type="paragraph" w:customStyle="1" w:styleId="Note">
    <w:name w:val="Note"/>
    <w:basedOn w:val="BodyText"/>
    <w:rsid w:val="009A7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150"/>
    <w:pPr>
      <w:framePr w:wrap="auto" w:hAnchor="text" w:y="6049"/>
    </w:pPr>
    <w:rPr>
      <w:color w:val="000000"/>
      <w:sz w:val="40"/>
    </w:rPr>
  </w:style>
  <w:style w:type="paragraph" w:customStyle="1" w:styleId="TOCTitle">
    <w:name w:val="TOCTitle"/>
    <w:basedOn w:val="Heading1"/>
    <w:rsid w:val="009A7150"/>
    <w:pPr>
      <w:spacing w:after="240"/>
      <w:jc w:val="center"/>
      <w:outlineLvl w:val="9"/>
    </w:pPr>
    <w:rPr>
      <w:caps/>
    </w:rPr>
  </w:style>
  <w:style w:type="paragraph" w:customStyle="1" w:styleId="Version">
    <w:name w:val="Version"/>
    <w:rsid w:val="009A7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150"/>
    <w:pPr>
      <w:keepNext w:val="0"/>
      <w:tabs>
        <w:tab w:val="right" w:pos="4176"/>
      </w:tabs>
      <w:ind w:left="198" w:hanging="198"/>
    </w:pPr>
    <w:rPr>
      <w:rFonts w:ascii="Garamond" w:hAnsi="Garamond"/>
    </w:rPr>
  </w:style>
  <w:style w:type="paragraph" w:styleId="IndexHeading">
    <w:name w:val="index heading"/>
    <w:basedOn w:val="Normal"/>
    <w:next w:val="Index1"/>
    <w:semiHidden/>
    <w:rsid w:val="009A7150"/>
    <w:pPr>
      <w:spacing w:before="120" w:after="120"/>
    </w:pPr>
    <w:rPr>
      <w:rFonts w:ascii="Arial" w:hAnsi="Arial"/>
      <w:b/>
      <w:color w:val="918585"/>
      <w:sz w:val="24"/>
    </w:rPr>
  </w:style>
  <w:style w:type="paragraph" w:customStyle="1" w:styleId="Chapter">
    <w:name w:val="Chapter"/>
    <w:basedOn w:val="Normal"/>
    <w:rsid w:val="009A7150"/>
    <w:pPr>
      <w:spacing w:before="240"/>
    </w:pPr>
    <w:rPr>
      <w:rFonts w:ascii="Times New Roman" w:hAnsi="Times New Roman"/>
      <w:smallCaps/>
      <w:spacing w:val="80"/>
      <w:sz w:val="28"/>
    </w:rPr>
  </w:style>
  <w:style w:type="paragraph" w:customStyle="1" w:styleId="InChapter">
    <w:name w:val="InChapter"/>
    <w:basedOn w:val="Heading3"/>
    <w:rsid w:val="009A7150"/>
    <w:pPr>
      <w:spacing w:after="240"/>
      <w:outlineLvl w:val="9"/>
    </w:pPr>
    <w:rPr>
      <w:noProof/>
    </w:rPr>
  </w:style>
  <w:style w:type="paragraph" w:styleId="Index2">
    <w:name w:val="index 2"/>
    <w:basedOn w:val="Normal"/>
    <w:next w:val="Normal"/>
    <w:semiHidden/>
    <w:rsid w:val="009A7150"/>
    <w:pPr>
      <w:tabs>
        <w:tab w:val="right" w:pos="4176"/>
      </w:tabs>
      <w:ind w:left="568" w:hanging="284"/>
    </w:pPr>
    <w:rPr>
      <w:rFonts w:ascii="Garamond" w:hAnsi="Garamond"/>
    </w:rPr>
  </w:style>
  <w:style w:type="paragraph" w:customStyle="1" w:styleId="Byline">
    <w:name w:val="Byline"/>
    <w:rsid w:val="009A7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150"/>
    <w:pPr>
      <w:tabs>
        <w:tab w:val="clear" w:pos="3600"/>
        <w:tab w:val="clear" w:pos="3958"/>
      </w:tabs>
      <w:jc w:val="right"/>
    </w:pPr>
  </w:style>
  <w:style w:type="character" w:styleId="Emphasis">
    <w:name w:val="Emphasis"/>
    <w:qFormat/>
    <w:rsid w:val="009A7150"/>
    <w:rPr>
      <w:i/>
    </w:rPr>
  </w:style>
  <w:style w:type="paragraph" w:styleId="Caption">
    <w:name w:val="caption"/>
    <w:basedOn w:val="BodyText"/>
    <w:next w:val="Normal"/>
    <w:qFormat/>
    <w:rsid w:val="009A7150"/>
    <w:pPr>
      <w:framePr w:w="2268" w:hSpace="181" w:vSpace="181" w:wrap="around" w:vAnchor="text" w:hAnchor="page" w:x="1135" w:y="285" w:anchorLock="1"/>
    </w:pPr>
    <w:rPr>
      <w:i/>
    </w:rPr>
  </w:style>
  <w:style w:type="paragraph" w:customStyle="1" w:styleId="MiniTOCTitle">
    <w:name w:val="MiniTOCTitle"/>
    <w:basedOn w:val="Heading4"/>
    <w:rsid w:val="009A7150"/>
    <w:pPr>
      <w:spacing w:before="240"/>
      <w:outlineLvl w:val="9"/>
    </w:pPr>
    <w:rPr>
      <w:noProof/>
      <w:sz w:val="24"/>
    </w:rPr>
  </w:style>
  <w:style w:type="paragraph" w:customStyle="1" w:styleId="MiniTOCItem">
    <w:name w:val="MiniTOCItem"/>
    <w:basedOn w:val="ListBullet"/>
    <w:rsid w:val="009A7150"/>
    <w:pPr>
      <w:numPr>
        <w:numId w:val="0"/>
      </w:numPr>
      <w:tabs>
        <w:tab w:val="right" w:leader="dot" w:pos="6521"/>
      </w:tabs>
      <w:spacing w:before="0" w:after="0"/>
    </w:pPr>
  </w:style>
  <w:style w:type="paragraph" w:customStyle="1" w:styleId="TOFTitle">
    <w:name w:val="TOFTitle"/>
    <w:basedOn w:val="TOCTitle"/>
    <w:rsid w:val="009A7150"/>
  </w:style>
  <w:style w:type="paragraph" w:styleId="TableofFigures">
    <w:name w:val="table of figures"/>
    <w:basedOn w:val="Normal"/>
    <w:next w:val="Normal"/>
    <w:semiHidden/>
    <w:rsid w:val="009A7150"/>
    <w:pPr>
      <w:tabs>
        <w:tab w:val="right" w:leader="dot" w:pos="9072"/>
      </w:tabs>
      <w:ind w:left="970" w:hanging="403"/>
    </w:pPr>
    <w:rPr>
      <w:rFonts w:ascii="Times New Roman" w:hAnsi="Times New Roman"/>
      <w:b/>
    </w:rPr>
  </w:style>
  <w:style w:type="paragraph" w:styleId="ListNumber">
    <w:name w:val="List Number"/>
    <w:basedOn w:val="List"/>
    <w:rsid w:val="009A7150"/>
    <w:pPr>
      <w:numPr>
        <w:numId w:val="12"/>
      </w:numPr>
    </w:pPr>
  </w:style>
  <w:style w:type="character" w:customStyle="1" w:styleId="WingdingSymbols">
    <w:name w:val="Wingding Symbols"/>
    <w:rsid w:val="009A7150"/>
    <w:rPr>
      <w:rFonts w:ascii="Wingdings" w:hAnsi="Wingdings"/>
    </w:rPr>
  </w:style>
  <w:style w:type="paragraph" w:customStyle="1" w:styleId="TableHeading">
    <w:name w:val="Table Heading"/>
    <w:basedOn w:val="HeadingBase"/>
    <w:rsid w:val="009A7150"/>
    <w:pPr>
      <w:keepLines/>
      <w:pBdr>
        <w:bottom w:val="single" w:sz="6" w:space="1" w:color="918585"/>
      </w:pBdr>
      <w:spacing w:before="240"/>
    </w:pPr>
  </w:style>
  <w:style w:type="character" w:customStyle="1" w:styleId="HotSpot">
    <w:name w:val="HotSpot"/>
    <w:rsid w:val="009A7150"/>
    <w:rPr>
      <w:color w:val="0033CC"/>
      <w:u w:val="none"/>
    </w:rPr>
  </w:style>
  <w:style w:type="paragraph" w:customStyle="1" w:styleId="BodyTextRight">
    <w:name w:val="Body Text Right"/>
    <w:basedOn w:val="BodyText"/>
    <w:rsid w:val="009A7150"/>
    <w:pPr>
      <w:spacing w:before="0" w:after="0"/>
      <w:jc w:val="right"/>
    </w:pPr>
  </w:style>
  <w:style w:type="paragraph" w:styleId="Index3">
    <w:name w:val="index 3"/>
    <w:basedOn w:val="ListNumber2"/>
    <w:next w:val="Normal"/>
    <w:semiHidden/>
    <w:rsid w:val="009A7150"/>
    <w:pPr>
      <w:numPr>
        <w:numId w:val="0"/>
      </w:numPr>
      <w:tabs>
        <w:tab w:val="right" w:leader="dot" w:pos="4176"/>
      </w:tabs>
    </w:pPr>
  </w:style>
  <w:style w:type="paragraph" w:styleId="ListNumber2">
    <w:name w:val="List Number 2"/>
    <w:basedOn w:val="List2"/>
    <w:rsid w:val="009A7150"/>
    <w:pPr>
      <w:numPr>
        <w:numId w:val="11"/>
      </w:numPr>
      <w:tabs>
        <w:tab w:val="clear" w:pos="1060"/>
      </w:tabs>
    </w:pPr>
  </w:style>
  <w:style w:type="paragraph" w:customStyle="1" w:styleId="MarginNote">
    <w:name w:val="Margin Note"/>
    <w:basedOn w:val="BodyText"/>
    <w:rsid w:val="009A7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71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7150"/>
    <w:rPr>
      <w:sz w:val="32"/>
    </w:rPr>
  </w:style>
  <w:style w:type="paragraph" w:customStyle="1" w:styleId="HeadingProcedure">
    <w:name w:val="Heading Procedure"/>
    <w:basedOn w:val="HeadingBase"/>
    <w:next w:val="Normal"/>
    <w:rsid w:val="009A7150"/>
    <w:pPr>
      <w:tabs>
        <w:tab w:val="left" w:pos="0"/>
      </w:tabs>
      <w:spacing w:before="120" w:after="60"/>
    </w:pPr>
    <w:rPr>
      <w:i/>
      <w:color w:val="918585"/>
      <w:sz w:val="22"/>
    </w:rPr>
  </w:style>
  <w:style w:type="paragraph" w:customStyle="1" w:styleId="TableBodyText">
    <w:name w:val="Table Body Text"/>
    <w:basedOn w:val="BodyText"/>
    <w:rsid w:val="009A7150"/>
    <w:pPr>
      <w:spacing w:before="60" w:after="60"/>
    </w:pPr>
  </w:style>
  <w:style w:type="paragraph" w:styleId="ListContinue">
    <w:name w:val="List Continue"/>
    <w:basedOn w:val="List"/>
    <w:rsid w:val="009A7150"/>
    <w:pPr>
      <w:ind w:firstLine="0"/>
    </w:pPr>
  </w:style>
  <w:style w:type="paragraph" w:customStyle="1" w:styleId="ListNote">
    <w:name w:val="List Note"/>
    <w:basedOn w:val="List"/>
    <w:rsid w:val="009A7150"/>
    <w:pPr>
      <w:pBdr>
        <w:top w:val="single" w:sz="6" w:space="2" w:color="918585"/>
        <w:bottom w:val="single" w:sz="6" w:space="2" w:color="918585"/>
      </w:pBdr>
      <w:tabs>
        <w:tab w:val="left" w:pos="1021"/>
      </w:tabs>
      <w:ind w:firstLine="0"/>
    </w:pPr>
  </w:style>
  <w:style w:type="paragraph" w:customStyle="1" w:styleId="Warning">
    <w:name w:val="Warning"/>
    <w:basedOn w:val="BodyText"/>
    <w:rsid w:val="009A7150"/>
    <w:pPr>
      <w:shd w:val="clear" w:color="auto" w:fill="D9D9D9"/>
      <w:tabs>
        <w:tab w:val="left" w:pos="992"/>
      </w:tabs>
      <w:ind w:left="119" w:right="119"/>
    </w:pPr>
    <w:rPr>
      <w:sz w:val="20"/>
    </w:rPr>
  </w:style>
  <w:style w:type="paragraph" w:customStyle="1" w:styleId="MarginIcons">
    <w:name w:val="Margin Icons"/>
    <w:basedOn w:val="BodyText"/>
    <w:rsid w:val="009A71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7150"/>
    <w:rPr>
      <w:rFonts w:ascii="Courier New" w:hAnsi="Courier New"/>
    </w:rPr>
  </w:style>
  <w:style w:type="paragraph" w:customStyle="1" w:styleId="NoteBullet">
    <w:name w:val="Note Bullet"/>
    <w:basedOn w:val="Note"/>
    <w:rsid w:val="009A7150"/>
    <w:pPr>
      <w:tabs>
        <w:tab w:val="clear" w:pos="680"/>
      </w:tabs>
      <w:spacing w:before="60" w:after="60"/>
    </w:pPr>
  </w:style>
  <w:style w:type="paragraph" w:customStyle="1" w:styleId="SubHeading2">
    <w:name w:val="SubHeading2"/>
    <w:basedOn w:val="HeadingBase"/>
    <w:rsid w:val="009A7150"/>
    <w:pPr>
      <w:spacing w:before="240" w:after="60"/>
    </w:pPr>
    <w:rPr>
      <w:sz w:val="20"/>
    </w:rPr>
  </w:style>
  <w:style w:type="paragraph" w:customStyle="1" w:styleId="SubHeading1">
    <w:name w:val="SubHeading1"/>
    <w:basedOn w:val="HeadingBase"/>
    <w:rsid w:val="009A7150"/>
    <w:pPr>
      <w:spacing w:before="240" w:after="60"/>
    </w:pPr>
    <w:rPr>
      <w:color w:val="918585"/>
      <w:sz w:val="22"/>
    </w:rPr>
  </w:style>
  <w:style w:type="paragraph" w:customStyle="1" w:styleId="SideHeading">
    <w:name w:val="Side Heading"/>
    <w:basedOn w:val="HeadingBase"/>
    <w:rsid w:val="009A7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150"/>
    <w:pPr>
      <w:numPr>
        <w:numId w:val="13"/>
      </w:numPr>
    </w:pPr>
  </w:style>
  <w:style w:type="paragraph" w:styleId="PlainText">
    <w:name w:val="Plain Text"/>
    <w:basedOn w:val="Normal"/>
    <w:link w:val="PlainTextChar"/>
    <w:rsid w:val="009A7150"/>
    <w:rPr>
      <w:sz w:val="20"/>
    </w:rPr>
  </w:style>
  <w:style w:type="character" w:customStyle="1" w:styleId="PlainTextChar">
    <w:name w:val="Plain Text Char"/>
    <w:basedOn w:val="DefaultParagraphFont"/>
    <w:link w:val="PlainText"/>
    <w:rsid w:val="009A7150"/>
    <w:rPr>
      <w:rFonts w:ascii="Courier New" w:eastAsia="Times New Roman" w:hAnsi="Courier New" w:cs="Times New Roman"/>
      <w:sz w:val="20"/>
      <w:szCs w:val="20"/>
      <w:lang w:val="en-US" w:eastAsia="en-US"/>
    </w:rPr>
  </w:style>
  <w:style w:type="character" w:customStyle="1" w:styleId="MenuOption">
    <w:name w:val="Menu Option"/>
    <w:rsid w:val="009A7150"/>
    <w:rPr>
      <w:b/>
      <w:smallCaps/>
    </w:rPr>
  </w:style>
  <w:style w:type="paragraph" w:customStyle="1" w:styleId="TableListNumber">
    <w:name w:val="Table List Number"/>
    <w:basedOn w:val="ListNumber"/>
    <w:rsid w:val="009A7150"/>
    <w:pPr>
      <w:numPr>
        <w:numId w:val="0"/>
      </w:numPr>
    </w:pPr>
  </w:style>
  <w:style w:type="paragraph" w:styleId="TOC4">
    <w:name w:val="toc 4"/>
    <w:basedOn w:val="TOCBase"/>
    <w:next w:val="Normal"/>
    <w:semiHidden/>
    <w:rsid w:val="009A7150"/>
    <w:pPr>
      <w:tabs>
        <w:tab w:val="right" w:leader="dot" w:pos="9071"/>
      </w:tabs>
      <w:ind w:left="1701"/>
    </w:pPr>
  </w:style>
  <w:style w:type="paragraph" w:customStyle="1" w:styleId="ListAlpha">
    <w:name w:val="List Alpha"/>
    <w:basedOn w:val="List"/>
    <w:rsid w:val="009A7150"/>
    <w:pPr>
      <w:numPr>
        <w:numId w:val="10"/>
      </w:numPr>
    </w:pPr>
  </w:style>
  <w:style w:type="paragraph" w:customStyle="1" w:styleId="ListAlpha2">
    <w:name w:val="List Alpha 2"/>
    <w:basedOn w:val="List2"/>
    <w:rsid w:val="009A7150"/>
    <w:pPr>
      <w:numPr>
        <w:numId w:val="9"/>
      </w:numPr>
    </w:pPr>
  </w:style>
  <w:style w:type="paragraph" w:styleId="List2">
    <w:name w:val="List 2"/>
    <w:basedOn w:val="BodyText"/>
    <w:rsid w:val="009A7150"/>
    <w:pPr>
      <w:tabs>
        <w:tab w:val="left" w:pos="680"/>
      </w:tabs>
      <w:spacing w:before="60" w:after="60"/>
      <w:ind w:left="680" w:hanging="340"/>
    </w:pPr>
  </w:style>
  <w:style w:type="paragraph" w:styleId="List3">
    <w:name w:val="List 3"/>
    <w:basedOn w:val="BodyText"/>
    <w:rsid w:val="009A7150"/>
    <w:pPr>
      <w:tabs>
        <w:tab w:val="left" w:pos="1021"/>
      </w:tabs>
      <w:spacing w:before="60" w:after="60"/>
      <w:ind w:left="1020" w:hanging="340"/>
    </w:pPr>
  </w:style>
  <w:style w:type="paragraph" w:styleId="List4">
    <w:name w:val="List 4"/>
    <w:basedOn w:val="BodyText"/>
    <w:rsid w:val="009A7150"/>
    <w:pPr>
      <w:tabs>
        <w:tab w:val="left" w:pos="1361"/>
      </w:tabs>
      <w:spacing w:before="60" w:after="60"/>
      <w:ind w:left="1361" w:hanging="340"/>
    </w:pPr>
  </w:style>
  <w:style w:type="paragraph" w:styleId="List5">
    <w:name w:val="List 5"/>
    <w:basedOn w:val="BodyText"/>
    <w:rsid w:val="009A7150"/>
    <w:pPr>
      <w:tabs>
        <w:tab w:val="left" w:pos="1701"/>
      </w:tabs>
      <w:spacing w:before="60" w:after="60"/>
      <w:ind w:left="1701" w:hanging="340"/>
    </w:pPr>
  </w:style>
  <w:style w:type="paragraph" w:styleId="ListBullet4">
    <w:name w:val="List Bullet 4"/>
    <w:basedOn w:val="List4"/>
    <w:rsid w:val="009A7150"/>
    <w:pPr>
      <w:numPr>
        <w:numId w:val="4"/>
      </w:numPr>
    </w:pPr>
  </w:style>
  <w:style w:type="paragraph" w:styleId="ListBullet5">
    <w:name w:val="List Bullet 5"/>
    <w:basedOn w:val="List5"/>
    <w:rsid w:val="009A7150"/>
    <w:pPr>
      <w:numPr>
        <w:numId w:val="5"/>
      </w:numPr>
    </w:pPr>
  </w:style>
  <w:style w:type="paragraph" w:styleId="ListContinue2">
    <w:name w:val="List Continue 2"/>
    <w:basedOn w:val="List2"/>
    <w:rsid w:val="009A7150"/>
    <w:pPr>
      <w:ind w:firstLine="0"/>
    </w:pPr>
  </w:style>
  <w:style w:type="paragraph" w:styleId="ListContinue3">
    <w:name w:val="List Continue 3"/>
    <w:basedOn w:val="List3"/>
    <w:rsid w:val="009A7150"/>
    <w:pPr>
      <w:ind w:left="1021" w:firstLine="0"/>
    </w:pPr>
  </w:style>
  <w:style w:type="paragraph" w:styleId="ListContinue4">
    <w:name w:val="List Continue 4"/>
    <w:basedOn w:val="List4"/>
    <w:rsid w:val="009A7150"/>
    <w:pPr>
      <w:ind w:firstLine="0"/>
    </w:pPr>
  </w:style>
  <w:style w:type="paragraph" w:styleId="ListContinue5">
    <w:name w:val="List Continue 5"/>
    <w:basedOn w:val="List5"/>
    <w:rsid w:val="009A7150"/>
    <w:pPr>
      <w:ind w:firstLine="0"/>
    </w:pPr>
  </w:style>
  <w:style w:type="paragraph" w:styleId="ListNumber3">
    <w:name w:val="List Number 3"/>
    <w:basedOn w:val="List3"/>
    <w:rsid w:val="009A7150"/>
    <w:pPr>
      <w:numPr>
        <w:numId w:val="6"/>
      </w:numPr>
    </w:pPr>
  </w:style>
  <w:style w:type="paragraph" w:styleId="ListNumber4">
    <w:name w:val="List Number 4"/>
    <w:basedOn w:val="List4"/>
    <w:rsid w:val="009A7150"/>
    <w:pPr>
      <w:numPr>
        <w:numId w:val="7"/>
      </w:numPr>
    </w:pPr>
  </w:style>
  <w:style w:type="paragraph" w:styleId="ListNumber5">
    <w:name w:val="List Number 5"/>
    <w:basedOn w:val="List5"/>
    <w:rsid w:val="009A7150"/>
    <w:pPr>
      <w:numPr>
        <w:numId w:val="8"/>
      </w:numPr>
    </w:pPr>
  </w:style>
  <w:style w:type="paragraph" w:styleId="BlockText">
    <w:name w:val="Block Text"/>
    <w:basedOn w:val="Normal"/>
    <w:rsid w:val="009A7150"/>
    <w:pPr>
      <w:spacing w:after="120"/>
      <w:ind w:left="1440" w:right="1440"/>
    </w:pPr>
  </w:style>
  <w:style w:type="character" w:customStyle="1" w:styleId="Subscript">
    <w:name w:val="Subscript"/>
    <w:rsid w:val="009A7150"/>
    <w:rPr>
      <w:sz w:val="16"/>
      <w:vertAlign w:val="subscript"/>
    </w:rPr>
  </w:style>
  <w:style w:type="character" w:customStyle="1" w:styleId="Superscript">
    <w:name w:val="Superscript"/>
    <w:rsid w:val="009A7150"/>
    <w:rPr>
      <w:sz w:val="16"/>
      <w:vertAlign w:val="superscript"/>
    </w:rPr>
  </w:style>
  <w:style w:type="character" w:customStyle="1" w:styleId="Symbols">
    <w:name w:val="Symbols"/>
    <w:rsid w:val="009A7150"/>
    <w:rPr>
      <w:rFonts w:ascii="Symbol" w:hAnsi="Symbol"/>
    </w:rPr>
  </w:style>
  <w:style w:type="character" w:customStyle="1" w:styleId="MenuOptions">
    <w:name w:val="Menu Options"/>
    <w:rsid w:val="009A7150"/>
    <w:rPr>
      <w:rFonts w:ascii="Arial Narrow" w:hAnsi="Arial Narrow"/>
      <w:smallCaps/>
    </w:rPr>
  </w:style>
  <w:style w:type="character" w:customStyle="1" w:styleId="Buttons">
    <w:name w:val="Buttons"/>
    <w:rsid w:val="009A7150"/>
    <w:rPr>
      <w:b/>
    </w:rPr>
  </w:style>
  <w:style w:type="character" w:customStyle="1" w:styleId="Underlined">
    <w:name w:val="Underlined"/>
    <w:rsid w:val="009A7150"/>
    <w:rPr>
      <w:u w:val="single"/>
    </w:rPr>
  </w:style>
  <w:style w:type="paragraph" w:customStyle="1" w:styleId="TableBodyTextRight">
    <w:name w:val="Table Body Text Right"/>
    <w:basedOn w:val="TableBodyText"/>
    <w:rsid w:val="009A7150"/>
    <w:pPr>
      <w:widowControl w:val="0"/>
      <w:autoSpaceDE w:val="0"/>
      <w:autoSpaceDN w:val="0"/>
      <w:adjustRightInd w:val="0"/>
      <w:jc w:val="right"/>
    </w:pPr>
    <w:rPr>
      <w:rFonts w:cs="Arial"/>
      <w:szCs w:val="18"/>
    </w:rPr>
  </w:style>
  <w:style w:type="paragraph" w:customStyle="1" w:styleId="CopyrightText">
    <w:name w:val="Copyright Text"/>
    <w:basedOn w:val="BodyText"/>
    <w:rsid w:val="009A7150"/>
    <w:rPr>
      <w:sz w:val="18"/>
    </w:rPr>
  </w:style>
  <w:style w:type="paragraph" w:customStyle="1" w:styleId="BodySmallRight">
    <w:name w:val="Body Small Right"/>
    <w:basedOn w:val="BodyTextRight"/>
    <w:rsid w:val="009A7150"/>
    <w:rPr>
      <w:sz w:val="18"/>
      <w:szCs w:val="18"/>
    </w:rPr>
  </w:style>
  <w:style w:type="paragraph" w:customStyle="1" w:styleId="MarginEdition">
    <w:name w:val="Margin Edition"/>
    <w:basedOn w:val="MarginNote"/>
    <w:rsid w:val="009A7150"/>
    <w:pPr>
      <w:spacing w:before="0" w:after="0"/>
    </w:pPr>
    <w:rPr>
      <w:rFonts w:ascii="Times New Roman" w:hAnsi="Times New Roman"/>
      <w:color w:val="999999"/>
    </w:rPr>
  </w:style>
  <w:style w:type="paragraph" w:customStyle="1" w:styleId="Spacer">
    <w:name w:val="Spacer"/>
    <w:basedOn w:val="Normal"/>
    <w:rsid w:val="009A7150"/>
    <w:rPr>
      <w:sz w:val="2"/>
      <w:szCs w:val="2"/>
    </w:rPr>
  </w:style>
  <w:style w:type="character" w:customStyle="1" w:styleId="Small">
    <w:name w:val="Small"/>
    <w:rsid w:val="009A7150"/>
    <w:rPr>
      <w:sz w:val="16"/>
    </w:rPr>
  </w:style>
  <w:style w:type="paragraph" w:customStyle="1" w:styleId="WideTable">
    <w:name w:val="Wide Table"/>
    <w:basedOn w:val="Normal"/>
    <w:rsid w:val="009A7150"/>
    <w:pPr>
      <w:ind w:left="-1418"/>
    </w:pPr>
    <w:rPr>
      <w:sz w:val="2"/>
      <w:szCs w:val="2"/>
    </w:rPr>
  </w:style>
  <w:style w:type="character" w:styleId="PageNumber">
    <w:name w:val="page number"/>
    <w:rsid w:val="009A7150"/>
  </w:style>
  <w:style w:type="paragraph" w:styleId="Quote">
    <w:name w:val="Quote"/>
    <w:basedOn w:val="Heading1"/>
    <w:link w:val="QuoteChar"/>
    <w:qFormat/>
    <w:rsid w:val="009A7150"/>
    <w:rPr>
      <w:b w:val="0"/>
      <w:sz w:val="72"/>
      <w:szCs w:val="72"/>
      <w:lang w:val="en-NZ"/>
    </w:rPr>
  </w:style>
  <w:style w:type="character" w:customStyle="1" w:styleId="QuoteChar">
    <w:name w:val="Quote Char"/>
    <w:link w:val="Quote"/>
    <w:rsid w:val="009A7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150"/>
    <w:pPr>
      <w:pageBreakBefore/>
    </w:pPr>
  </w:style>
  <w:style w:type="paragraph" w:customStyle="1" w:styleId="Border">
    <w:name w:val="Border"/>
    <w:basedOn w:val="Normal"/>
    <w:qFormat/>
    <w:rsid w:val="009A7150"/>
    <w:pPr>
      <w:pBdr>
        <w:top w:val="single" w:sz="18" w:space="1" w:color="auto"/>
      </w:pBdr>
    </w:pPr>
    <w:rPr>
      <w:rFonts w:ascii="Times New Roman" w:hAnsi="Times New Roman"/>
      <w:color w:val="FFFFFF"/>
      <w:sz w:val="2"/>
    </w:rPr>
  </w:style>
  <w:style w:type="character" w:styleId="IntenseEmphasis">
    <w:name w:val="Intense Emphasis"/>
    <w:uiPriority w:val="21"/>
    <w:qFormat/>
    <w:rsid w:val="009A7150"/>
    <w:rPr>
      <w:b/>
      <w:bCs/>
      <w:i/>
      <w:iCs/>
      <w:color w:val="auto"/>
    </w:rPr>
  </w:style>
  <w:style w:type="paragraph" w:styleId="IntenseQuote">
    <w:name w:val="Intense Quote"/>
    <w:basedOn w:val="Normal"/>
    <w:next w:val="Normal"/>
    <w:link w:val="IntenseQuoteChar"/>
    <w:uiPriority w:val="30"/>
    <w:qFormat/>
    <w:rsid w:val="009A71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7150"/>
    <w:rPr>
      <w:rFonts w:ascii="Courier New" w:eastAsia="Times New Roman" w:hAnsi="Courier New" w:cs="Times New Roman"/>
      <w:b/>
      <w:bCs/>
      <w:i/>
      <w:iCs/>
      <w:szCs w:val="20"/>
      <w:lang w:val="en-US" w:eastAsia="en-US"/>
    </w:rPr>
  </w:style>
  <w:style w:type="character" w:styleId="SubtleReference">
    <w:name w:val="Subtle Reference"/>
    <w:uiPriority w:val="31"/>
    <w:qFormat/>
    <w:rsid w:val="009A7150"/>
    <w:rPr>
      <w:smallCaps/>
      <w:color w:val="auto"/>
      <w:u w:val="single"/>
    </w:rPr>
  </w:style>
  <w:style w:type="character" w:styleId="IntenseReference">
    <w:name w:val="Intense Reference"/>
    <w:uiPriority w:val="32"/>
    <w:qFormat/>
    <w:rsid w:val="009A7150"/>
    <w:rPr>
      <w:b/>
      <w:bCs/>
      <w:smallCaps/>
      <w:color w:val="auto"/>
      <w:spacing w:val="5"/>
      <w:u w:val="single"/>
    </w:rPr>
  </w:style>
  <w:style w:type="paragraph" w:customStyle="1" w:styleId="2ColumnHeading">
    <w:name w:val="2Column Heading"/>
    <w:basedOn w:val="BodyText"/>
    <w:qFormat/>
    <w:rsid w:val="009A7150"/>
    <w:pPr>
      <w:spacing w:after="60"/>
      <w:ind w:left="-2268"/>
    </w:pPr>
    <w:rPr>
      <w:b/>
    </w:rPr>
  </w:style>
  <w:style w:type="paragraph" w:customStyle="1" w:styleId="Heading1TOC">
    <w:name w:val="Heading1 TOC"/>
    <w:basedOn w:val="Normal"/>
    <w:qFormat/>
    <w:rsid w:val="009A7150"/>
    <w:pPr>
      <w:spacing w:before="240" w:after="120"/>
    </w:pPr>
    <w:rPr>
      <w:rFonts w:ascii="Times New Roman" w:hAnsi="Times New Roman"/>
      <w:b/>
      <w:sz w:val="32"/>
    </w:rPr>
  </w:style>
  <w:style w:type="paragraph" w:customStyle="1" w:styleId="Heading2TOC">
    <w:name w:val="Heading2 TOC"/>
    <w:basedOn w:val="Normal"/>
    <w:qFormat/>
    <w:rsid w:val="009A7150"/>
    <w:pPr>
      <w:spacing w:before="240" w:after="60"/>
    </w:pPr>
    <w:rPr>
      <w:rFonts w:ascii="Times New Roman" w:hAnsi="Times New Roman"/>
      <w:b/>
      <w:sz w:val="28"/>
    </w:rPr>
  </w:style>
  <w:style w:type="character" w:customStyle="1" w:styleId="Underline">
    <w:name w:val="Underline"/>
    <w:qFormat/>
    <w:rsid w:val="009A7150"/>
    <w:rPr>
      <w:u w:val="single"/>
    </w:rPr>
  </w:style>
  <w:style w:type="character" w:customStyle="1" w:styleId="BoldandItalics">
    <w:name w:val="Bold and Italics"/>
    <w:qFormat/>
    <w:rsid w:val="009A7150"/>
    <w:rPr>
      <w:b/>
      <w:i/>
      <w:u w:val="none"/>
    </w:rPr>
  </w:style>
  <w:style w:type="paragraph" w:styleId="BalloonText">
    <w:name w:val="Balloon Text"/>
    <w:basedOn w:val="Normal"/>
    <w:link w:val="BalloonTextChar"/>
    <w:rsid w:val="009A7150"/>
    <w:rPr>
      <w:rFonts w:ascii="Tahoma" w:hAnsi="Tahoma" w:cs="Tahoma"/>
      <w:sz w:val="16"/>
      <w:szCs w:val="16"/>
    </w:rPr>
  </w:style>
  <w:style w:type="character" w:customStyle="1" w:styleId="BalloonTextChar">
    <w:name w:val="Balloon Text Char"/>
    <w:link w:val="BalloonText"/>
    <w:rsid w:val="009A71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71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71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2814</Words>
  <Characters>17660</Characters>
  <Application>Microsoft Office Word</Application>
  <DocSecurity>0</DocSecurity>
  <Lines>708</Lines>
  <Paragraphs>295</Paragraphs>
  <ScaleCrop>false</ScaleCrop>
  <Company>Author-it Software Corporation Ltd.</Company>
  <LinksUpToDate>false</LinksUpToDate>
  <CharactersWithSpaces>20247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UETTDRRT22A Maintain traction overhead wiring systems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2012-05-26T12:17:00Z</dcterms:created>
  <dcterms:modified xsi:type="dcterms:W3CDTF">2012-05-26T12:17:00Z</dcterms:modified>
</cp:coreProperties>
</file>