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E72" w:rsidP="00624E72">
      <w:pPr>
        <w:pStyle w:val="Title"/>
      </w:pPr>
      <w:r>
        <w:fldChar w:fldCharType="begin"/>
      </w:r>
      <w:r>
        <w:instrText xml:space="preserve"> TITLE   \* MERGEFORMAT </w:instrText>
      </w:r>
      <w:r>
        <w:fldChar w:fldCharType="separate"/>
      </w:r>
      <w:r>
        <w:t>UETTDRRT21A Install traction overhead wiring systems</w:t>
      </w:r>
      <w:r>
        <w:fldChar w:fldCharType="end"/>
      </w:r>
    </w:p>
    <w:p w:rsidR="00624E72" w:rsidP="00624E72">
      <w:pPr>
        <w:pStyle w:val="Version"/>
        <w:sectPr w:rsidSect="00F10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46A" w:rsidP="00F1046A">
      <w:pPr>
        <w:pStyle w:val="SuperHeading"/>
      </w:pPr>
      <w:r w:rsidRPr="00F1046A">
        <w:t>UETTDRRT21A Install traction overhead wiring systems</w:t>
      </w:r>
    </w:p>
    <w:p w:rsidR="00000000" w:rsidRPr="00F1046A" w:rsidP="00F1046A">
      <w:pPr>
        <w:pStyle w:val="Heading1"/>
      </w:pPr>
      <w:bookmarkStart w:id="1" w:name="O_465230"/>
      <w:bookmarkEnd w:id="1"/>
      <w:r w:rsidRPr="00F1046A">
        <w:t>Modification History</w:t>
      </w:r>
    </w:p>
    <w:p w:rsidR="00000000" w:rsidRPr="00F1046A" w:rsidP="00F1046A">
      <w:pPr>
        <w:pStyle w:val="BodyText"/>
      </w:pPr>
      <w:r w:rsidRPr="00F1046A">
        <w:t>Not applicable.</w:t>
      </w:r>
    </w:p>
    <w:p w:rsidR="00000000" w:rsidRPr="00F1046A" w:rsidP="00F1046A">
      <w:pPr>
        <w:pStyle w:val="AllowPageBreak"/>
      </w:pPr>
    </w:p>
    <w:p w:rsidR="00000000" w:rsidRPr="00F1046A" w:rsidP="00F1046A">
      <w:pPr>
        <w:pStyle w:val="Heading1"/>
      </w:pPr>
      <w:bookmarkStart w:id="2" w:name="O_465228"/>
      <w:bookmarkEnd w:id="2"/>
      <w:r w:rsidRPr="00F1046A">
        <w:t>Unit Descriptor</w:t>
      </w:r>
    </w:p>
    <w:tbl>
      <w:tblPr>
        <w:tblW w:w="0" w:type="auto"/>
        <w:tblLayout w:type="fixed"/>
        <w:tblCellMar>
          <w:left w:w="62" w:type="dxa"/>
          <w:right w:w="62" w:type="dxa"/>
        </w:tblCellMar>
        <w:tblLook w:val="0000"/>
      </w:tblPr>
      <w:tblGrid>
        <w:gridCol w:w="2700"/>
        <w:gridCol w:w="5760"/>
      </w:tblGrid>
      <w:tr w:rsidTr="00624E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1)</w:t>
            </w:r>
            <w:r w:rsidRPr="00F1046A">
              <w:t xml:space="preserve"> </w:t>
            </w:r>
            <w:r w:rsidRPr="00F1046A">
              <w:rPr>
                <w:rStyle w:val="SpecialBold"/>
              </w:rPr>
              <w:t>Scope:</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04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1.1) Descriptor</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 xml:space="preserve">This Competency Standard Unit covers the installation of overhead traction wiring systems to ensure proper installation, in particular the correct registration of the contact wire with respect to the current collectors. It includes the undertaking of safe </w:t>
            </w:r>
            <w:r w:rsidRPr="00F1046A">
              <w:t>working practices on or about the running line/track and the preparation needed for stringing and profiling including the isolation of systems and circuits for safe working according to work plans. It may also encompass the correct positioning of road sign</w:t>
            </w:r>
            <w:r w:rsidRPr="00F1046A">
              <w:t>s, barriers and or warning devices, and the procedure of issuing/accepting electrical permits. It also includes the visual and other necessary checks to confirm that equipment and associated hardware have been correctly installed according to design and ar</w:t>
            </w:r>
            <w:r w:rsidRPr="00F1046A">
              <w:t>e in a safe condition to undertake pre-commissioning tests prior to, putting into service, and updating of, installation data such as as-built drawings and relevant quality assurance documentation.</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3" w:name="O_465217"/>
      <w:bookmarkEnd w:id="3"/>
      <w:r w:rsidRPr="00F1046A">
        <w:t>Application of the Unit</w:t>
      </w:r>
    </w:p>
    <w:tbl>
      <w:tblPr>
        <w:tblW w:w="0" w:type="auto"/>
        <w:tblLayout w:type="fixed"/>
        <w:tblCellMar>
          <w:left w:w="62" w:type="dxa"/>
          <w:right w:w="62" w:type="dxa"/>
        </w:tblCellMar>
        <w:tblLook w:val="0000"/>
      </w:tblPr>
      <w:tblGrid>
        <w:gridCol w:w="2672"/>
        <w:gridCol w:w="5699"/>
      </w:tblGrid>
      <w:tr w:rsidTr="00624E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 xml:space="preserve">Application of </w:t>
            </w:r>
            <w:r w:rsidRPr="00F1046A">
              <w:rPr>
                <w:rStyle w:val="SpecialBold"/>
              </w:rPr>
              <w:t>the Unit</w:t>
            </w:r>
          </w:p>
        </w:tc>
        <w:tc>
          <w:tcPr>
            <w:tcW w:w="5699"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2)</w:t>
            </w:r>
          </w:p>
        </w:tc>
      </w:tr>
      <w:tr w:rsidTr="00624E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This Competency Standard Unit is intended to augment formally acquired competencies. It is suitable for employment-based programs under an approved contract of training.</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4" w:name="O_465224"/>
      <w:bookmarkEnd w:id="4"/>
      <w:r w:rsidRPr="00F1046A">
        <w:t>Licensing/Regulatory Information</w:t>
      </w:r>
    </w:p>
    <w:tbl>
      <w:tblPr>
        <w:tblW w:w="0" w:type="auto"/>
        <w:tblLayout w:type="fixed"/>
        <w:tblCellMar>
          <w:left w:w="62" w:type="dxa"/>
          <w:right w:w="62" w:type="dxa"/>
        </w:tblCellMar>
        <w:tblLook w:val="0000"/>
      </w:tblPr>
      <w:tblGrid>
        <w:gridCol w:w="2700"/>
        <w:gridCol w:w="5760"/>
      </w:tblGrid>
      <w:tr w:rsidTr="00624E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 xml:space="preserve">3)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The skills and knowledge described in this unit may require a licence/registration to practice in the work place subject to regulations for undertaking of electrical work. Practice in workplace and during training is also subject to regulations direc</w:t>
            </w:r>
            <w:r w:rsidRPr="00F1046A">
              <w:t>tly related to Occupational Health and Safety, electricity/telecommunications/gas/water industry safety and compliance, industrial relations, environmental protection, anti discrimination and training. Commonwealth, State/Territory or Local Government legi</w:t>
            </w:r>
            <w:r w:rsidRPr="00F1046A">
              <w:t>slation and regulations may exist that limits the age of operating certain equipment.</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5" w:name="O_465225"/>
      <w:bookmarkEnd w:id="5"/>
      <w:r w:rsidRPr="00F1046A">
        <w:t>Pre-Requisites</w:t>
      </w:r>
    </w:p>
    <w:tbl>
      <w:tblPr>
        <w:tblW w:w="0" w:type="auto"/>
        <w:tblLayout w:type="fixed"/>
        <w:tblCellMar>
          <w:left w:w="62" w:type="dxa"/>
          <w:right w:w="62" w:type="dxa"/>
        </w:tblCellMar>
        <w:tblLook w:val="0000"/>
      </w:tblPr>
      <w:tblGrid>
        <w:gridCol w:w="2700"/>
        <w:gridCol w:w="1890"/>
        <w:gridCol w:w="3870"/>
      </w:tblGrid>
      <w:tr w:rsidTr="00624E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 xml:space="preserve">4)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4.1)</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Granting of competency in this unit shall be made only after competency in the following unit(s) has/have been confirmed.</w:t>
            </w:r>
          </w:p>
          <w:p w:rsidR="00000000" w:rsidRPr="00F1046A" w:rsidP="00F1046A">
            <w:pPr>
              <w:pStyle w:val="BodyText"/>
            </w:pPr>
            <w:r w:rsidRPr="00F1046A">
              <w:t>Where pre-requisite pathways have been identified. All competencies in the Common Unit Group must be have been completed.</w:t>
            </w:r>
          </w:p>
          <w:p w:rsidR="00000000" w:rsidP="00F1046A">
            <w:pPr>
              <w:pStyle w:val="BodyText"/>
              <w:rPr>
                <w:lang w:val="en-NZ"/>
              </w:rPr>
            </w:pPr>
            <w:r w:rsidRPr="00F1046A">
              <w:t xml:space="preserve">Common Unit </w:t>
            </w:r>
            <w:r w:rsidRPr="00F1046A">
              <w:t>Group</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Apply Occupational Health and Safety regulations, codes and practices in the workplace</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Fabricate, assemble and dismantle utilities industry components</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Solve problems in d.c. Circuits</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Fix and secure electrotechnology equipment</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Use drawings, diagrams, schedules, standards, codes and specifications</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Solve problems in electromagnetic devices and related circuits</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Solve problems in low voltage a.c. Circuits</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 xml:space="preserve">Apply sustainable energy and environmental procedures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 xml:space="preserve">Operate plant and equipment near live electrical conductors and apparatus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Working safely near live electrical appa</w:t>
            </w:r>
            <w:r w:rsidRPr="00F1046A">
              <w:t xml:space="preserve">ratus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F1046A">
            <w:pPr>
              <w:pStyle w:val="BodyText"/>
              <w:rPr>
                <w:lang w:val="en-NZ"/>
              </w:rPr>
            </w:pPr>
            <w:r w:rsidRPr="00F1046A">
              <w:t>Install and maintain poles, structures and associated hardware</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RPr="00F1046A" w:rsidP="00F1046A">
            <w:pPr>
              <w:pStyle w:val="BodyText"/>
            </w:pPr>
            <w:r w:rsidRPr="00F1046A">
              <w:t xml:space="preserve">Install and maintain poles, structures, overhead conductors and cables </w:t>
            </w:r>
          </w:p>
        </w:tc>
      </w:tr>
    </w:tbl>
    <w:p w:rsidR="00000000" w:rsidRPr="00F1046A" w:rsidP="00F104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24E7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 xml:space="preserve">4.2)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Participants are best equipped to achieve this unit if they have reading, writing and numeracy skills indicated by the following scales. Description of each scale is given in Volume 2, Part 3 “Literacy and Numeracy”.</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Reading</w:t>
            </w:r>
          </w:p>
        </w:tc>
        <w:tc>
          <w:tcPr>
            <w:tcW w:w="81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w:t>
            </w:r>
          </w:p>
        </w:tc>
        <w:tc>
          <w:tcPr>
            <w:tcW w:w="99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Writing</w:t>
            </w:r>
          </w:p>
        </w:tc>
        <w:tc>
          <w:tcPr>
            <w:tcW w:w="90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w:t>
            </w:r>
          </w:p>
        </w:tc>
        <w:tc>
          <w:tcPr>
            <w:tcW w:w="12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Numeracy</w:t>
            </w:r>
          </w:p>
        </w:tc>
        <w:tc>
          <w:tcPr>
            <w:tcW w:w="72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3</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6" w:name="O_465221"/>
      <w:bookmarkEnd w:id="6"/>
      <w:r w:rsidRPr="00F1046A">
        <w:t>Employability Skills Information</w:t>
      </w:r>
    </w:p>
    <w:tbl>
      <w:tblPr>
        <w:tblW w:w="0" w:type="auto"/>
        <w:tblLayout w:type="fixed"/>
        <w:tblCellMar>
          <w:left w:w="62" w:type="dxa"/>
          <w:right w:w="62" w:type="dxa"/>
        </w:tblCellMar>
        <w:tblLook w:val="0000"/>
      </w:tblPr>
      <w:tblGrid>
        <w:gridCol w:w="2700"/>
        <w:gridCol w:w="5760"/>
      </w:tblGrid>
      <w:tr w:rsidTr="00624E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 xml:space="preserve">5)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The required outcomes described in this unit of competency contain applicable facets of Employability Skills. The Employability Skills Summary of the qualification</w:t>
            </w:r>
            <w:r w:rsidRPr="00F1046A">
              <w:t xml:space="preserve"> in which this unit of competency is packaged will assist in identifying Employability Skill requirements.</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7" w:name="O_465220"/>
      <w:bookmarkEnd w:id="7"/>
      <w:r w:rsidRPr="00F1046A">
        <w:t>Elements and Performance Criteria Pre-Content</w:t>
      </w:r>
    </w:p>
    <w:tbl>
      <w:tblPr>
        <w:tblW w:w="0" w:type="auto"/>
        <w:tblLayout w:type="fixed"/>
        <w:tblCellMar>
          <w:left w:w="62" w:type="dxa"/>
          <w:right w:w="62" w:type="dxa"/>
        </w:tblCellMar>
        <w:tblLook w:val="0000"/>
      </w:tblPr>
      <w:tblGrid>
        <w:gridCol w:w="2700"/>
        <w:gridCol w:w="5760"/>
      </w:tblGrid>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6)</w:t>
            </w:r>
            <w:r w:rsidRPr="00F104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Performanc</w:t>
            </w:r>
            <w:r w:rsidRPr="00F1046A">
              <w:t>e Criteria describe the required performance needed to demonstrate achievement of the element. Assessment of performance is to be consistent with the Evidence Guide.</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8" w:name="O_465219"/>
      <w:bookmarkEnd w:id="8"/>
      <w:r w:rsidRPr="00F1046A">
        <w:t>Elements and Performance Criteria</w:t>
      </w:r>
    </w:p>
    <w:tbl>
      <w:tblPr>
        <w:tblW w:w="0" w:type="auto"/>
        <w:tblLayout w:type="fixed"/>
        <w:tblCellMar>
          <w:left w:w="62" w:type="dxa"/>
          <w:right w:w="62" w:type="dxa"/>
        </w:tblCellMar>
        <w:tblLook w:val="0000"/>
      </w:tblPr>
      <w:tblGrid>
        <w:gridCol w:w="411"/>
        <w:gridCol w:w="2289"/>
        <w:gridCol w:w="957"/>
        <w:gridCol w:w="4803"/>
      </w:tblGrid>
      <w:tr w:rsidTr="00624E7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PERFORMANCE CRITERIA</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w:t>
            </w:r>
          </w:p>
        </w:tc>
        <w:tc>
          <w:tcPr>
            <w:tcW w:w="2289"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Prepare to install overhead traction wiring systems</w:t>
            </w: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1.1</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Works schedule(s), including drawings, plans, requirements, established procedures, and material lists, are received, analysed and confirmed, if necessary, by site inspection.</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1.2</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Relevant requirements and established procedures for the work are communicated to all personnel and identified for all work sites.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1.3</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OHS policies and procedures related to requirements and established procedures for the installation of overhead tracti</w:t>
            </w:r>
            <w:r w:rsidRPr="00F1046A">
              <w:t>on wiring systems are obtained and confirmed for the purposes of the work to be performed and communicated.</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1.4</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Work is prioritised and sequenced following consultation with others for completion within acceptable timeframes and in accordance with estab</w:t>
            </w:r>
            <w:r w:rsidRPr="00F1046A">
              <w:t>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1.5</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Hazards are identified, OHS risks assessed and control measures are prioritised, implemented and monitored including emergency exits kept clear according to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1.6</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Relevant work permits are obtained to acce</w:t>
            </w:r>
            <w:r w:rsidRPr="00F1046A">
              <w:t>ss and perform work according to requirements and/or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1.7</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Resources including personnel, equipment, tools and personal protective equipment required for the job are obtained and confirmed in working order.</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1.8</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 xml:space="preserve">Relevant personnel at worksite are confirmed current in CPR, First Aid, and other rescue </w:t>
            </w:r>
            <w:r w:rsidRPr="00F1046A">
              <w:t>procedures and related work procedures according to requirements.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1.9</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Liaison and communication issues with other authorised personnel, authorities, clients and lan</w:t>
            </w:r>
            <w:r w:rsidRPr="00F1046A">
              <w:t>d owners are resolved to carry out work where necessary.</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1.10</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Site is prepared according to the work schedule and to minimise risk and damage to property, commerce, and individuals in accordance with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1.11</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Personnel participating in the work, including plant operators and contractors, are fully briefed and respective responsibilities confirmed where applicable in accordance with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1.12</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Rail/Road signs, barriers and warning devices ar</w:t>
            </w:r>
            <w:r w:rsidRPr="00F1046A">
              <w:t>e positioned in accordance with requirements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1.13</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Environmental constraints applicable to work are identified and control measures applied.</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w:t>
            </w:r>
          </w:p>
        </w:tc>
        <w:tc>
          <w:tcPr>
            <w:tcW w:w="2289"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Carry out the installation of overhead traction wiring systems</w:t>
            </w: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2.1</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OHS and sustainable energy principles and p</w:t>
            </w:r>
            <w:r w:rsidRPr="00F1046A">
              <w:t>ractices to reduce the incidents of accidents and minimise waste are monitored and followed in accordance with requirements and/or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2.2</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Lifting, climbing, working aloft, and use of power tools/equipment, techniques and practices a</w:t>
            </w:r>
            <w:r w:rsidRPr="00F1046A">
              <w:t>re safely followed and, currency according to requirements confirmed.</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2.3</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Systems and circuits are isolated as required, proved safe to work on in accordance with the requirements/permits and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2.4</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Essential knowledge and associated skills are applied in the safe installation of overhead traction wiring systems to ensure completion in an agreed timeframe and, to quality standards with a minimum of waste according to requirements.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2.5</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Overhead trac</w:t>
            </w:r>
            <w:r w:rsidRPr="00F1046A">
              <w:t>tion wiring systems, including cables, fittings, traction conductors and associated equipment are installed according to design and work schedule requirements and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2.6</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Profiling completed according to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2.7</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Hazard warnings and safety signs are recognised and hazards and assessed OHS risks are reported to the immediate authorised persons for directions according to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2.8</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Unplanned events in the installation of overhead traction wir</w:t>
            </w:r>
            <w:r w:rsidRPr="00F1046A">
              <w:t>ing systems are undertaken within the scope of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2.9</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Known solutions to a variety of problems are applied using acquired essential knowledge and associated skills.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2.10</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Ongoing checks of quality of the work are undertaken in acc</w:t>
            </w:r>
            <w:r w:rsidRPr="00F1046A">
              <w:t>ordance with instructions and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w:t>
            </w:r>
          </w:p>
        </w:tc>
        <w:tc>
          <w:tcPr>
            <w:tcW w:w="2289"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Complete the installation of overhead traction wiring systems</w:t>
            </w: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3.1</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Work undertaken is checked against design drawings and works schedule for conformance with requirements and anomalies reported in accordance with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3.2</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Accidents and/or injuries are reported in accordance with requirements/establis</w:t>
            </w:r>
            <w:r w:rsidRPr="00F1046A">
              <w:t>hed procedures, where applicable.</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3.3</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Work site is rehabilitated, cleaned up and made safe in accordance with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3.4</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Tools, equipment and any surplus resources and materials are, where appropriate, cleaned, checked and returned t</w:t>
            </w:r>
            <w:r w:rsidRPr="00F1046A">
              <w:t>o storage in accordance with established procedures.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3.5</w:t>
            </w:r>
          </w:p>
        </w:tc>
        <w:tc>
          <w:tcPr>
            <w:tcW w:w="4803"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Relevant work permit(s) are signed off and, the overhead traction wiring system is returned to service in accordance with requirements.</w:t>
            </w:r>
          </w:p>
        </w:tc>
      </w:tr>
      <w:tr w:rsidTr="00624E7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7"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3.6</w:t>
            </w:r>
          </w:p>
        </w:tc>
        <w:tc>
          <w:tcPr>
            <w:tcW w:w="4803"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Works completion records, reports, as installed /modified drawing and/or documentation and information are finalised and processed and appropriate personnel notified.</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9" w:name="O_465227"/>
      <w:bookmarkEnd w:id="9"/>
      <w:r w:rsidRPr="00F1046A">
        <w:t>Required Skills and Knowledge</w:t>
      </w:r>
    </w:p>
    <w:tbl>
      <w:tblPr>
        <w:tblW w:w="0" w:type="auto"/>
        <w:tblLayout w:type="fixed"/>
        <w:tblCellMar>
          <w:left w:w="62" w:type="dxa"/>
          <w:right w:w="62" w:type="dxa"/>
        </w:tblCellMar>
        <w:tblLook w:val="0000"/>
      </w:tblPr>
      <w:tblGrid>
        <w:gridCol w:w="8460"/>
      </w:tblGrid>
      <w:tr w:rsidTr="00624E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REQUIRED SKILLS AND KNOWLEDGE</w:t>
            </w:r>
          </w:p>
        </w:tc>
      </w:tr>
      <w:tr w:rsidTr="00624E7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8)</w:t>
            </w:r>
            <w:r w:rsidRPr="00F1046A">
              <w:t xml:space="preserve"> Essent</w:t>
            </w:r>
            <w:r w:rsidRPr="00F1046A">
              <w:t>ial Knowledge and Associated Skills (EKAS): This describes the essential skills and knowledge and their level, required for this unit.</w:t>
            </w:r>
          </w:p>
          <w:p w:rsidR="00000000" w:rsidRPr="00F1046A" w:rsidP="00F1046A">
            <w:pPr>
              <w:pStyle w:val="BodyText"/>
            </w:pPr>
            <w:r w:rsidRPr="00F1046A">
              <w:t>Evidence shall show that knowledge of installing overhead traction wiring systems has been acquired.</w:t>
            </w:r>
          </w:p>
          <w:p w:rsidR="00000000" w:rsidRPr="00F1046A" w:rsidP="00F1046A">
            <w:pPr>
              <w:pStyle w:val="BodyText"/>
            </w:pPr>
            <w:r w:rsidRPr="00F1046A">
              <w:t>All knowledge and sk</w:t>
            </w:r>
            <w:r w:rsidRPr="00F1046A">
              <w:t>ills detailed in this unit should be contextualised to current industry practices and technologies.</w:t>
            </w:r>
          </w:p>
          <w:p w:rsidR="00000000" w:rsidRPr="00F1046A" w:rsidP="00F1046A">
            <w:pPr>
              <w:pStyle w:val="BodyText"/>
            </w:pPr>
            <w:r w:rsidRPr="00F1046A">
              <w:t>KS02-TRT21A</w:t>
            </w:r>
            <w:r w:rsidRPr="00F1046A">
              <w:tab/>
              <w:t>Electrical overhead traction wiring systems</w:t>
            </w:r>
          </w:p>
          <w:p w:rsidR="00000000" w:rsidRPr="00F1046A" w:rsidP="00F1046A">
            <w:pPr>
              <w:pStyle w:val="BodyText"/>
            </w:pPr>
            <w:r w:rsidRPr="00F1046A">
              <w:t>Evidence shall show an understanding of electrical traction systems to an extent indicated by the fo</w:t>
            </w:r>
            <w:r w:rsidRPr="00F1046A">
              <w:t>llowing aspects:</w:t>
            </w:r>
          </w:p>
          <w:p w:rsidR="00000000" w:rsidRPr="00F1046A" w:rsidP="00F1046A">
            <w:pPr>
              <w:pStyle w:val="BodyText"/>
            </w:pPr>
            <w:r w:rsidRPr="00F1046A">
              <w:t>T1</w:t>
            </w:r>
            <w:r w:rsidRPr="00F1046A">
              <w:tab/>
            </w:r>
            <w:r w:rsidRPr="00F1046A">
              <w:t>Electrical wiring system components - earth wires, feeder wire, return conductor, insulators, catenary wire, contact/trolley wire, droppers, tensioning equipment, current collectors, tram support networks, tram fittings, bridge/tunnel fittings</w:t>
            </w:r>
          </w:p>
          <w:p w:rsidR="00000000" w:rsidRPr="00F1046A" w:rsidP="00F1046A">
            <w:pPr>
              <w:pStyle w:val="BodyText"/>
            </w:pPr>
            <w:r w:rsidRPr="00F1046A">
              <w:t>T2</w:t>
            </w:r>
            <w:r w:rsidRPr="00F1046A">
              <w:tab/>
              <w:t>Electrica</w:t>
            </w:r>
            <w:r w:rsidRPr="00F1046A">
              <w:t xml:space="preserve">l traction circuits encompassing: </w:t>
            </w:r>
          </w:p>
          <w:p w:rsidR="00000000" w:rsidRPr="00F1046A" w:rsidP="00F1046A">
            <w:pPr>
              <w:pStyle w:val="ListBullet"/>
            </w:pPr>
            <w:r w:rsidRPr="00F1046A">
              <w:t>Types</w:t>
            </w:r>
          </w:p>
          <w:p w:rsidR="00000000" w:rsidRPr="00F1046A" w:rsidP="00F1046A">
            <w:pPr>
              <w:pStyle w:val="ListBullet"/>
            </w:pPr>
            <w:r w:rsidRPr="00F1046A">
              <w:t>Applications</w:t>
            </w:r>
          </w:p>
          <w:p w:rsidR="00000000" w:rsidRPr="00F1046A" w:rsidP="00F1046A">
            <w:pPr>
              <w:pStyle w:val="BodyText"/>
            </w:pPr>
            <w:r w:rsidRPr="00F1046A">
              <w:t>T3</w:t>
            </w:r>
            <w:r w:rsidRPr="00F1046A">
              <w:tab/>
              <w:t>Relationship of the components, apparatus and the conductors to the operation of the traction system</w:t>
            </w:r>
          </w:p>
          <w:p w:rsidR="00000000" w:rsidRPr="00F1046A" w:rsidP="00F1046A">
            <w:pPr>
              <w:pStyle w:val="BodyText"/>
            </w:pPr>
            <w:r w:rsidRPr="00F1046A">
              <w:t>T4</w:t>
            </w:r>
            <w:r w:rsidRPr="00F1046A">
              <w:tab/>
              <w:t>Effective current collection and wire interface</w:t>
            </w:r>
          </w:p>
          <w:p w:rsidR="00000000" w:rsidRPr="00F1046A" w:rsidP="00F1046A">
            <w:pPr>
              <w:pStyle w:val="BodyText"/>
            </w:pPr>
            <w:r w:rsidRPr="00F1046A">
              <w:t>T5</w:t>
            </w:r>
            <w:r w:rsidRPr="00F1046A">
              <w:tab/>
              <w:t>Effective registration in the traction powe</w:t>
            </w:r>
            <w:r w:rsidRPr="00F1046A">
              <w:t>r system</w:t>
            </w:r>
          </w:p>
          <w:p w:rsidR="00000000" w:rsidRPr="00F1046A" w:rsidP="00F1046A">
            <w:pPr>
              <w:pStyle w:val="BodyText"/>
            </w:pPr>
            <w:r w:rsidRPr="00F1046A">
              <w:t>T6</w:t>
            </w:r>
            <w:r w:rsidRPr="00F1046A">
              <w:tab/>
              <w:t xml:space="preserve">Profiling overhead traction wire methods encompassing: </w:t>
            </w:r>
          </w:p>
          <w:p w:rsidR="00000000" w:rsidRPr="00F1046A" w:rsidP="00F1046A">
            <w:pPr>
              <w:pStyle w:val="ListBullet"/>
            </w:pPr>
            <w:r w:rsidRPr="00F1046A">
              <w:t>Factors that impact on current collectors</w:t>
            </w:r>
          </w:p>
          <w:p w:rsidR="00000000" w:rsidRPr="00F1046A" w:rsidP="00F1046A">
            <w:pPr>
              <w:pStyle w:val="ListBullet"/>
            </w:pPr>
            <w:r w:rsidRPr="00F1046A">
              <w:t>Methods to achieving smooth current collector transitions and interfaces</w:t>
            </w:r>
          </w:p>
          <w:p w:rsidR="00000000" w:rsidRPr="00F1046A" w:rsidP="00F1046A">
            <w:pPr>
              <w:pStyle w:val="ListBullet"/>
            </w:pPr>
            <w:r w:rsidRPr="00F1046A">
              <w:t>T7</w:t>
            </w:r>
            <w:r w:rsidRPr="00F1046A">
              <w:tab/>
              <w:t xml:space="preserve">Dynamic and static forces encompassing: </w:t>
            </w:r>
          </w:p>
          <w:p w:rsidR="00000000" w:rsidRPr="00F1046A" w:rsidP="00F1046A">
            <w:pPr>
              <w:pStyle w:val="ListBullet"/>
            </w:pPr>
            <w:r w:rsidRPr="00F1046A">
              <w:t>Types that effect traction s</w:t>
            </w:r>
            <w:r w:rsidRPr="00F1046A">
              <w:t>ystems</w:t>
            </w:r>
          </w:p>
          <w:p w:rsidR="00000000" w:rsidRPr="00F1046A" w:rsidP="00F1046A">
            <w:pPr>
              <w:pStyle w:val="ListBullet"/>
            </w:pPr>
            <w:r w:rsidRPr="00F1046A">
              <w:t>Effects on effective registration</w:t>
            </w:r>
          </w:p>
          <w:p w:rsidR="00000000" w:rsidRPr="00F1046A" w:rsidP="00F1046A">
            <w:pPr>
              <w:pStyle w:val="ListBullet"/>
            </w:pPr>
            <w:r w:rsidRPr="00F1046A">
              <w:t>Techniques to minimise the adverse effects</w:t>
            </w:r>
          </w:p>
          <w:p w:rsidR="00000000" w:rsidRPr="00F1046A" w:rsidP="00F1046A">
            <w:pPr>
              <w:pStyle w:val="BodyText"/>
            </w:pPr>
            <w:r w:rsidRPr="00F1046A">
              <w:t>KS03-TRT21A</w:t>
            </w:r>
            <w:r w:rsidRPr="00F1046A">
              <w:tab/>
              <w:t>Electrical traction principles</w:t>
            </w:r>
          </w:p>
          <w:p w:rsidR="00000000" w:rsidRPr="00F1046A" w:rsidP="00F1046A">
            <w:pPr>
              <w:pStyle w:val="BodyText"/>
            </w:pPr>
            <w:r w:rsidRPr="00F1046A">
              <w:t>Evidence shall show an understanding of electrical traction principles to an extent indicated by the following aspects:</w:t>
            </w:r>
          </w:p>
          <w:p w:rsidR="00000000" w:rsidRPr="00F1046A" w:rsidP="00F1046A">
            <w:pPr>
              <w:pStyle w:val="BodyText"/>
            </w:pPr>
            <w:r w:rsidRPr="00F1046A">
              <w:t>T1</w:t>
            </w:r>
            <w:r w:rsidRPr="00F1046A">
              <w:tab/>
              <w:t>Standa</w:t>
            </w:r>
            <w:r w:rsidRPr="00F1046A">
              <w:t>rds, codes, legislation, supply authority regulations and or enterprise requirements applicable to the electrical traction</w:t>
            </w:r>
          </w:p>
          <w:p w:rsidR="00000000" w:rsidRPr="00F1046A" w:rsidP="00F1046A">
            <w:pPr>
              <w:pStyle w:val="BodyText"/>
            </w:pPr>
            <w:r w:rsidRPr="00F1046A">
              <w:t>T2</w:t>
            </w:r>
            <w:r w:rsidRPr="00F1046A">
              <w:tab/>
              <w:t xml:space="preserve">Electrical traction voltage and current circuit paths encompassing: </w:t>
            </w:r>
          </w:p>
          <w:p w:rsidR="00000000" w:rsidRPr="00F1046A" w:rsidP="00F1046A">
            <w:pPr>
              <w:pStyle w:val="ListBullet"/>
            </w:pPr>
            <w:r w:rsidRPr="00F1046A">
              <w:t>Transmission distribution voltages</w:t>
            </w:r>
          </w:p>
          <w:p w:rsidR="00000000" w:rsidRPr="00F1046A" w:rsidP="00F1046A">
            <w:pPr>
              <w:pStyle w:val="ListBullet"/>
            </w:pPr>
            <w:r w:rsidRPr="00F1046A">
              <w:t>Traction supply system an</w:t>
            </w:r>
            <w:r w:rsidRPr="00F1046A">
              <w:t>d voltages</w:t>
            </w:r>
          </w:p>
          <w:p w:rsidR="00000000" w:rsidRPr="00F1046A" w:rsidP="00F1046A">
            <w:pPr>
              <w:pStyle w:val="ListBullet"/>
            </w:pPr>
            <w:r w:rsidRPr="00F1046A">
              <w:t>Return and stay current paths, including electrolysis</w:t>
            </w:r>
          </w:p>
          <w:p w:rsidR="00000000" w:rsidRPr="00F1046A" w:rsidP="00F1046A">
            <w:pPr>
              <w:pStyle w:val="BodyText"/>
            </w:pPr>
            <w:r w:rsidRPr="00F1046A">
              <w:t>T3</w:t>
            </w:r>
            <w:r w:rsidRPr="00F1046A">
              <w:tab/>
              <w:t>Relationship of sectioning, section insulator and overlaps/air gaps in a traction power system</w:t>
            </w:r>
          </w:p>
          <w:p w:rsidR="00000000" w:rsidRPr="00F1046A" w:rsidP="00F1046A">
            <w:pPr>
              <w:pStyle w:val="BodyText"/>
            </w:pPr>
            <w:r w:rsidRPr="00F1046A">
              <w:t>T4</w:t>
            </w:r>
            <w:r w:rsidRPr="00F1046A">
              <w:tab/>
              <w:t xml:space="preserve">Traction power system components encompassing: </w:t>
            </w:r>
          </w:p>
          <w:p w:rsidR="00000000" w:rsidRPr="00F1046A" w:rsidP="00F1046A">
            <w:pPr>
              <w:pStyle w:val="ListBullet"/>
            </w:pPr>
            <w:r w:rsidRPr="00F1046A">
              <w:t>Function of transformer/rectifiers</w:t>
            </w:r>
          </w:p>
          <w:p w:rsidR="00000000" w:rsidRPr="00F1046A" w:rsidP="00F1046A">
            <w:pPr>
              <w:pStyle w:val="ListBullet"/>
            </w:pPr>
            <w:r w:rsidRPr="00F1046A">
              <w:t>Configuration and purpose of traction overhead wiring systems</w:t>
            </w:r>
          </w:p>
          <w:p w:rsidR="00000000" w:rsidRPr="00F1046A" w:rsidP="00F1046A">
            <w:pPr>
              <w:pStyle w:val="ListBullet"/>
            </w:pPr>
            <w:r w:rsidRPr="00F1046A">
              <w:t>Function of isolators/switches</w:t>
            </w:r>
          </w:p>
          <w:p w:rsidR="00000000" w:rsidRPr="00F1046A" w:rsidP="00F1046A">
            <w:pPr>
              <w:pStyle w:val="ListBullet"/>
            </w:pPr>
            <w:r w:rsidRPr="00F1046A">
              <w:t>Function of the circuit breaker</w:t>
            </w:r>
          </w:p>
          <w:p w:rsidR="00000000" w:rsidRPr="00F1046A" w:rsidP="00F1046A">
            <w:pPr>
              <w:pStyle w:val="BodyText"/>
            </w:pPr>
            <w:r w:rsidRPr="00F1046A">
              <w:t>T5</w:t>
            </w:r>
            <w:r w:rsidRPr="00F1046A">
              <w:tab/>
              <w:t>Reliability and security of traction supply</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10" w:name="O_465222"/>
      <w:bookmarkEnd w:id="10"/>
      <w:r w:rsidRPr="00F1046A">
        <w:t>Evidence Guide</w:t>
      </w:r>
    </w:p>
    <w:tbl>
      <w:tblPr>
        <w:tblW w:w="0" w:type="auto"/>
        <w:tblLayout w:type="fixed"/>
        <w:tblCellMar>
          <w:left w:w="62" w:type="dxa"/>
          <w:right w:w="62" w:type="dxa"/>
        </w:tblCellMar>
        <w:tblLook w:val="0000"/>
      </w:tblPr>
      <w:tblGrid>
        <w:gridCol w:w="8460"/>
      </w:tblGrid>
      <w:tr w:rsidTr="00624E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EVIDENCE GUIDE</w:t>
            </w:r>
          </w:p>
        </w:tc>
      </w:tr>
      <w:tr w:rsidTr="00624E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9)</w:t>
            </w:r>
            <w:r w:rsidRPr="00F1046A">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F1046A" w:rsidP="00F1046A">
            <w:pPr>
              <w:pStyle w:val="BodyText"/>
            </w:pPr>
            <w:r w:rsidRPr="00F1046A">
              <w:t>The Evidenc</w:t>
            </w:r>
            <w:r w:rsidRPr="00F1046A">
              <w:t>e Guide forms an integral part of this Competency Standard Unit and shall be used in conjunction with all component parts of this unit and, performed in accordance with the Assessment Guidelines of this Training Package.</w:t>
            </w:r>
          </w:p>
        </w:tc>
      </w:tr>
    </w:tbl>
    <w:p w:rsidR="00000000" w:rsidRPr="00F1046A" w:rsidP="00F1046A">
      <w:pPr>
        <w:pStyle w:val="BodyText"/>
      </w:pPr>
    </w:p>
    <w:tbl>
      <w:tblPr>
        <w:tblW w:w="0" w:type="auto"/>
        <w:tblLayout w:type="fixed"/>
        <w:tblCellMar>
          <w:left w:w="62" w:type="dxa"/>
          <w:right w:w="62" w:type="dxa"/>
        </w:tblCellMar>
        <w:tblLook w:val="0000"/>
      </w:tblPr>
      <w:tblGrid>
        <w:gridCol w:w="1890"/>
        <w:gridCol w:w="6570"/>
      </w:tblGrid>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9.1)</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Lon</w:t>
            </w:r>
            <w:r w:rsidRPr="00F1046A">
              <w:t>gitudinal competency development approaches to assessment, such as Profiling, require data to be reliably gathered in a form that can be consistently interpreted over time. This approach is best utilised in Apprenticeship programs and reduces assessment in</w:t>
            </w:r>
            <w:r w:rsidRPr="00F1046A">
              <w:t>tervention. It is the Industry’s preferred model for apprenticeships. However, where summative (or final) assessment is used it is to include the application of the competency in the normal work environment or, at a minimum, the application of the competen</w:t>
            </w:r>
            <w:r w:rsidRPr="00F1046A">
              <w:t>cy in a realistically simulated work environment. It is recognised that, in some circumstances, assessment in part or full can occur outside the workplace. However, it must be in accord with Industry and, Regulatory policy in this regard.</w:t>
            </w:r>
          </w:p>
          <w:p w:rsidR="00000000" w:rsidRPr="00F1046A" w:rsidP="00F1046A">
            <w:pPr>
              <w:pStyle w:val="BodyText"/>
            </w:pPr>
            <w:r w:rsidRPr="00F1046A">
              <w:t>Methods chosen fo</w:t>
            </w:r>
            <w:r w:rsidRPr="00F1046A">
              <w:t>r a particular assessment will be influenced by various factors. These include the extent of the assessment, the most effective locations for the assessment activities to take place, access to physical resources, additional safety measures that may be requ</w:t>
            </w:r>
            <w:r w:rsidRPr="00F1046A">
              <w:t>ired and the critical nature of the competencies being assessed.</w:t>
            </w:r>
          </w:p>
          <w:p w:rsidR="00000000" w:rsidRPr="00F1046A" w:rsidP="00F1046A">
            <w:pPr>
              <w:pStyle w:val="BodyText"/>
            </w:pPr>
            <w:r w:rsidRPr="00F1046A">
              <w:t>The critical safety nature of working with electricity, electrical equipment, gas or any other hazardous substanc</w:t>
            </w:r>
            <w:r w:rsidRPr="00F1046A">
              <w:t>e/material carries risk in deeming a person competent. Hence, sources of evidence need to be ‘rich’ in nature so as to minimise error in judgment.</w:t>
            </w:r>
          </w:p>
          <w:p w:rsidR="00000000" w:rsidRPr="00F1046A" w:rsidP="00F1046A">
            <w:pPr>
              <w:pStyle w:val="BodyText"/>
            </w:pPr>
            <w:r w:rsidRPr="00F1046A">
              <w:t>Activities associated with normal every day work have a bearing on the decision as to how much and how detail</w:t>
            </w:r>
            <w:r w:rsidRPr="00F1046A">
              <w:t>ed the data gathered will contribute to its ‘richness’. Some skills are more critical to safety and operational requirements while the same skills may be more or less frequently practiced. These points are raised for the assessors to consider when choosing</w:t>
            </w:r>
            <w:r w:rsidRPr="00F1046A">
              <w:t xml:space="preserve"> an assessment method and developing assessment instruments. Sample assessment instruments are included for Assessors in the Assessment Guidelines of this Training Package.</w:t>
            </w:r>
          </w:p>
        </w:tc>
      </w:tr>
    </w:tbl>
    <w:p w:rsidR="00000000" w:rsidRPr="00F1046A" w:rsidP="00F1046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9.2)</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Before the critical aspects of evidence are considered all prerequisites shall be met.</w:t>
            </w:r>
          </w:p>
          <w:p w:rsidR="00000000" w:rsidRPr="00F1046A" w:rsidP="00F1046A">
            <w:pPr>
              <w:pStyle w:val="BodyText"/>
            </w:pPr>
            <w:r w:rsidRPr="00F1046A">
              <w:t>Evidence for competence in this unit shall be considered holistically. Each element and associated Performance Criteria shall be demonstrated on at least two occas</w:t>
            </w:r>
            <w:r w:rsidRPr="00F1046A">
              <w:t>ions in accordance with the “Assessment Guidelines – UET12”. Evidence shall also comprise:</w:t>
            </w:r>
          </w:p>
          <w:p w:rsidR="00000000" w:rsidRPr="00F1046A" w:rsidP="00F1046A">
            <w:pPr>
              <w:pStyle w:val="ListBullet"/>
            </w:pPr>
            <w:r w:rsidRPr="00F1046A">
              <w:t xml:space="preserve">A representative body of Performance Criteria demonstrated within the timeframes typically expected of the discipline, work function and industrial environment. In </w:t>
            </w:r>
            <w:r w:rsidRPr="00F1046A">
              <w:t>particular this shall incorporate evidence that shows a candidate is able to:</w:t>
            </w:r>
          </w:p>
          <w:p w:rsidR="00000000" w:rsidRPr="00F1046A" w:rsidP="00F1046A">
            <w:pPr>
              <w:pStyle w:val="ListBullet2"/>
            </w:pPr>
            <w:r w:rsidRPr="00F1046A">
              <w:t>Implement Occupational Health and Safety workplace procedures and practices including the use of risk control measures as specified in the Performance Criteria and range; and</w:t>
            </w:r>
          </w:p>
          <w:p w:rsidR="00000000" w:rsidRPr="00F1046A" w:rsidP="00F1046A">
            <w:pPr>
              <w:pStyle w:val="ListBullet2"/>
            </w:pPr>
            <w:r w:rsidRPr="00F1046A">
              <w:t>Apply sustainable energy principles and practices as specified in the Performance Criteria and range; and</w:t>
            </w:r>
          </w:p>
          <w:p w:rsidR="00000000" w:rsidRPr="00F1046A" w:rsidP="00F1046A">
            <w:pPr>
              <w:pStyle w:val="ListBullet2"/>
            </w:pPr>
            <w:r w:rsidRPr="00F1046A">
              <w:t>Demonstrate an understanding of the essential knowledge and associated skills as described in this unit to such an extent that the learner’s performan</w:t>
            </w:r>
            <w:r w:rsidRPr="00F1046A">
              <w:t>ce outcome is reported in accordance with the preferred approach; namely a percentile graded result, where required by the regulated environment; and</w:t>
            </w:r>
          </w:p>
          <w:p w:rsidR="00000000" w:rsidRPr="00F1046A" w:rsidP="00F1046A">
            <w:pPr>
              <w:pStyle w:val="ListBullet2"/>
            </w:pPr>
            <w:r w:rsidRPr="00F1046A">
              <w:t>Demonstrate an appropriate level of employability skills; and</w:t>
            </w:r>
          </w:p>
          <w:p w:rsidR="00000000" w:rsidRPr="00F1046A" w:rsidP="00F1046A">
            <w:pPr>
              <w:pStyle w:val="ListBullet"/>
            </w:pPr>
            <w:r w:rsidRPr="00F1046A">
              <w:t>Conduct work observing the relevant Anti Di</w:t>
            </w:r>
            <w:r w:rsidRPr="00F1046A">
              <w:t>scrimination legislation, regulations, policies and workplace procedures; and</w:t>
            </w:r>
          </w:p>
          <w:p w:rsidR="00000000" w:rsidP="00F1046A">
            <w:pPr>
              <w:pStyle w:val="ListBullet2"/>
              <w:rPr>
                <w:lang w:val="en-NZ"/>
              </w:rPr>
            </w:pPr>
            <w:r w:rsidRPr="00F1046A">
              <w:t>Demonstrated performance across a representative range of contexts from the prescribed items below:</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1046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rPr>
                <w:rStyle w:val="SpecialBold"/>
              </w:rPr>
              <w:t>Range of tools/equipment/materials/procedures/workplaces/other variables</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1046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rPr>
                <w:rStyle w:val="SpecialBold"/>
              </w:rPr>
              <w:t>Item List</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t xml:space="preserve">Support structure, </w:t>
            </w:r>
          </w:p>
          <w:p w:rsidR="00000000" w:rsidRPr="00F1046A" w:rsidP="00F1046A">
            <w:pPr>
              <w:pStyle w:val="BodyText"/>
            </w:pPr>
            <w:r w:rsidRPr="00F1046A">
              <w:t xml:space="preserve">Span, </w:t>
            </w:r>
          </w:p>
          <w:p w:rsidR="00000000" w:rsidRPr="00F1046A" w:rsidP="00F1046A">
            <w:pPr>
              <w:pStyle w:val="BodyText"/>
            </w:pPr>
            <w:r w:rsidRPr="00F1046A">
              <w:t xml:space="preserve">Section insulator, </w:t>
            </w:r>
          </w:p>
          <w:p w:rsidR="00000000" w:rsidRPr="00F1046A" w:rsidP="00F1046A">
            <w:pPr>
              <w:pStyle w:val="BodyText"/>
            </w:pPr>
            <w:r w:rsidRPr="00F1046A">
              <w:t xml:space="preserve">Neutral section, </w:t>
            </w:r>
          </w:p>
          <w:p w:rsidR="00000000" w:rsidRPr="00F1046A" w:rsidP="00F1046A">
            <w:pPr>
              <w:pStyle w:val="BodyText"/>
            </w:pPr>
            <w:r w:rsidRPr="00F1046A">
              <w:t xml:space="preserve">Midpoint anchor, </w:t>
            </w:r>
          </w:p>
          <w:p w:rsidR="00000000" w:rsidRPr="00F1046A" w:rsidP="00F1046A">
            <w:pPr>
              <w:pStyle w:val="BodyText"/>
            </w:pPr>
            <w:r w:rsidRPr="00F1046A">
              <w:t xml:space="preserve">Support equipment, </w:t>
            </w:r>
          </w:p>
          <w:p w:rsidR="00000000" w:rsidRPr="00F1046A" w:rsidP="00F1046A">
            <w:pPr>
              <w:pStyle w:val="BodyText"/>
            </w:pPr>
            <w:r w:rsidRPr="00F1046A">
              <w:t xml:space="preserve">Tension regulators, </w:t>
            </w:r>
          </w:p>
          <w:p w:rsidR="00000000" w:rsidRPr="00F1046A" w:rsidP="00F1046A">
            <w:pPr>
              <w:pStyle w:val="BodyText"/>
            </w:pPr>
            <w:r w:rsidRPr="00F1046A">
              <w:t xml:space="preserve">Stay/guy wire, </w:t>
            </w:r>
          </w:p>
          <w:p w:rsidR="00000000" w:rsidP="00F1046A">
            <w:pPr>
              <w:pStyle w:val="BodyText"/>
              <w:rPr>
                <w:lang w:val="en-NZ"/>
              </w:rPr>
            </w:pPr>
            <w:r w:rsidRPr="00F1046A">
              <w:t>Tramway support network</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t xml:space="preserve">Catenary, </w:t>
            </w:r>
          </w:p>
          <w:p w:rsidR="00000000" w:rsidRPr="00F1046A" w:rsidP="00F1046A">
            <w:pPr>
              <w:pStyle w:val="BodyText"/>
            </w:pPr>
            <w:r w:rsidRPr="00F1046A">
              <w:t xml:space="preserve">Dropper, </w:t>
            </w:r>
          </w:p>
          <w:p w:rsidR="00000000" w:rsidRPr="00F1046A" w:rsidP="00F1046A">
            <w:pPr>
              <w:pStyle w:val="BodyText"/>
            </w:pPr>
            <w:r w:rsidRPr="00F1046A">
              <w:t xml:space="preserve">Contact/trolley*, </w:t>
            </w:r>
          </w:p>
          <w:p w:rsidR="00000000" w:rsidRPr="00F1046A" w:rsidP="00F1046A">
            <w:pPr>
              <w:pStyle w:val="BodyText"/>
            </w:pPr>
            <w:r w:rsidRPr="00F1046A">
              <w:t xml:space="preserve">Feeder, </w:t>
            </w:r>
          </w:p>
          <w:p w:rsidR="00000000" w:rsidRPr="00F1046A" w:rsidP="00F1046A">
            <w:pPr>
              <w:pStyle w:val="BodyText"/>
            </w:pPr>
            <w:r w:rsidRPr="00F1046A">
              <w:t xml:space="preserve">Earth conductor, </w:t>
            </w:r>
          </w:p>
          <w:p w:rsidR="00000000" w:rsidRPr="00F1046A" w:rsidP="00F1046A">
            <w:pPr>
              <w:pStyle w:val="BodyText"/>
            </w:pPr>
            <w:r w:rsidRPr="00F1046A">
              <w:t xml:space="preserve">Drape/potential jumper </w:t>
            </w:r>
          </w:p>
          <w:p w:rsidR="00000000" w:rsidP="00F1046A">
            <w:pPr>
              <w:pStyle w:val="BodyText"/>
              <w:rPr>
                <w:lang w:val="en-NZ"/>
              </w:rPr>
            </w:pPr>
            <w:r w:rsidRPr="00F1046A">
              <w:t>(*must do)</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t xml:space="preserve">Elevating work platform, </w:t>
            </w:r>
          </w:p>
          <w:p w:rsidR="00000000" w:rsidRPr="00F1046A" w:rsidP="00F1046A">
            <w:pPr>
              <w:pStyle w:val="BodyText"/>
            </w:pPr>
            <w:r w:rsidRPr="00F1046A">
              <w:t xml:space="preserve">Ladder, </w:t>
            </w:r>
          </w:p>
          <w:p w:rsidR="00000000" w:rsidP="00F1046A">
            <w:pPr>
              <w:pStyle w:val="BodyText"/>
              <w:rPr>
                <w:lang w:val="en-NZ"/>
              </w:rPr>
            </w:pPr>
            <w:r w:rsidRPr="00F1046A">
              <w:t>Mobile platform</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t xml:space="preserve">Tensioning equipment*, </w:t>
            </w:r>
          </w:p>
          <w:p w:rsidR="00000000" w:rsidRPr="00F1046A" w:rsidP="00F1046A">
            <w:pPr>
              <w:pStyle w:val="BodyText"/>
            </w:pPr>
            <w:r w:rsidRPr="00F1046A">
              <w:t>Specialised tools,</w:t>
            </w:r>
          </w:p>
          <w:p w:rsidR="00000000" w:rsidRPr="00F1046A" w:rsidP="00F1046A">
            <w:pPr>
              <w:pStyle w:val="BodyText"/>
            </w:pPr>
            <w:r w:rsidRPr="00F1046A">
              <w:t xml:space="preserve">Ropes, </w:t>
            </w:r>
          </w:p>
          <w:p w:rsidR="00000000" w:rsidRPr="00F1046A" w:rsidP="00F1046A">
            <w:pPr>
              <w:pStyle w:val="BodyText"/>
            </w:pPr>
            <w:r w:rsidRPr="00F1046A">
              <w:t xml:space="preserve">Geometry profiling equipment. </w:t>
            </w:r>
          </w:p>
          <w:p w:rsidR="00000000" w:rsidP="00F1046A">
            <w:pPr>
              <w:pStyle w:val="BodyText"/>
              <w:rPr>
                <w:lang w:val="en-NZ"/>
              </w:rPr>
            </w:pPr>
            <w:r w:rsidRPr="00F1046A">
              <w:t>(*must do)</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46A">
            <w:pPr>
              <w:pStyle w:val="BodyText"/>
              <w:rPr>
                <w:lang w:val="en-NZ"/>
              </w:rPr>
            </w:pPr>
            <w:r w:rsidRPr="00F1046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46A" w:rsidP="00F1046A">
            <w:pPr>
              <w:pStyle w:val="BodyText"/>
            </w:pPr>
            <w:r w:rsidRPr="00F1046A">
              <w:t>Dealing with an unplanned event by drawing on essential knowledge and associated skills to provide appropriate solutions incorporated in the holistic assessment with the above listed items.</w:t>
            </w:r>
          </w:p>
        </w:tc>
      </w:tr>
    </w:tbl>
    <w:p w:rsidR="00000000" w:rsidRPr="00F1046A" w:rsidP="00F1046A">
      <w:pPr>
        <w:pStyle w:val="BodyText"/>
      </w:pPr>
    </w:p>
    <w:tbl>
      <w:tblPr>
        <w:tblW w:w="0" w:type="auto"/>
        <w:tblLayout w:type="fixed"/>
        <w:tblCellMar>
          <w:left w:w="62" w:type="dxa"/>
          <w:right w:w="62" w:type="dxa"/>
        </w:tblCellMar>
        <w:tblLook w:val="0000"/>
      </w:tblPr>
      <w:tblGrid>
        <w:gridCol w:w="1890"/>
        <w:gridCol w:w="6570"/>
      </w:tblGrid>
      <w:tr w:rsidTr="00624E7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9.3)</w:t>
            </w:r>
          </w:p>
        </w:tc>
      </w:tr>
      <w:tr w:rsidTr="00624E7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This unit should be assessed as it relates to normal work practice using procedures, information and resources typical of a workplace. This should include:</w:t>
            </w:r>
          </w:p>
          <w:p w:rsidR="00000000" w:rsidRPr="00F1046A" w:rsidP="00F1046A">
            <w:pPr>
              <w:pStyle w:val="ListBullet"/>
            </w:pPr>
            <w:r w:rsidRPr="00F1046A">
              <w:t>OHS policy and work procedures and instructions.</w:t>
            </w:r>
          </w:p>
          <w:p w:rsidR="00000000" w:rsidRPr="00F1046A" w:rsidP="00F1046A">
            <w:pPr>
              <w:pStyle w:val="ListBullet"/>
            </w:pPr>
            <w:r w:rsidRPr="00F1046A">
              <w:t>Suitable work environment, facilities, equipment a</w:t>
            </w:r>
            <w:r w:rsidRPr="00F1046A">
              <w:t xml:space="preserve">nd materials to undertake actual installation of overhead traction wiring systems. </w:t>
            </w:r>
          </w:p>
          <w:p w:rsidR="00000000" w:rsidRPr="00F1046A" w:rsidP="00F1046A">
            <w:pPr>
              <w:pStyle w:val="BodyText"/>
            </w:pPr>
            <w:r w:rsidRPr="00F1046A">
              <w:t>In addition to the resources listed above, in context of and specific resources for assessment, evidence should show demonstrated competency working below ground, in limite</w:t>
            </w:r>
            <w:r w:rsidRPr="00F1046A">
              <w:t xml:space="preserve">d spaces, with different structural/construction types and method and in a variety of environments. </w:t>
            </w:r>
          </w:p>
        </w:tc>
      </w:tr>
    </w:tbl>
    <w:p w:rsidR="00000000" w:rsidRPr="00F1046A" w:rsidP="00F1046A">
      <w:pPr>
        <w:pStyle w:val="BodyText"/>
      </w:pPr>
    </w:p>
    <w:tbl>
      <w:tblPr>
        <w:tblW w:w="0" w:type="auto"/>
        <w:tblLayout w:type="fixed"/>
        <w:tblCellMar>
          <w:left w:w="62" w:type="dxa"/>
          <w:right w:w="62" w:type="dxa"/>
        </w:tblCellMar>
        <w:tblLook w:val="0000"/>
      </w:tblPr>
      <w:tblGrid>
        <w:gridCol w:w="1890"/>
        <w:gridCol w:w="6570"/>
      </w:tblGrid>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9.4)</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This Competency Standard Unit shall be assessed by methods given in Volume 1, Part 3 “Assessment Guidelines”.</w:t>
            </w:r>
          </w:p>
          <w:p w:rsidR="00000000" w:rsidRPr="00F1046A" w:rsidP="00F1046A">
            <w:pPr>
              <w:pStyle w:val="BodyText"/>
            </w:pPr>
            <w:r w:rsidRPr="00F1046A">
              <w:t>Note:</w:t>
            </w:r>
          </w:p>
          <w:p w:rsidR="00000000" w:rsidRPr="00F1046A" w:rsidP="00F1046A">
            <w:pPr>
              <w:pStyle w:val="BodyText"/>
            </w:pPr>
            <w:r w:rsidRPr="00F1046A">
              <w:t>Competent performance with inherent safe working practices is expected in the Transmission, Distribution and Rail Traction Industry. This requires that the specified essential knowledge and associated skills are assessed in a structured environment which i</w:t>
            </w:r>
            <w:r w:rsidRPr="00F1046A">
              <w:t>s primarily intended for learning/assessment and incorporates all necessary equipment and facilities for learners to develop and demonstrate the essential knowledge and associated skills described in this unit.</w:t>
            </w:r>
          </w:p>
        </w:tc>
      </w:tr>
    </w:tbl>
    <w:p w:rsidR="00000000" w:rsidRPr="00F1046A" w:rsidP="00F1046A">
      <w:pPr>
        <w:pStyle w:val="BodyText"/>
      </w:pPr>
    </w:p>
    <w:tbl>
      <w:tblPr>
        <w:tblW w:w="0" w:type="auto"/>
        <w:tblLayout w:type="fixed"/>
        <w:tblCellMar>
          <w:left w:w="62" w:type="dxa"/>
          <w:right w:w="62" w:type="dxa"/>
        </w:tblCellMar>
        <w:tblLook w:val="0000"/>
      </w:tblPr>
      <w:tblGrid>
        <w:gridCol w:w="1890"/>
        <w:gridCol w:w="1530"/>
        <w:gridCol w:w="5040"/>
      </w:tblGrid>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Concurrent assessment and relationship with</w:t>
            </w:r>
            <w:r w:rsidRPr="00F1046A">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9.5)</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 xml:space="preserve">For optimisation of training and assessment effort, competence in this unit may be assessed concurrently with the following units: </w:t>
            </w:r>
          </w:p>
        </w:tc>
      </w:tr>
      <w:tr w:rsidTr="00624E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t>UETTDRRT27A</w:t>
            </w:r>
          </w:p>
        </w:tc>
        <w:tc>
          <w:tcPr>
            <w:tcW w:w="504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Install overhead traction components and equipment</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11" w:name="O_465226"/>
      <w:bookmarkEnd w:id="11"/>
      <w:r w:rsidRPr="00F1046A">
        <w:t>Range Statement</w:t>
      </w:r>
    </w:p>
    <w:tbl>
      <w:tblPr>
        <w:tblW w:w="0" w:type="auto"/>
        <w:tblLayout w:type="fixed"/>
        <w:tblCellMar>
          <w:left w:w="62" w:type="dxa"/>
          <w:right w:w="62" w:type="dxa"/>
        </w:tblCellMar>
        <w:tblLook w:val="0000"/>
      </w:tblPr>
      <w:tblGrid>
        <w:gridCol w:w="8460"/>
      </w:tblGrid>
      <w:tr w:rsidTr="00624E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RANGE STATEMENT</w:t>
            </w:r>
          </w:p>
        </w:tc>
      </w:tr>
      <w:tr w:rsidTr="00624E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10)</w:t>
            </w:r>
            <w:r w:rsidRPr="00F1046A">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F1046A" w:rsidP="00F1046A">
            <w:pPr>
              <w:pStyle w:val="BodyText"/>
            </w:pPr>
            <w:r w:rsidRPr="00F1046A">
              <w:t xml:space="preserve">This Unit shall be demonstrated in relation to the installation of overhead traction wiring systems as it relates to the correct registration of the contact wire with respect to the current collectors </w:t>
            </w:r>
          </w:p>
          <w:p w:rsidR="00000000" w:rsidRPr="00F1046A" w:rsidP="00F1046A">
            <w:pPr>
              <w:pStyle w:val="BodyText"/>
            </w:pPr>
            <w:r w:rsidRPr="00F1046A">
              <w:t>Types of conductor may include HD, CAD, tin bearing an</w:t>
            </w:r>
            <w:r w:rsidRPr="00F1046A">
              <w:t>d magnesium copper, aluminium, steel, aluminium conductor steel reinforced (ACSR), insulated screened and unscreened cable and pilot and control cables.</w:t>
            </w:r>
          </w:p>
          <w:p w:rsidR="00000000" w:rsidRPr="00F1046A" w:rsidP="00F1046A">
            <w:pPr>
              <w:pStyle w:val="BodyText"/>
            </w:pPr>
            <w:r w:rsidRPr="00F1046A">
              <w:t>Materials and equipment may include porcelain, glass, ceramic, fibre glass and composite insulators, st</w:t>
            </w:r>
            <w:r w:rsidRPr="00F1046A">
              <w:t>eel, brass, stainless steel, neoprene, copper, cast and galvanized fittings, drums, pulleys, hooks, yoke plate, line grips, tensioning devices, ropes, slings, hydraulic/manual crimping and cutting tools, specialized tools and dynamometers; Conductors and s</w:t>
            </w:r>
            <w:r w:rsidRPr="00F1046A">
              <w:t>upport wires include droppers wire, catenary wire, contact/trolley wire, earth wire, feeder wire, drape/potential jumper wire, stay wire, cross-span, networks and head span wire.</w:t>
            </w:r>
          </w:p>
          <w:p w:rsidR="00000000" w:rsidRPr="00F1046A" w:rsidP="00F1046A">
            <w:pPr>
              <w:pStyle w:val="BodyText"/>
            </w:pPr>
            <w:r w:rsidRPr="00F1046A">
              <w:t>Associated equipment to conductors may include registration arms, midpoint an</w:t>
            </w:r>
            <w:r w:rsidRPr="00F1046A">
              <w:t>chors, section insulators, neutral sections, supports, cantilevers, portals, drop verticals, surge diverters and tensioning devices.</w:t>
            </w:r>
          </w:p>
          <w:p w:rsidR="00000000" w:rsidRPr="00F1046A" w:rsidP="00F1046A">
            <w:pPr>
              <w:pStyle w:val="BodyText"/>
            </w:pPr>
            <w:r w:rsidRPr="00F1046A">
              <w:t xml:space="preserve">Plant may include ladders, elevating work platform, winches and capstans, specialist tensioning stringing equipment, cable </w:t>
            </w:r>
            <w:r w:rsidRPr="00F1046A">
              <w:t>trailers and drum stands, rail and road rail mounted overhead wiring vehicles.</w:t>
            </w:r>
          </w:p>
          <w:p w:rsidR="00000000" w:rsidRPr="00F1046A" w:rsidP="00F1046A">
            <w:pPr>
              <w:pStyle w:val="BodyText"/>
            </w:pPr>
            <w:r w:rsidRPr="00F1046A">
              <w:t>Installing tension regulators encompasses fitting, positioning and securing weight chains and pulley systems.</w:t>
            </w:r>
          </w:p>
          <w:p w:rsidR="00000000" w:rsidRPr="00F1046A" w:rsidP="00F1046A">
            <w:pPr>
              <w:pStyle w:val="BodyText"/>
            </w:pPr>
            <w:r w:rsidRPr="00F1046A">
              <w:t>Permits may include access permits, permits to work and or other re</w:t>
            </w:r>
            <w:r w:rsidRPr="00F1046A">
              <w:t>levant permits and documents by recognised bodies.</w:t>
            </w:r>
          </w:p>
          <w:p w:rsidR="00000000" w:rsidRPr="00F1046A" w:rsidP="00F1046A">
            <w:pPr>
              <w:pStyle w:val="BodyText"/>
            </w:pPr>
            <w:r w:rsidRPr="00F1046A">
              <w:t>Profiling encompasses sag, tension, encumbrances, offsets, cants and registration which involves horizontal and vertical calibration of the contact wire or trolley wire to a design height and stagger in re</w:t>
            </w:r>
            <w:r w:rsidRPr="00F1046A">
              <w:t>ference to the running rail.</w:t>
            </w:r>
          </w:p>
          <w:p w:rsidR="00000000" w:rsidRPr="00F1046A" w:rsidP="00F1046A">
            <w:pPr>
              <w:pStyle w:val="BodyText"/>
            </w:pPr>
            <w:r w:rsidRPr="00F1046A">
              <w:t>Current collectors may include pantographs and tram trolley poles.</w:t>
            </w:r>
          </w:p>
          <w:p w:rsidR="00000000" w:rsidRPr="00F1046A" w:rsidP="00F1046A">
            <w:pPr>
              <w:pStyle w:val="BodyText"/>
            </w:pPr>
            <w:r w:rsidRPr="00F1046A">
              <w:t xml:space="preserve">The following constants and variables included in the element/Performance Criteria in this unit are fully described in the Definitions Section 1 of this volume </w:t>
            </w:r>
            <w:r w:rsidRPr="00F1046A">
              <w:t>and form an integral part of the Range Statement of this unit:</w:t>
            </w:r>
          </w:p>
          <w:p w:rsidR="00000000" w:rsidRPr="00F1046A" w:rsidP="00F1046A">
            <w:pPr>
              <w:pStyle w:val="ListBullet3"/>
            </w:pPr>
            <w:r w:rsidRPr="00F1046A">
              <w:t>Appropriate and relevant persons (see Personnel)</w:t>
            </w:r>
          </w:p>
          <w:p w:rsidR="00000000" w:rsidRPr="00F1046A" w:rsidP="00F1046A">
            <w:pPr>
              <w:pStyle w:val="ListBullet3"/>
            </w:pPr>
            <w:r w:rsidRPr="00F1046A">
              <w:t>Appropriate authorities</w:t>
            </w:r>
          </w:p>
          <w:p w:rsidR="00000000" w:rsidRPr="00F1046A" w:rsidP="00F1046A">
            <w:pPr>
              <w:pStyle w:val="ListBullet3"/>
            </w:pPr>
            <w:r w:rsidRPr="00F1046A">
              <w:t>Appropriate work platform</w:t>
            </w:r>
          </w:p>
          <w:p w:rsidR="00000000" w:rsidRPr="00F1046A" w:rsidP="00F1046A">
            <w:pPr>
              <w:pStyle w:val="ListBullet3"/>
            </w:pPr>
            <w:r w:rsidRPr="00F1046A">
              <w:t>Assessing risk</w:t>
            </w:r>
          </w:p>
          <w:p w:rsidR="00000000" w:rsidRPr="00F1046A" w:rsidP="00F1046A">
            <w:pPr>
              <w:pStyle w:val="ListBullet3"/>
            </w:pPr>
            <w:r w:rsidRPr="00F1046A">
              <w:t>Assessment</w:t>
            </w:r>
          </w:p>
          <w:p w:rsidR="00000000" w:rsidRPr="00F1046A" w:rsidP="00F1046A">
            <w:pPr>
              <w:pStyle w:val="ListBullet3"/>
            </w:pPr>
            <w:r w:rsidRPr="00F1046A">
              <w:t>Authorisation</w:t>
            </w:r>
          </w:p>
          <w:p w:rsidR="00000000" w:rsidRPr="00F1046A" w:rsidP="00F1046A">
            <w:pPr>
              <w:pStyle w:val="ListBullet3"/>
            </w:pPr>
            <w:r w:rsidRPr="00F1046A">
              <w:t>Confined space</w:t>
            </w:r>
          </w:p>
          <w:p w:rsidR="00000000" w:rsidRPr="00F1046A" w:rsidP="00F1046A">
            <w:pPr>
              <w:pStyle w:val="ListBullet3"/>
            </w:pPr>
            <w:r w:rsidRPr="00F1046A">
              <w:t>Diagnostic, testing and restoration</w:t>
            </w:r>
          </w:p>
          <w:p w:rsidR="00000000" w:rsidRPr="00F1046A" w:rsidP="00F1046A">
            <w:pPr>
              <w:pStyle w:val="ListBullet3"/>
            </w:pPr>
            <w:r w:rsidRPr="00F1046A">
              <w:t>Documenting detail of work events, record keeping and or storage of information</w:t>
            </w:r>
          </w:p>
          <w:p w:rsidR="00000000" w:rsidRPr="00F1046A" w:rsidP="00F1046A">
            <w:pPr>
              <w:pStyle w:val="ListBullet3"/>
            </w:pPr>
            <w:r w:rsidRPr="00F1046A">
              <w:t>Drawings and specifications</w:t>
            </w:r>
          </w:p>
          <w:p w:rsidR="00000000" w:rsidRPr="00F1046A" w:rsidP="00F1046A">
            <w:pPr>
              <w:pStyle w:val="ListBullet3"/>
            </w:pPr>
            <w:r w:rsidRPr="00F1046A">
              <w:t>Emergency</w:t>
            </w:r>
          </w:p>
          <w:p w:rsidR="00000000" w:rsidRPr="00F1046A" w:rsidP="00F1046A">
            <w:pPr>
              <w:pStyle w:val="ListBullet3"/>
            </w:pPr>
            <w:r w:rsidRPr="00F1046A">
              <w:t>Environmental and sustainable energy procedures</w:t>
            </w:r>
          </w:p>
          <w:p w:rsidR="00000000" w:rsidRPr="00F1046A" w:rsidP="00F1046A">
            <w:pPr>
              <w:pStyle w:val="ListBullet3"/>
            </w:pPr>
            <w:r w:rsidRPr="00F1046A">
              <w:t>Environmental legislation</w:t>
            </w:r>
          </w:p>
          <w:p w:rsidR="00000000" w:rsidRPr="00F1046A" w:rsidP="00F1046A">
            <w:pPr>
              <w:pStyle w:val="ListBullet3"/>
            </w:pPr>
            <w:r w:rsidRPr="00F1046A">
              <w:t>Environmental management documentation</w:t>
            </w:r>
          </w:p>
          <w:p w:rsidR="00000000" w:rsidRPr="00F1046A" w:rsidP="00F1046A">
            <w:pPr>
              <w:pStyle w:val="ListBullet3"/>
            </w:pPr>
            <w:r w:rsidRPr="00F1046A">
              <w:t>Established procedures</w:t>
            </w:r>
          </w:p>
          <w:p w:rsidR="00000000" w:rsidRPr="00F1046A" w:rsidP="00F1046A">
            <w:pPr>
              <w:pStyle w:val="ListBullet3"/>
            </w:pPr>
            <w:r w:rsidRPr="00F1046A">
              <w:t>Fa</w:t>
            </w:r>
            <w:r w:rsidRPr="00F1046A">
              <w:t>ll prevention</w:t>
            </w:r>
          </w:p>
          <w:p w:rsidR="00000000" w:rsidRPr="00F1046A" w:rsidP="00F1046A">
            <w:pPr>
              <w:pStyle w:val="ListBullet3"/>
            </w:pPr>
            <w:r w:rsidRPr="00F1046A">
              <w:t>Hazards</w:t>
            </w:r>
          </w:p>
          <w:p w:rsidR="00000000" w:rsidRPr="00F1046A" w:rsidP="00F1046A">
            <w:pPr>
              <w:pStyle w:val="ListBullet3"/>
            </w:pPr>
            <w:r w:rsidRPr="00F1046A">
              <w:t>Identifying hazards</w:t>
            </w:r>
          </w:p>
          <w:p w:rsidR="00000000" w:rsidRPr="00F1046A" w:rsidP="00F1046A">
            <w:pPr>
              <w:pStyle w:val="ListBullet3"/>
            </w:pPr>
            <w:r w:rsidRPr="00F1046A">
              <w:t>Inspect</w:t>
            </w:r>
          </w:p>
          <w:p w:rsidR="00000000" w:rsidRPr="00F1046A" w:rsidP="00F1046A">
            <w:pPr>
              <w:pStyle w:val="ListBullet3"/>
            </w:pPr>
            <w:r w:rsidRPr="00F1046A">
              <w:t>Legislation</w:t>
            </w:r>
          </w:p>
          <w:p w:rsidR="00000000" w:rsidRPr="00F1046A" w:rsidP="00F1046A">
            <w:pPr>
              <w:pStyle w:val="ListBullet3"/>
            </w:pPr>
            <w:r w:rsidRPr="00F1046A">
              <w:t>MSDS</w:t>
            </w:r>
          </w:p>
          <w:p w:rsidR="00000000" w:rsidRPr="00F1046A" w:rsidP="00F1046A">
            <w:pPr>
              <w:pStyle w:val="ListBullet3"/>
            </w:pPr>
            <w:r w:rsidRPr="00F1046A">
              <w:t>Notification</w:t>
            </w:r>
          </w:p>
          <w:p w:rsidR="00000000" w:rsidRPr="00F1046A" w:rsidP="00F1046A">
            <w:pPr>
              <w:pStyle w:val="ListBullet3"/>
            </w:pPr>
            <w:r w:rsidRPr="00F1046A">
              <w:t>OHS practices</w:t>
            </w:r>
          </w:p>
          <w:p w:rsidR="00000000" w:rsidRPr="00F1046A" w:rsidP="00F1046A">
            <w:pPr>
              <w:pStyle w:val="ListBullet3"/>
            </w:pPr>
            <w:r w:rsidRPr="00F1046A">
              <w:t>OHS issues</w:t>
            </w:r>
          </w:p>
          <w:p w:rsidR="00000000" w:rsidRPr="00F1046A" w:rsidP="00F1046A">
            <w:pPr>
              <w:pStyle w:val="ListBullet3"/>
            </w:pPr>
            <w:r w:rsidRPr="00F1046A">
              <w:t>Permits and/or permits to work</w:t>
            </w:r>
          </w:p>
          <w:p w:rsidR="00000000" w:rsidRPr="00F1046A" w:rsidP="00F1046A">
            <w:pPr>
              <w:pStyle w:val="ListBullet3"/>
            </w:pPr>
            <w:r w:rsidRPr="00F1046A">
              <w:t>Personnel</w:t>
            </w:r>
          </w:p>
          <w:p w:rsidR="00000000" w:rsidRPr="00F1046A" w:rsidP="00F1046A">
            <w:pPr>
              <w:pStyle w:val="ListBullet3"/>
            </w:pPr>
            <w:r w:rsidRPr="00F1046A">
              <w:t>Quality assurance systems</w:t>
            </w:r>
          </w:p>
          <w:p w:rsidR="00000000" w:rsidRPr="00F1046A" w:rsidP="00F1046A">
            <w:pPr>
              <w:pStyle w:val="ListBullet3"/>
            </w:pPr>
            <w:r w:rsidRPr="00F1046A">
              <w:t>Requirements</w:t>
            </w:r>
          </w:p>
          <w:p w:rsidR="00000000" w:rsidRPr="00F1046A" w:rsidP="00F1046A">
            <w:pPr>
              <w:pStyle w:val="ListBullet3"/>
            </w:pPr>
            <w:r w:rsidRPr="00F1046A">
              <w:t>Testing procedures</w:t>
            </w:r>
          </w:p>
          <w:p w:rsidR="00000000" w:rsidRPr="00F1046A" w:rsidP="00F1046A">
            <w:pPr>
              <w:pStyle w:val="ListBullet3"/>
            </w:pPr>
            <w:r w:rsidRPr="00F1046A">
              <w:t>Work clearance systems</w:t>
            </w:r>
          </w:p>
        </w:tc>
      </w:tr>
    </w:tbl>
    <w:p w:rsidR="00000000" w:rsidRPr="00F1046A" w:rsidP="00F1046A">
      <w:pPr>
        <w:pStyle w:val="BodyText"/>
      </w:pPr>
    </w:p>
    <w:p w:rsidR="00000000" w:rsidRPr="00F1046A" w:rsidP="00F1046A">
      <w:pPr>
        <w:pStyle w:val="AllowPageBreak"/>
      </w:pPr>
    </w:p>
    <w:p w:rsidR="00000000" w:rsidRPr="00F1046A" w:rsidP="00F1046A">
      <w:pPr>
        <w:pStyle w:val="Heading1"/>
      </w:pPr>
      <w:bookmarkStart w:id="12" w:name="O_465229"/>
      <w:bookmarkEnd w:id="12"/>
      <w:r w:rsidRPr="00F1046A">
        <w:t>Unit Sector(s)</w:t>
      </w:r>
    </w:p>
    <w:p w:rsidR="00000000" w:rsidRPr="00F1046A" w:rsidP="00F1046A">
      <w:pPr>
        <w:pStyle w:val="BodyText"/>
      </w:pPr>
      <w:r w:rsidRPr="00F1046A">
        <w:t>Not applicable.</w:t>
      </w:r>
    </w:p>
    <w:p w:rsidR="00000000" w:rsidRPr="00F1046A" w:rsidP="00F1046A">
      <w:pPr>
        <w:pStyle w:val="AllowPageBreak"/>
      </w:pPr>
    </w:p>
    <w:p w:rsidR="00000000" w:rsidRPr="00F1046A" w:rsidP="00F1046A">
      <w:pPr>
        <w:pStyle w:val="Heading1"/>
      </w:pPr>
      <w:bookmarkStart w:id="13" w:name="O_465218"/>
      <w:bookmarkEnd w:id="13"/>
      <w:r w:rsidRPr="00F1046A">
        <w:t>Competency Field</w:t>
      </w:r>
    </w:p>
    <w:tbl>
      <w:tblPr>
        <w:tblW w:w="0" w:type="auto"/>
        <w:tblLayout w:type="fixed"/>
        <w:tblCellMar>
          <w:left w:w="62" w:type="dxa"/>
          <w:right w:w="62" w:type="dxa"/>
        </w:tblCellMar>
        <w:tblLook w:val="0000"/>
      </w:tblPr>
      <w:tblGrid>
        <w:gridCol w:w="2700"/>
        <w:gridCol w:w="5760"/>
      </w:tblGrid>
      <w:tr w:rsidTr="00624E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046A">
            <w:pPr>
              <w:pStyle w:val="BodyText"/>
              <w:rPr>
                <w:lang w:val="en-NZ"/>
              </w:rPr>
            </w:pPr>
            <w:r w:rsidRPr="00F1046A">
              <w:rPr>
                <w:rStyle w:val="SpecialBold"/>
              </w:rPr>
              <w:t xml:space="preserve">11) </w:t>
            </w:r>
          </w:p>
        </w:tc>
      </w:tr>
      <w:tr w:rsidTr="00624E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46A" w:rsidP="00F1046A">
            <w:pPr>
              <w:pStyle w:val="BodyText"/>
            </w:pPr>
            <w:r w:rsidRPr="00F1046A">
              <w:t>Rail Traction Units</w:t>
            </w:r>
          </w:p>
        </w:tc>
      </w:tr>
    </w:tbl>
    <w:p w:rsidR="00000000" w:rsidRPr="00F1046A" w:rsidP="00F1046A">
      <w:pPr>
        <w:pStyle w:val="BodyText"/>
      </w:pPr>
    </w:p>
    <w:p w:rsidR="00000000" w:rsidRPr="00F1046A" w:rsidP="00F1046A"/>
    <w:sectPr w:rsidSect="00F10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E72" w:rsidP="00624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72" w:rsidP="00F10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24E72" w:rsidP="00F104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24E72" w:rsidP="00F104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E72" w:rsidP="00624E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72" w:rsidP="00F1046A">
    <w:pPr>
      <w:pStyle w:val="Header"/>
      <w:framePr w:wrap="around"/>
    </w:pPr>
    <w:r>
      <w:fldChar w:fldCharType="begin"/>
    </w:r>
    <w:r>
      <w:instrText xml:space="preserve"> TITLE   \* MERGEFORMAT </w:instrText>
    </w:r>
    <w:r>
      <w:fldChar w:fldCharType="separate"/>
    </w:r>
    <w:r>
      <w:t>UETTDRRT21A Install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4E72" w:rsidP="00F104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C7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40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AE6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4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046A"/>
    <w:pPr>
      <w:spacing w:before="360" w:after="60"/>
      <w:outlineLvl w:val="0"/>
    </w:pPr>
    <w:rPr>
      <w:sz w:val="32"/>
    </w:rPr>
  </w:style>
  <w:style w:type="paragraph" w:styleId="Heading2">
    <w:name w:val="heading 2"/>
    <w:basedOn w:val="HeadingBase"/>
    <w:next w:val="BodyText"/>
    <w:link w:val="Heading2Char"/>
    <w:qFormat/>
    <w:rsid w:val="00F1046A"/>
    <w:pPr>
      <w:keepLines/>
      <w:spacing w:before="240" w:after="120"/>
      <w:outlineLvl w:val="1"/>
    </w:pPr>
    <w:rPr>
      <w:sz w:val="28"/>
      <w:szCs w:val="40"/>
    </w:rPr>
  </w:style>
  <w:style w:type="paragraph" w:styleId="Heading3">
    <w:name w:val="heading 3"/>
    <w:basedOn w:val="HeadingBase"/>
    <w:next w:val="BodyText"/>
    <w:link w:val="Heading3Char"/>
    <w:qFormat/>
    <w:rsid w:val="00F1046A"/>
    <w:pPr>
      <w:spacing w:before="180" w:after="120"/>
      <w:outlineLvl w:val="2"/>
    </w:pPr>
    <w:rPr>
      <w:spacing w:val="-10"/>
      <w:kern w:val="32"/>
    </w:rPr>
  </w:style>
  <w:style w:type="paragraph" w:styleId="Heading4">
    <w:name w:val="heading 4"/>
    <w:basedOn w:val="HeadingBase"/>
    <w:next w:val="BodyText"/>
    <w:link w:val="Heading4Char"/>
    <w:qFormat/>
    <w:rsid w:val="00F1046A"/>
    <w:pPr>
      <w:spacing w:before="160" w:after="120"/>
      <w:outlineLvl w:val="3"/>
    </w:pPr>
    <w:rPr>
      <w:sz w:val="22"/>
    </w:rPr>
  </w:style>
  <w:style w:type="paragraph" w:styleId="Heading5">
    <w:name w:val="heading 5"/>
    <w:basedOn w:val="HeadingBase"/>
    <w:next w:val="Normal"/>
    <w:link w:val="Heading5Char"/>
    <w:qFormat/>
    <w:rsid w:val="00F1046A"/>
    <w:pPr>
      <w:spacing w:before="80"/>
      <w:outlineLvl w:val="4"/>
    </w:pPr>
    <w:rPr>
      <w:color w:val="918585"/>
      <w:sz w:val="20"/>
    </w:rPr>
  </w:style>
  <w:style w:type="paragraph" w:styleId="Heading6">
    <w:name w:val="heading 6"/>
    <w:basedOn w:val="HeadingBase"/>
    <w:next w:val="Normal"/>
    <w:link w:val="Heading6Char"/>
    <w:qFormat/>
    <w:rsid w:val="00F1046A"/>
    <w:pPr>
      <w:spacing w:before="60"/>
      <w:outlineLvl w:val="5"/>
    </w:pPr>
    <w:rPr>
      <w:color w:val="918585"/>
      <w:sz w:val="20"/>
    </w:rPr>
  </w:style>
  <w:style w:type="paragraph" w:styleId="Heading7">
    <w:name w:val="heading 7"/>
    <w:basedOn w:val="Normal"/>
    <w:next w:val="Normal"/>
    <w:link w:val="Heading7Char"/>
    <w:qFormat/>
    <w:rsid w:val="00F1046A"/>
    <w:pPr>
      <w:ind w:left="720"/>
      <w:outlineLvl w:val="6"/>
    </w:pPr>
    <w:rPr>
      <w:i/>
    </w:rPr>
  </w:style>
  <w:style w:type="paragraph" w:styleId="Heading8">
    <w:name w:val="heading 8"/>
    <w:basedOn w:val="Normal"/>
    <w:next w:val="Normal"/>
    <w:link w:val="Heading8Char"/>
    <w:qFormat/>
    <w:rsid w:val="00F1046A"/>
    <w:pPr>
      <w:ind w:left="720"/>
      <w:outlineLvl w:val="7"/>
    </w:pPr>
    <w:rPr>
      <w:i/>
    </w:rPr>
  </w:style>
  <w:style w:type="paragraph" w:styleId="Heading9">
    <w:name w:val="heading 9"/>
    <w:basedOn w:val="Normal"/>
    <w:next w:val="Normal"/>
    <w:link w:val="Heading9Char"/>
    <w:qFormat/>
    <w:rsid w:val="00F1046A"/>
    <w:pPr>
      <w:ind w:left="720"/>
      <w:outlineLvl w:val="8"/>
    </w:pPr>
    <w:rPr>
      <w:i/>
    </w:rPr>
  </w:style>
  <w:style w:type="character" w:default="1" w:styleId="DefaultParagraphFont">
    <w:name w:val="Default Paragraph Font"/>
    <w:uiPriority w:val="1"/>
    <w:unhideWhenUsed/>
    <w:rsid w:val="00F10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46A"/>
  </w:style>
  <w:style w:type="character" w:customStyle="1" w:styleId="Heading1Char">
    <w:name w:val="Heading 1 Char"/>
    <w:basedOn w:val="DefaultParagraphFont"/>
    <w:link w:val="Heading1"/>
    <w:rsid w:val="00F1046A"/>
    <w:rPr>
      <w:rFonts w:ascii="Times New Roman" w:eastAsia="Times New Roman" w:hAnsi="Times New Roman" w:cs="Times New Roman"/>
      <w:b/>
      <w:sz w:val="32"/>
      <w:szCs w:val="20"/>
      <w:lang w:eastAsia="en-US"/>
    </w:rPr>
  </w:style>
  <w:style w:type="paragraph" w:styleId="BodyText">
    <w:name w:val="Body Text"/>
    <w:basedOn w:val="Normal"/>
    <w:link w:val="BodyTextChar"/>
    <w:rsid w:val="00F104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46A"/>
    <w:rPr>
      <w:rFonts w:ascii="Times New Roman" w:eastAsia="Times New Roman" w:hAnsi="Times New Roman" w:cs="Times New Roman"/>
      <w:sz w:val="24"/>
      <w:lang w:val="en-US" w:eastAsia="en-US"/>
    </w:rPr>
  </w:style>
  <w:style w:type="paragraph" w:styleId="Footer">
    <w:name w:val="footer"/>
    <w:basedOn w:val="Normal"/>
    <w:link w:val="FooterChar"/>
    <w:rsid w:val="00F10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46A"/>
    <w:rPr>
      <w:rFonts w:ascii="Times New Roman" w:eastAsia="Times New Roman" w:hAnsi="Times New Roman" w:cs="Times New Roman"/>
      <w:sz w:val="16"/>
      <w:lang w:val="en-US" w:eastAsia="en-US"/>
    </w:rPr>
  </w:style>
  <w:style w:type="paragraph" w:styleId="ListBullet">
    <w:name w:val="List Bullet"/>
    <w:basedOn w:val="List"/>
    <w:rsid w:val="00F1046A"/>
    <w:pPr>
      <w:numPr>
        <w:numId w:val="14"/>
      </w:numPr>
      <w:tabs>
        <w:tab w:val="clear" w:pos="340"/>
      </w:tabs>
      <w:spacing w:before="40" w:after="40"/>
    </w:pPr>
  </w:style>
  <w:style w:type="character" w:customStyle="1" w:styleId="SpecialBold">
    <w:name w:val="Special Bold"/>
    <w:basedOn w:val="DefaultParagraphFont"/>
    <w:rsid w:val="00F1046A"/>
    <w:rPr>
      <w:b/>
      <w:spacing w:val="0"/>
    </w:rPr>
  </w:style>
  <w:style w:type="paragraph" w:styleId="ListBullet2">
    <w:name w:val="List Bullet 2"/>
    <w:basedOn w:val="List2"/>
    <w:rsid w:val="00F1046A"/>
    <w:pPr>
      <w:numPr>
        <w:numId w:val="15"/>
      </w:numPr>
      <w:tabs>
        <w:tab w:val="clear" w:pos="680"/>
      </w:tabs>
    </w:pPr>
  </w:style>
  <w:style w:type="paragraph" w:styleId="Header">
    <w:name w:val="header"/>
    <w:basedOn w:val="Normal"/>
    <w:link w:val="HeaderChar"/>
    <w:rsid w:val="00F10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4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046A"/>
    <w:pPr>
      <w:spacing w:before="240" w:after="120"/>
      <w:outlineLvl w:val="0"/>
    </w:pPr>
    <w:rPr>
      <w:rFonts w:ascii="Times New Roman" w:hAnsi="Times New Roman"/>
      <w:b/>
      <w:sz w:val="28"/>
    </w:rPr>
  </w:style>
  <w:style w:type="paragraph" w:customStyle="1" w:styleId="AllowPageBreak">
    <w:name w:val="AllowPageBreak"/>
    <w:rsid w:val="00F104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046A"/>
    <w:pPr>
      <w:numPr>
        <w:numId w:val="3"/>
      </w:numPr>
      <w:tabs>
        <w:tab w:val="clear" w:pos="1021"/>
      </w:tabs>
      <w:ind w:left="1037" w:hanging="357"/>
    </w:pPr>
  </w:style>
  <w:style w:type="character" w:customStyle="1" w:styleId="Heading2Char">
    <w:name w:val="Heading 2 Char"/>
    <w:basedOn w:val="DefaultParagraphFont"/>
    <w:link w:val="Heading2"/>
    <w:rsid w:val="00F10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4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04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046A"/>
    <w:rPr>
      <w:rFonts w:ascii="Courier New" w:eastAsia="Times New Roman" w:hAnsi="Courier New" w:cs="Times New Roman"/>
      <w:i/>
      <w:szCs w:val="20"/>
      <w:lang w:val="en-US" w:eastAsia="en-US"/>
    </w:rPr>
  </w:style>
  <w:style w:type="paragraph" w:customStyle="1" w:styleId="HeadingBase">
    <w:name w:val="Heading Base"/>
    <w:rsid w:val="00F10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46A"/>
    <w:pPr>
      <w:tabs>
        <w:tab w:val="right" w:leader="dot" w:pos="9072"/>
      </w:tabs>
      <w:ind w:left="567"/>
    </w:pPr>
    <w:rPr>
      <w:szCs w:val="22"/>
    </w:rPr>
  </w:style>
  <w:style w:type="paragraph" w:customStyle="1" w:styleId="TOCBase">
    <w:name w:val="TOC Base"/>
    <w:rsid w:val="00F10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46A"/>
    <w:pPr>
      <w:tabs>
        <w:tab w:val="right" w:leader="dot" w:pos="9072"/>
      </w:tabs>
      <w:spacing w:before="40" w:after="40"/>
      <w:ind w:left="284"/>
    </w:pPr>
    <w:rPr>
      <w:rFonts w:ascii="Times New Roman" w:hAnsi="Times New Roman"/>
    </w:rPr>
  </w:style>
  <w:style w:type="paragraph" w:styleId="TOC1">
    <w:name w:val="toc 1"/>
    <w:basedOn w:val="TOCBase"/>
    <w:next w:val="Normal"/>
    <w:rsid w:val="00F104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46A"/>
    <w:pPr>
      <w:spacing w:before="5040"/>
      <w:jc w:val="center"/>
    </w:pPr>
    <w:rPr>
      <w:sz w:val="48"/>
      <w:szCs w:val="72"/>
      <w:lang w:val="en-US"/>
    </w:rPr>
  </w:style>
  <w:style w:type="character" w:customStyle="1" w:styleId="TitleChar">
    <w:name w:val="Title Char"/>
    <w:basedOn w:val="DefaultParagraphFont"/>
    <w:link w:val="Title"/>
    <w:rsid w:val="00F10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46A"/>
    <w:pPr>
      <w:tabs>
        <w:tab w:val="left" w:pos="3600"/>
        <w:tab w:val="left" w:pos="3958"/>
      </w:tabs>
    </w:pPr>
  </w:style>
  <w:style w:type="paragraph" w:styleId="List">
    <w:name w:val="List"/>
    <w:basedOn w:val="BodyText"/>
    <w:next w:val="BodyText"/>
    <w:rsid w:val="00F1046A"/>
    <w:pPr>
      <w:tabs>
        <w:tab w:val="left" w:pos="340"/>
      </w:tabs>
      <w:spacing w:before="60" w:after="60"/>
      <w:ind w:left="340" w:hanging="340"/>
    </w:pPr>
  </w:style>
  <w:style w:type="paragraph" w:customStyle="1" w:styleId="Note">
    <w:name w:val="Note"/>
    <w:basedOn w:val="BodyText"/>
    <w:rsid w:val="00F10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46A"/>
    <w:pPr>
      <w:framePr w:wrap="auto" w:hAnchor="text" w:y="6049"/>
    </w:pPr>
    <w:rPr>
      <w:color w:val="000000"/>
      <w:sz w:val="40"/>
    </w:rPr>
  </w:style>
  <w:style w:type="paragraph" w:customStyle="1" w:styleId="TOCTitle">
    <w:name w:val="TOCTitle"/>
    <w:basedOn w:val="Heading1"/>
    <w:rsid w:val="00F1046A"/>
    <w:pPr>
      <w:spacing w:after="240"/>
      <w:jc w:val="center"/>
      <w:outlineLvl w:val="9"/>
    </w:pPr>
    <w:rPr>
      <w:caps/>
    </w:rPr>
  </w:style>
  <w:style w:type="paragraph" w:customStyle="1" w:styleId="Version">
    <w:name w:val="Version"/>
    <w:rsid w:val="00F10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46A"/>
    <w:pPr>
      <w:keepNext w:val="0"/>
      <w:tabs>
        <w:tab w:val="right" w:pos="4176"/>
      </w:tabs>
      <w:ind w:left="198" w:hanging="198"/>
    </w:pPr>
    <w:rPr>
      <w:rFonts w:ascii="Garamond" w:hAnsi="Garamond"/>
    </w:rPr>
  </w:style>
  <w:style w:type="paragraph" w:styleId="IndexHeading">
    <w:name w:val="index heading"/>
    <w:basedOn w:val="Normal"/>
    <w:next w:val="Index1"/>
    <w:semiHidden/>
    <w:rsid w:val="00F1046A"/>
    <w:pPr>
      <w:spacing w:before="120" w:after="120"/>
    </w:pPr>
    <w:rPr>
      <w:rFonts w:ascii="Arial" w:hAnsi="Arial"/>
      <w:b/>
      <w:color w:val="918585"/>
      <w:sz w:val="24"/>
    </w:rPr>
  </w:style>
  <w:style w:type="paragraph" w:customStyle="1" w:styleId="Chapter">
    <w:name w:val="Chapter"/>
    <w:basedOn w:val="Normal"/>
    <w:rsid w:val="00F1046A"/>
    <w:pPr>
      <w:spacing w:before="240"/>
    </w:pPr>
    <w:rPr>
      <w:rFonts w:ascii="Times New Roman" w:hAnsi="Times New Roman"/>
      <w:smallCaps/>
      <w:spacing w:val="80"/>
      <w:sz w:val="28"/>
    </w:rPr>
  </w:style>
  <w:style w:type="paragraph" w:customStyle="1" w:styleId="InChapter">
    <w:name w:val="InChapter"/>
    <w:basedOn w:val="Heading3"/>
    <w:rsid w:val="00F1046A"/>
    <w:pPr>
      <w:spacing w:after="240"/>
      <w:outlineLvl w:val="9"/>
    </w:pPr>
    <w:rPr>
      <w:noProof/>
    </w:rPr>
  </w:style>
  <w:style w:type="paragraph" w:styleId="Index2">
    <w:name w:val="index 2"/>
    <w:basedOn w:val="Normal"/>
    <w:next w:val="Normal"/>
    <w:semiHidden/>
    <w:rsid w:val="00F1046A"/>
    <w:pPr>
      <w:tabs>
        <w:tab w:val="right" w:pos="4176"/>
      </w:tabs>
      <w:ind w:left="568" w:hanging="284"/>
    </w:pPr>
    <w:rPr>
      <w:rFonts w:ascii="Garamond" w:hAnsi="Garamond"/>
    </w:rPr>
  </w:style>
  <w:style w:type="paragraph" w:customStyle="1" w:styleId="Byline">
    <w:name w:val="Byline"/>
    <w:rsid w:val="00F10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46A"/>
    <w:pPr>
      <w:tabs>
        <w:tab w:val="clear" w:pos="3600"/>
        <w:tab w:val="clear" w:pos="3958"/>
      </w:tabs>
      <w:jc w:val="right"/>
    </w:pPr>
  </w:style>
  <w:style w:type="character" w:styleId="Emphasis">
    <w:name w:val="Emphasis"/>
    <w:basedOn w:val="DefaultParagraphFont"/>
    <w:qFormat/>
    <w:rsid w:val="00F1046A"/>
    <w:rPr>
      <w:i/>
    </w:rPr>
  </w:style>
  <w:style w:type="paragraph" w:styleId="Caption">
    <w:name w:val="caption"/>
    <w:basedOn w:val="BodyText"/>
    <w:next w:val="Normal"/>
    <w:qFormat/>
    <w:rsid w:val="00F1046A"/>
    <w:pPr>
      <w:framePr w:w="2268" w:hSpace="181" w:vSpace="181" w:wrap="around" w:vAnchor="text" w:hAnchor="page" w:x="1135" w:y="285" w:anchorLock="1"/>
    </w:pPr>
    <w:rPr>
      <w:i/>
    </w:rPr>
  </w:style>
  <w:style w:type="paragraph" w:customStyle="1" w:styleId="MiniTOCTitle">
    <w:name w:val="MiniTOCTitle"/>
    <w:basedOn w:val="Heading4"/>
    <w:rsid w:val="00F1046A"/>
    <w:pPr>
      <w:spacing w:before="240"/>
      <w:outlineLvl w:val="9"/>
    </w:pPr>
    <w:rPr>
      <w:noProof/>
      <w:sz w:val="24"/>
    </w:rPr>
  </w:style>
  <w:style w:type="paragraph" w:customStyle="1" w:styleId="MiniTOCItem">
    <w:name w:val="MiniTOCItem"/>
    <w:basedOn w:val="ListBullet"/>
    <w:rsid w:val="00F1046A"/>
    <w:pPr>
      <w:numPr>
        <w:numId w:val="0"/>
      </w:numPr>
      <w:tabs>
        <w:tab w:val="right" w:leader="dot" w:pos="6521"/>
      </w:tabs>
      <w:spacing w:before="0" w:after="0"/>
    </w:pPr>
  </w:style>
  <w:style w:type="paragraph" w:customStyle="1" w:styleId="TOFTitle">
    <w:name w:val="TOFTitle"/>
    <w:basedOn w:val="TOCTitle"/>
    <w:rsid w:val="00F1046A"/>
  </w:style>
  <w:style w:type="paragraph" w:styleId="TableofFigures">
    <w:name w:val="table of figures"/>
    <w:basedOn w:val="Normal"/>
    <w:next w:val="Normal"/>
    <w:semiHidden/>
    <w:rsid w:val="00F1046A"/>
    <w:pPr>
      <w:tabs>
        <w:tab w:val="right" w:leader="dot" w:pos="9072"/>
      </w:tabs>
      <w:ind w:left="970" w:hanging="403"/>
    </w:pPr>
    <w:rPr>
      <w:rFonts w:ascii="Times New Roman" w:hAnsi="Times New Roman"/>
      <w:b/>
    </w:rPr>
  </w:style>
  <w:style w:type="paragraph" w:styleId="ListNumber">
    <w:name w:val="List Number"/>
    <w:basedOn w:val="List"/>
    <w:rsid w:val="00F1046A"/>
    <w:pPr>
      <w:numPr>
        <w:numId w:val="12"/>
      </w:numPr>
    </w:pPr>
  </w:style>
  <w:style w:type="character" w:customStyle="1" w:styleId="WingdingSymbols">
    <w:name w:val="Wingding Symbols"/>
    <w:rsid w:val="00F1046A"/>
    <w:rPr>
      <w:rFonts w:ascii="Wingdings" w:hAnsi="Wingdings"/>
    </w:rPr>
  </w:style>
  <w:style w:type="paragraph" w:customStyle="1" w:styleId="TableHeading">
    <w:name w:val="Table Heading"/>
    <w:basedOn w:val="HeadingBase"/>
    <w:rsid w:val="00F1046A"/>
    <w:pPr>
      <w:keepLines/>
      <w:pBdr>
        <w:bottom w:val="single" w:sz="6" w:space="1" w:color="918585"/>
      </w:pBdr>
      <w:spacing w:before="240"/>
    </w:pPr>
  </w:style>
  <w:style w:type="character" w:customStyle="1" w:styleId="HotSpot">
    <w:name w:val="HotSpot"/>
    <w:rsid w:val="00F1046A"/>
    <w:rPr>
      <w:color w:val="0033CC"/>
      <w:u w:val="none"/>
    </w:rPr>
  </w:style>
  <w:style w:type="paragraph" w:customStyle="1" w:styleId="BodyTextRight">
    <w:name w:val="Body Text Right"/>
    <w:basedOn w:val="BodyText"/>
    <w:rsid w:val="00F1046A"/>
    <w:pPr>
      <w:spacing w:before="0" w:after="0"/>
      <w:jc w:val="right"/>
    </w:pPr>
  </w:style>
  <w:style w:type="paragraph" w:styleId="Index3">
    <w:name w:val="index 3"/>
    <w:basedOn w:val="ListNumber2"/>
    <w:next w:val="Normal"/>
    <w:semiHidden/>
    <w:rsid w:val="00F1046A"/>
    <w:pPr>
      <w:numPr>
        <w:numId w:val="0"/>
      </w:numPr>
      <w:tabs>
        <w:tab w:val="right" w:leader="dot" w:pos="4176"/>
      </w:tabs>
    </w:pPr>
  </w:style>
  <w:style w:type="paragraph" w:styleId="ListNumber2">
    <w:name w:val="List Number 2"/>
    <w:basedOn w:val="List2"/>
    <w:rsid w:val="00F1046A"/>
    <w:pPr>
      <w:numPr>
        <w:numId w:val="11"/>
      </w:numPr>
      <w:tabs>
        <w:tab w:val="clear" w:pos="1060"/>
      </w:tabs>
    </w:pPr>
  </w:style>
  <w:style w:type="paragraph" w:customStyle="1" w:styleId="MarginNote">
    <w:name w:val="Margin Note"/>
    <w:basedOn w:val="BodyText"/>
    <w:rsid w:val="00F10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4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046A"/>
    <w:rPr>
      <w:sz w:val="32"/>
    </w:rPr>
  </w:style>
  <w:style w:type="paragraph" w:customStyle="1" w:styleId="HeadingProcedure">
    <w:name w:val="Heading Procedure"/>
    <w:basedOn w:val="HeadingBase"/>
    <w:next w:val="Normal"/>
    <w:rsid w:val="00F1046A"/>
    <w:pPr>
      <w:tabs>
        <w:tab w:val="left" w:pos="0"/>
      </w:tabs>
      <w:spacing w:before="120" w:after="60"/>
    </w:pPr>
    <w:rPr>
      <w:i/>
      <w:color w:val="918585"/>
      <w:sz w:val="22"/>
    </w:rPr>
  </w:style>
  <w:style w:type="paragraph" w:customStyle="1" w:styleId="TableBodyText">
    <w:name w:val="Table Body Text"/>
    <w:basedOn w:val="BodyText"/>
    <w:rsid w:val="00F1046A"/>
    <w:pPr>
      <w:spacing w:before="60" w:after="60"/>
    </w:pPr>
  </w:style>
  <w:style w:type="paragraph" w:styleId="ListContinue">
    <w:name w:val="List Continue"/>
    <w:basedOn w:val="List"/>
    <w:rsid w:val="00F1046A"/>
    <w:pPr>
      <w:ind w:firstLine="0"/>
    </w:pPr>
  </w:style>
  <w:style w:type="paragraph" w:customStyle="1" w:styleId="ListNote">
    <w:name w:val="List Note"/>
    <w:basedOn w:val="List"/>
    <w:rsid w:val="00F1046A"/>
    <w:pPr>
      <w:pBdr>
        <w:top w:val="single" w:sz="6" w:space="2" w:color="918585"/>
        <w:bottom w:val="single" w:sz="6" w:space="2" w:color="918585"/>
      </w:pBdr>
      <w:tabs>
        <w:tab w:val="left" w:pos="1021"/>
      </w:tabs>
      <w:ind w:firstLine="0"/>
    </w:pPr>
  </w:style>
  <w:style w:type="paragraph" w:customStyle="1" w:styleId="Warning">
    <w:name w:val="Warning"/>
    <w:basedOn w:val="BodyText"/>
    <w:rsid w:val="00F1046A"/>
    <w:pPr>
      <w:shd w:val="clear" w:color="auto" w:fill="D9D9D9"/>
      <w:tabs>
        <w:tab w:val="left" w:pos="992"/>
      </w:tabs>
      <w:ind w:left="119" w:right="119"/>
    </w:pPr>
    <w:rPr>
      <w:sz w:val="20"/>
    </w:rPr>
  </w:style>
  <w:style w:type="paragraph" w:customStyle="1" w:styleId="MarginIcons">
    <w:name w:val="Margin Icons"/>
    <w:basedOn w:val="BodyText"/>
    <w:rsid w:val="00F10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46A"/>
    <w:rPr>
      <w:rFonts w:ascii="Courier New" w:hAnsi="Courier New"/>
    </w:rPr>
  </w:style>
  <w:style w:type="paragraph" w:customStyle="1" w:styleId="NoteBullet">
    <w:name w:val="Note Bullet"/>
    <w:basedOn w:val="Note"/>
    <w:rsid w:val="00F1046A"/>
    <w:pPr>
      <w:tabs>
        <w:tab w:val="clear" w:pos="680"/>
      </w:tabs>
      <w:spacing w:before="60" w:after="60"/>
    </w:pPr>
  </w:style>
  <w:style w:type="paragraph" w:customStyle="1" w:styleId="SubHeading2">
    <w:name w:val="SubHeading2"/>
    <w:basedOn w:val="HeadingBase"/>
    <w:rsid w:val="00F1046A"/>
    <w:pPr>
      <w:spacing w:before="240" w:after="60"/>
    </w:pPr>
    <w:rPr>
      <w:sz w:val="20"/>
    </w:rPr>
  </w:style>
  <w:style w:type="paragraph" w:customStyle="1" w:styleId="SubHeading1">
    <w:name w:val="SubHeading1"/>
    <w:basedOn w:val="HeadingBase"/>
    <w:rsid w:val="00F1046A"/>
    <w:pPr>
      <w:spacing w:before="240" w:after="60"/>
    </w:pPr>
    <w:rPr>
      <w:color w:val="918585"/>
      <w:sz w:val="22"/>
    </w:rPr>
  </w:style>
  <w:style w:type="paragraph" w:customStyle="1" w:styleId="SideHeading">
    <w:name w:val="Side Heading"/>
    <w:basedOn w:val="HeadingBase"/>
    <w:rsid w:val="00F10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46A"/>
    <w:pPr>
      <w:numPr>
        <w:numId w:val="13"/>
      </w:numPr>
    </w:pPr>
  </w:style>
  <w:style w:type="paragraph" w:styleId="PlainText">
    <w:name w:val="Plain Text"/>
    <w:basedOn w:val="Normal"/>
    <w:link w:val="PlainTextChar"/>
    <w:rsid w:val="00F1046A"/>
    <w:rPr>
      <w:sz w:val="20"/>
    </w:rPr>
  </w:style>
  <w:style w:type="character" w:customStyle="1" w:styleId="PlainTextChar">
    <w:name w:val="Plain Text Char"/>
    <w:basedOn w:val="DefaultParagraphFont"/>
    <w:link w:val="PlainText"/>
    <w:rsid w:val="00F104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046A"/>
    <w:rPr>
      <w:b/>
      <w:smallCaps/>
    </w:rPr>
  </w:style>
  <w:style w:type="paragraph" w:customStyle="1" w:styleId="TableListNumber">
    <w:name w:val="Table List Number"/>
    <w:basedOn w:val="ListNumber"/>
    <w:rsid w:val="00F1046A"/>
    <w:pPr>
      <w:numPr>
        <w:numId w:val="0"/>
      </w:numPr>
    </w:pPr>
  </w:style>
  <w:style w:type="paragraph" w:styleId="TOC4">
    <w:name w:val="toc 4"/>
    <w:basedOn w:val="TOCBase"/>
    <w:next w:val="Normal"/>
    <w:semiHidden/>
    <w:rsid w:val="00F1046A"/>
    <w:pPr>
      <w:tabs>
        <w:tab w:val="right" w:leader="dot" w:pos="9071"/>
      </w:tabs>
      <w:ind w:left="1701"/>
    </w:pPr>
  </w:style>
  <w:style w:type="paragraph" w:customStyle="1" w:styleId="ListAlpha">
    <w:name w:val="List Alpha"/>
    <w:basedOn w:val="List"/>
    <w:rsid w:val="00F1046A"/>
    <w:pPr>
      <w:numPr>
        <w:numId w:val="10"/>
      </w:numPr>
    </w:pPr>
  </w:style>
  <w:style w:type="paragraph" w:customStyle="1" w:styleId="ListAlpha2">
    <w:name w:val="List Alpha 2"/>
    <w:basedOn w:val="List2"/>
    <w:rsid w:val="00F1046A"/>
    <w:pPr>
      <w:numPr>
        <w:numId w:val="9"/>
      </w:numPr>
    </w:pPr>
  </w:style>
  <w:style w:type="paragraph" w:styleId="List2">
    <w:name w:val="List 2"/>
    <w:basedOn w:val="BodyText"/>
    <w:rsid w:val="00F1046A"/>
    <w:pPr>
      <w:tabs>
        <w:tab w:val="left" w:pos="680"/>
      </w:tabs>
      <w:spacing w:before="60" w:after="60"/>
      <w:ind w:left="680" w:hanging="340"/>
    </w:pPr>
  </w:style>
  <w:style w:type="paragraph" w:styleId="List3">
    <w:name w:val="List 3"/>
    <w:basedOn w:val="BodyText"/>
    <w:rsid w:val="00F1046A"/>
    <w:pPr>
      <w:tabs>
        <w:tab w:val="left" w:pos="1021"/>
      </w:tabs>
      <w:spacing w:before="60" w:after="60"/>
      <w:ind w:left="1020" w:hanging="340"/>
    </w:pPr>
  </w:style>
  <w:style w:type="paragraph" w:styleId="List4">
    <w:name w:val="List 4"/>
    <w:basedOn w:val="BodyText"/>
    <w:rsid w:val="00F1046A"/>
    <w:pPr>
      <w:tabs>
        <w:tab w:val="left" w:pos="1361"/>
      </w:tabs>
      <w:spacing w:before="60" w:after="60"/>
      <w:ind w:left="1361" w:hanging="340"/>
    </w:pPr>
  </w:style>
  <w:style w:type="paragraph" w:styleId="List5">
    <w:name w:val="List 5"/>
    <w:basedOn w:val="BodyText"/>
    <w:rsid w:val="00F1046A"/>
    <w:pPr>
      <w:tabs>
        <w:tab w:val="left" w:pos="1701"/>
      </w:tabs>
      <w:spacing w:before="60" w:after="60"/>
      <w:ind w:left="1701" w:hanging="340"/>
    </w:pPr>
  </w:style>
  <w:style w:type="paragraph" w:styleId="ListBullet4">
    <w:name w:val="List Bullet 4"/>
    <w:basedOn w:val="List4"/>
    <w:rsid w:val="00F1046A"/>
    <w:pPr>
      <w:numPr>
        <w:numId w:val="4"/>
      </w:numPr>
    </w:pPr>
  </w:style>
  <w:style w:type="paragraph" w:styleId="ListBullet5">
    <w:name w:val="List Bullet 5"/>
    <w:basedOn w:val="List5"/>
    <w:rsid w:val="00F1046A"/>
    <w:pPr>
      <w:numPr>
        <w:numId w:val="5"/>
      </w:numPr>
    </w:pPr>
  </w:style>
  <w:style w:type="paragraph" w:styleId="ListContinue2">
    <w:name w:val="List Continue 2"/>
    <w:basedOn w:val="List2"/>
    <w:rsid w:val="00F1046A"/>
    <w:pPr>
      <w:ind w:firstLine="0"/>
    </w:pPr>
  </w:style>
  <w:style w:type="paragraph" w:styleId="ListContinue3">
    <w:name w:val="List Continue 3"/>
    <w:basedOn w:val="List3"/>
    <w:rsid w:val="00F1046A"/>
    <w:pPr>
      <w:ind w:left="1021" w:firstLine="0"/>
    </w:pPr>
  </w:style>
  <w:style w:type="paragraph" w:styleId="ListContinue4">
    <w:name w:val="List Continue 4"/>
    <w:basedOn w:val="List4"/>
    <w:rsid w:val="00F1046A"/>
    <w:pPr>
      <w:ind w:firstLine="0"/>
    </w:pPr>
  </w:style>
  <w:style w:type="paragraph" w:styleId="ListContinue5">
    <w:name w:val="List Continue 5"/>
    <w:basedOn w:val="List5"/>
    <w:rsid w:val="00F1046A"/>
    <w:pPr>
      <w:ind w:firstLine="0"/>
    </w:pPr>
  </w:style>
  <w:style w:type="paragraph" w:styleId="ListNumber3">
    <w:name w:val="List Number 3"/>
    <w:basedOn w:val="List3"/>
    <w:rsid w:val="00F1046A"/>
    <w:pPr>
      <w:numPr>
        <w:numId w:val="6"/>
      </w:numPr>
    </w:pPr>
  </w:style>
  <w:style w:type="paragraph" w:styleId="ListNumber4">
    <w:name w:val="List Number 4"/>
    <w:basedOn w:val="List4"/>
    <w:rsid w:val="00F1046A"/>
    <w:pPr>
      <w:numPr>
        <w:numId w:val="7"/>
      </w:numPr>
    </w:pPr>
  </w:style>
  <w:style w:type="paragraph" w:styleId="ListNumber5">
    <w:name w:val="List Number 5"/>
    <w:basedOn w:val="List5"/>
    <w:rsid w:val="00F1046A"/>
    <w:pPr>
      <w:numPr>
        <w:numId w:val="8"/>
      </w:numPr>
    </w:pPr>
  </w:style>
  <w:style w:type="paragraph" w:styleId="BlockText">
    <w:name w:val="Block Text"/>
    <w:basedOn w:val="Normal"/>
    <w:rsid w:val="00F1046A"/>
    <w:pPr>
      <w:spacing w:after="120"/>
      <w:ind w:left="1440" w:right="1440"/>
    </w:pPr>
  </w:style>
  <w:style w:type="character" w:customStyle="1" w:styleId="Subscript">
    <w:name w:val="Subscript"/>
    <w:basedOn w:val="DefaultParagraphFont"/>
    <w:rsid w:val="00F1046A"/>
    <w:rPr>
      <w:sz w:val="16"/>
      <w:vertAlign w:val="subscript"/>
    </w:rPr>
  </w:style>
  <w:style w:type="character" w:customStyle="1" w:styleId="Superscript">
    <w:name w:val="Superscript"/>
    <w:basedOn w:val="DefaultParagraphFont"/>
    <w:rsid w:val="00F1046A"/>
    <w:rPr>
      <w:sz w:val="16"/>
      <w:vertAlign w:val="superscript"/>
    </w:rPr>
  </w:style>
  <w:style w:type="character" w:customStyle="1" w:styleId="Symbols">
    <w:name w:val="Symbols"/>
    <w:basedOn w:val="DefaultParagraphFont"/>
    <w:rsid w:val="00F1046A"/>
    <w:rPr>
      <w:rFonts w:ascii="Symbol" w:hAnsi="Symbol"/>
    </w:rPr>
  </w:style>
  <w:style w:type="character" w:customStyle="1" w:styleId="MenuOptions">
    <w:name w:val="Menu Options"/>
    <w:basedOn w:val="DefaultParagraphFont"/>
    <w:rsid w:val="00F1046A"/>
    <w:rPr>
      <w:rFonts w:ascii="Arial Narrow" w:hAnsi="Arial Narrow"/>
      <w:smallCaps/>
    </w:rPr>
  </w:style>
  <w:style w:type="character" w:customStyle="1" w:styleId="Buttons">
    <w:name w:val="Buttons"/>
    <w:basedOn w:val="DefaultParagraphFont"/>
    <w:rsid w:val="00F1046A"/>
    <w:rPr>
      <w:b/>
    </w:rPr>
  </w:style>
  <w:style w:type="character" w:customStyle="1" w:styleId="Underlined">
    <w:name w:val="Underlined"/>
    <w:basedOn w:val="DefaultParagraphFont"/>
    <w:rsid w:val="00F1046A"/>
    <w:rPr>
      <w:u w:val="single"/>
    </w:rPr>
  </w:style>
  <w:style w:type="paragraph" w:customStyle="1" w:styleId="TableBodyTextRight">
    <w:name w:val="Table Body Text Right"/>
    <w:basedOn w:val="TableBodyText"/>
    <w:rsid w:val="00F1046A"/>
    <w:pPr>
      <w:widowControl w:val="0"/>
      <w:autoSpaceDE w:val="0"/>
      <w:autoSpaceDN w:val="0"/>
      <w:adjustRightInd w:val="0"/>
      <w:jc w:val="right"/>
    </w:pPr>
    <w:rPr>
      <w:rFonts w:cs="Arial"/>
      <w:szCs w:val="18"/>
    </w:rPr>
  </w:style>
  <w:style w:type="paragraph" w:customStyle="1" w:styleId="CopyrightText">
    <w:name w:val="Copyright Text"/>
    <w:basedOn w:val="BodyText"/>
    <w:rsid w:val="00F1046A"/>
    <w:rPr>
      <w:sz w:val="18"/>
    </w:rPr>
  </w:style>
  <w:style w:type="paragraph" w:customStyle="1" w:styleId="BodySmallRight">
    <w:name w:val="Body Small Right"/>
    <w:basedOn w:val="BodyTextRight"/>
    <w:rsid w:val="00F1046A"/>
    <w:rPr>
      <w:sz w:val="18"/>
      <w:szCs w:val="18"/>
    </w:rPr>
  </w:style>
  <w:style w:type="paragraph" w:customStyle="1" w:styleId="MarginEdition">
    <w:name w:val="Margin Edition"/>
    <w:basedOn w:val="MarginNote"/>
    <w:rsid w:val="00F1046A"/>
    <w:pPr>
      <w:spacing w:before="0" w:after="0"/>
    </w:pPr>
    <w:rPr>
      <w:rFonts w:ascii="Times New Roman" w:hAnsi="Times New Roman"/>
      <w:color w:val="999999"/>
    </w:rPr>
  </w:style>
  <w:style w:type="paragraph" w:customStyle="1" w:styleId="Spacer">
    <w:name w:val="Spacer"/>
    <w:basedOn w:val="Normal"/>
    <w:rsid w:val="00F1046A"/>
    <w:rPr>
      <w:sz w:val="2"/>
      <w:szCs w:val="2"/>
    </w:rPr>
  </w:style>
  <w:style w:type="character" w:customStyle="1" w:styleId="Small">
    <w:name w:val="Small"/>
    <w:basedOn w:val="DefaultParagraphFont"/>
    <w:rsid w:val="00F1046A"/>
    <w:rPr>
      <w:sz w:val="16"/>
    </w:rPr>
  </w:style>
  <w:style w:type="paragraph" w:customStyle="1" w:styleId="WideTable">
    <w:name w:val="Wide Table"/>
    <w:basedOn w:val="Normal"/>
    <w:rsid w:val="00F1046A"/>
    <w:pPr>
      <w:ind w:left="-1418"/>
    </w:pPr>
    <w:rPr>
      <w:sz w:val="2"/>
      <w:szCs w:val="2"/>
    </w:rPr>
  </w:style>
  <w:style w:type="character" w:styleId="PageNumber">
    <w:name w:val="page number"/>
    <w:basedOn w:val="DefaultParagraphFont"/>
    <w:rsid w:val="00F1046A"/>
  </w:style>
  <w:style w:type="paragraph" w:styleId="Quote">
    <w:name w:val="Quote"/>
    <w:basedOn w:val="Heading1"/>
    <w:link w:val="QuoteChar"/>
    <w:qFormat/>
    <w:rsid w:val="00F1046A"/>
    <w:rPr>
      <w:b w:val="0"/>
      <w:sz w:val="72"/>
      <w:szCs w:val="72"/>
      <w:lang w:val="en-NZ"/>
    </w:rPr>
  </w:style>
  <w:style w:type="character" w:customStyle="1" w:styleId="QuoteChar">
    <w:name w:val="Quote Char"/>
    <w:basedOn w:val="DefaultParagraphFont"/>
    <w:link w:val="Quote"/>
    <w:rsid w:val="00F10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46A"/>
    <w:pPr>
      <w:pageBreakBefore/>
    </w:pPr>
  </w:style>
  <w:style w:type="paragraph" w:customStyle="1" w:styleId="Border">
    <w:name w:val="Border"/>
    <w:basedOn w:val="Normal"/>
    <w:qFormat/>
    <w:rsid w:val="00F10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46A"/>
    <w:rPr>
      <w:b/>
      <w:bCs/>
      <w:i/>
      <w:iCs/>
      <w:color w:val="auto"/>
    </w:rPr>
  </w:style>
  <w:style w:type="paragraph" w:styleId="IntenseQuote">
    <w:name w:val="Intense Quote"/>
    <w:basedOn w:val="Normal"/>
    <w:next w:val="Normal"/>
    <w:link w:val="IntenseQuoteChar"/>
    <w:uiPriority w:val="30"/>
    <w:qFormat/>
    <w:rsid w:val="00F10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4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046A"/>
    <w:rPr>
      <w:smallCaps/>
      <w:color w:val="auto"/>
      <w:u w:val="single"/>
    </w:rPr>
  </w:style>
  <w:style w:type="character" w:styleId="IntenseReference">
    <w:name w:val="Intense Reference"/>
    <w:basedOn w:val="DefaultParagraphFont"/>
    <w:uiPriority w:val="32"/>
    <w:qFormat/>
    <w:rsid w:val="00F1046A"/>
    <w:rPr>
      <w:b/>
      <w:bCs/>
      <w:smallCaps/>
      <w:color w:val="auto"/>
      <w:spacing w:val="5"/>
      <w:u w:val="single"/>
    </w:rPr>
  </w:style>
  <w:style w:type="paragraph" w:customStyle="1" w:styleId="2ColumnHeading">
    <w:name w:val="2Column Heading"/>
    <w:basedOn w:val="BodyText"/>
    <w:qFormat/>
    <w:rsid w:val="00F1046A"/>
    <w:pPr>
      <w:spacing w:after="60"/>
      <w:ind w:left="-2268"/>
    </w:pPr>
    <w:rPr>
      <w:b/>
    </w:rPr>
  </w:style>
  <w:style w:type="paragraph" w:customStyle="1" w:styleId="Heading1TOC">
    <w:name w:val="Heading1 TOC"/>
    <w:basedOn w:val="Normal"/>
    <w:qFormat/>
    <w:rsid w:val="00F1046A"/>
    <w:pPr>
      <w:spacing w:before="240" w:after="120"/>
    </w:pPr>
    <w:rPr>
      <w:rFonts w:ascii="Times New Roman" w:hAnsi="Times New Roman"/>
      <w:b/>
      <w:sz w:val="32"/>
    </w:rPr>
  </w:style>
  <w:style w:type="paragraph" w:customStyle="1" w:styleId="Heading2TOC">
    <w:name w:val="Heading2 TOC"/>
    <w:basedOn w:val="Normal"/>
    <w:qFormat/>
    <w:rsid w:val="00F1046A"/>
    <w:pPr>
      <w:spacing w:before="240" w:after="60"/>
    </w:pPr>
    <w:rPr>
      <w:rFonts w:ascii="Times New Roman" w:hAnsi="Times New Roman"/>
      <w:b/>
      <w:sz w:val="28"/>
    </w:rPr>
  </w:style>
  <w:style w:type="character" w:customStyle="1" w:styleId="Underline">
    <w:name w:val="Underline"/>
    <w:basedOn w:val="DefaultParagraphFont"/>
    <w:qFormat/>
    <w:rsid w:val="00F1046A"/>
    <w:rPr>
      <w:u w:val="single"/>
    </w:rPr>
  </w:style>
  <w:style w:type="character" w:customStyle="1" w:styleId="BoldandItalics">
    <w:name w:val="Bold and Italics"/>
    <w:qFormat/>
    <w:rsid w:val="00F1046A"/>
    <w:rPr>
      <w:b/>
      <w:i/>
      <w:u w:val="none"/>
    </w:rPr>
  </w:style>
  <w:style w:type="paragraph" w:styleId="BalloonText">
    <w:name w:val="Balloon Text"/>
    <w:basedOn w:val="Normal"/>
    <w:link w:val="BalloonTextChar"/>
    <w:rsid w:val="00F1046A"/>
    <w:rPr>
      <w:rFonts w:ascii="Tahoma" w:hAnsi="Tahoma" w:cs="Tahoma"/>
      <w:sz w:val="16"/>
      <w:szCs w:val="16"/>
    </w:rPr>
  </w:style>
  <w:style w:type="character" w:customStyle="1" w:styleId="BalloonTextChar">
    <w:name w:val="Balloon Text Char"/>
    <w:basedOn w:val="DefaultParagraphFont"/>
    <w:link w:val="BalloonText"/>
    <w:rsid w:val="00F104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04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4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2840</Words>
  <Characters>17895</Characters>
  <Application>Microsoft Office Word</Application>
  <DocSecurity>0</DocSecurity>
  <Lines>703</Lines>
  <Paragraphs>293</Paragraphs>
  <ScaleCrop>false</ScaleCrop>
  <Company>Author-it Software Corporation Ltd.</Company>
  <LinksUpToDate>false</LinksUpToDate>
  <CharactersWithSpaces>20533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UETTDRRT21A Install traction overhead wiring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