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8A3" w:rsidP="00C378A3">
      <w:pPr>
        <w:pStyle w:val="Title"/>
      </w:pPr>
      <w:r>
        <w:fldChar w:fldCharType="begin"/>
      </w:r>
      <w:r>
        <w:instrText xml:space="preserve"> TITLE   \* MERGEFORMAT </w:instrText>
      </w:r>
      <w:r>
        <w:fldChar w:fldCharType="separate"/>
      </w:r>
      <w:r>
        <w:t>UETTDRRF07B Perform cable pit/trench/excavation rescue</w:t>
      </w:r>
      <w:r>
        <w:fldChar w:fldCharType="end"/>
      </w:r>
    </w:p>
    <w:p w:rsidR="00C378A3" w:rsidP="00C378A3">
      <w:pPr>
        <w:pStyle w:val="Version"/>
        <w:sectPr w:rsidSect="002A25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253D" w:rsidP="002A253D">
      <w:pPr>
        <w:pStyle w:val="SuperHeading"/>
      </w:pPr>
      <w:r w:rsidRPr="002A253D">
        <w:t>UETTDRRF07B Perform cable pit/trench/excavation rescue</w:t>
      </w:r>
    </w:p>
    <w:p w:rsidR="00000000" w:rsidRPr="002A253D" w:rsidP="002A253D">
      <w:pPr>
        <w:pStyle w:val="Heading1"/>
      </w:pPr>
      <w:bookmarkStart w:id="1" w:name="O_632718"/>
      <w:bookmarkEnd w:id="1"/>
      <w:r w:rsidRPr="002A253D">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C378A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53D">
            <w:pPr>
              <w:pStyle w:val="BodyText"/>
              <w:rPr>
                <w:lang w:val="en-NZ"/>
              </w:rPr>
            </w:pPr>
            <w:r w:rsidRPr="002A253D">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53D">
            <w:pPr>
              <w:pStyle w:val="BodyText"/>
              <w:rPr>
                <w:lang w:val="en-NZ"/>
              </w:rPr>
            </w:pPr>
            <w:r w:rsidRPr="002A253D">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53D">
            <w:pPr>
              <w:pStyle w:val="BodyText"/>
              <w:rPr>
                <w:lang w:val="en-NZ"/>
              </w:rPr>
            </w:pPr>
            <w:r w:rsidRPr="002A253D">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53D">
            <w:pPr>
              <w:pStyle w:val="BodyText"/>
              <w:rPr>
                <w:lang w:val="en-NZ"/>
              </w:rPr>
            </w:pPr>
            <w:r w:rsidRPr="002A253D">
              <w:t>Points</w:t>
            </w:r>
          </w:p>
        </w:tc>
      </w:tr>
      <w:tr w:rsidTr="00C378A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253D">
            <w:pPr>
              <w:pStyle w:val="BodyText"/>
              <w:rPr>
                <w:lang w:val="en-NZ"/>
              </w:rPr>
            </w:pPr>
            <w:r w:rsidRPr="002A253D">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253D">
            <w:pPr>
              <w:pStyle w:val="BodyText"/>
              <w:rPr>
                <w:lang w:val="en-NZ"/>
              </w:rPr>
            </w:pPr>
            <w:r w:rsidRPr="002A253D">
              <w:t>Pre-requisite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253D">
            <w:pPr>
              <w:pStyle w:val="BodyText"/>
              <w:rPr>
                <w:lang w:val="en-NZ"/>
              </w:rPr>
            </w:pPr>
            <w:r w:rsidRPr="002A253D">
              <w:t>HLTAID001</w:t>
            </w:r>
            <w:r w:rsidRPr="002A253D">
              <w:tab/>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253D" w:rsidP="002A253D">
            <w:pPr>
              <w:pStyle w:val="BodyText"/>
            </w:pPr>
          </w:p>
        </w:tc>
      </w:tr>
    </w:tbl>
    <w:p w:rsidR="00C378A3" w:rsidP="002A253D">
      <w:pPr>
        <w:pStyle w:val="BodyText"/>
      </w:pPr>
    </w:p>
    <w:p w:rsidR="00C378A3" w:rsidP="002A253D">
      <w:pPr>
        <w:pStyle w:val="BodyText"/>
      </w:pPr>
    </w:p>
    <w:p w:rsidR="00000000" w:rsidRPr="002A253D" w:rsidP="002A253D">
      <w:pPr>
        <w:pStyle w:val="Heading1"/>
      </w:pPr>
      <w:bookmarkStart w:id="2" w:name="O_632717"/>
      <w:bookmarkEnd w:id="2"/>
      <w:r w:rsidRPr="002A253D">
        <w:t>Unit Descriptor</w:t>
      </w:r>
    </w:p>
    <w:tbl>
      <w:tblPr>
        <w:tblW w:w="0" w:type="auto"/>
        <w:tblLayout w:type="fixed"/>
        <w:tblCellMar>
          <w:left w:w="62" w:type="dxa"/>
          <w:right w:w="62" w:type="dxa"/>
        </w:tblCellMar>
        <w:tblLook w:val="0000"/>
      </w:tblPr>
      <w:tblGrid>
        <w:gridCol w:w="2700"/>
        <w:gridCol w:w="5760"/>
      </w:tblGrid>
      <w:tr w:rsidTr="00C378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rPr>
                <w:rStyle w:val="SpecialBold"/>
              </w:rPr>
              <w:t>1)</w:t>
            </w:r>
            <w:r w:rsidRPr="002A253D">
              <w:t xml:space="preserve"> </w:t>
            </w:r>
            <w:r w:rsidRPr="002A253D">
              <w:rPr>
                <w:rStyle w:val="SpecialBold"/>
              </w:rPr>
              <w:t>Scope:</w:t>
            </w:r>
          </w:p>
        </w:tc>
      </w:tr>
      <w:tr w:rsidTr="00C378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253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rPr>
                <w:rStyle w:val="SpecialBold"/>
              </w:rPr>
              <w:t>1.1) Descriptor</w:t>
            </w:r>
          </w:p>
        </w:tc>
      </w:tr>
      <w:tr w:rsidTr="00C378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t>This Competency Standard Unit covers the performance of cable pit/trench/excavation rescue procedures as they apply to live LV cable jointing in the work place.  It specifies the mandatory requirements of rescue from a cable pit/trench/excavation and how t</w:t>
            </w:r>
            <w:r w:rsidRPr="002A253D">
              <w:t>hey apply in the context of transmission, distribution or rail work functions. It encompasses responsibilities for health, safety and risk management processes at all operative levels and adherence to safety practices as part of the normal way of doing wor</w:t>
            </w:r>
            <w:r w:rsidRPr="002A253D">
              <w:t>k.</w:t>
            </w:r>
          </w:p>
        </w:tc>
      </w:tr>
    </w:tbl>
    <w:p w:rsidR="00000000" w:rsidRPr="002A253D" w:rsidP="002A253D">
      <w:pPr>
        <w:pStyle w:val="BodyText"/>
      </w:pPr>
    </w:p>
    <w:p w:rsidR="00000000" w:rsidRPr="002A253D" w:rsidP="002A253D">
      <w:pPr>
        <w:pStyle w:val="AllowPageBreak"/>
      </w:pPr>
    </w:p>
    <w:p w:rsidR="00000000" w:rsidRPr="002A253D" w:rsidP="002A253D">
      <w:pPr>
        <w:pStyle w:val="Heading1"/>
      </w:pPr>
      <w:bookmarkStart w:id="3" w:name="O_632716"/>
      <w:bookmarkEnd w:id="3"/>
      <w:r w:rsidRPr="002A253D">
        <w:t>Application of the Unit</w:t>
      </w:r>
    </w:p>
    <w:tbl>
      <w:tblPr>
        <w:tblW w:w="0" w:type="auto"/>
        <w:tblLayout w:type="fixed"/>
        <w:tblCellMar>
          <w:left w:w="62" w:type="dxa"/>
          <w:right w:w="62" w:type="dxa"/>
        </w:tblCellMar>
        <w:tblLook w:val="0000"/>
      </w:tblPr>
      <w:tblGrid>
        <w:gridCol w:w="2672"/>
        <w:gridCol w:w="5699"/>
      </w:tblGrid>
      <w:tr w:rsidTr="00C378A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rPr>
                <w:rStyle w:val="SpecialBold"/>
              </w:rPr>
              <w:t>2)</w:t>
            </w:r>
          </w:p>
        </w:tc>
      </w:tr>
      <w:tr w:rsidTr="00C378A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t xml:space="preserve">This competency standard unit shall be selected as part of an endorsed skill set for the purposes of refresher training and/or to meet regulatory and/or network requirements. </w:t>
            </w:r>
          </w:p>
          <w:p w:rsidR="00000000" w:rsidRPr="002A253D" w:rsidP="002A253D">
            <w:pPr>
              <w:pStyle w:val="BodyText"/>
            </w:pPr>
            <w:r w:rsidRPr="002A253D">
              <w:t>Delivery and assessment of this unit should be undertaken within regard to the requirements of License to Practice (1.2 above), Prerequisite Competencies and Literacy and Numeracy skills (2 above) and the  recommendations for concurrent assessment and rela</w:t>
            </w:r>
            <w:r w:rsidRPr="002A253D">
              <w:t>tionship with other units (9.5 below).</w:t>
            </w:r>
          </w:p>
          <w:p w:rsidR="00000000" w:rsidRPr="002A253D" w:rsidP="002A253D">
            <w:pPr>
              <w:pStyle w:val="BodyText"/>
            </w:pPr>
            <w:r w:rsidRPr="002A253D">
              <w:t>Practice in the workplace and during training is also subject to regulations directly related to occupational health and safety and where applicable contracts of training such as apprenticeships.</w:t>
            </w:r>
          </w:p>
          <w:p w:rsidR="00000000" w:rsidRPr="002A253D" w:rsidP="002A253D">
            <w:pPr>
              <w:pStyle w:val="BodyText"/>
            </w:pPr>
            <w:r w:rsidRPr="002A253D">
              <w:t xml:space="preserve">Note: </w:t>
            </w:r>
          </w:p>
          <w:p w:rsidR="00000000" w:rsidRPr="002A253D" w:rsidP="002A253D">
            <w:pPr>
              <w:pStyle w:val="BodyText"/>
            </w:pPr>
            <w:r w:rsidRPr="002A253D">
              <w:t xml:space="preserve">1. Compliance </w:t>
            </w:r>
            <w:r w:rsidRPr="002A253D">
              <w:t xml:space="preserve">with permits may be required in various jurisdictions and typically relates to the operation of plant, machinery and equipment such as elevating work platforms, powder operated fixing tools, power operated tools, vehicles, road signage and traffic control </w:t>
            </w:r>
            <w:r w:rsidRPr="002A253D">
              <w:t>and lifting equipment. Permits may also be required for some work environments such as confined spaces, working aloft, near live electrical apparatus and site rehabilitation.</w:t>
            </w:r>
          </w:p>
          <w:p w:rsidR="00000000" w:rsidRPr="002A253D" w:rsidP="002A253D">
            <w:pPr>
              <w:pStyle w:val="BodyText"/>
            </w:pPr>
            <w:r w:rsidRPr="002A253D">
              <w:t>2. Compliance may be required in various jurisdictions relating to currency in Fi</w:t>
            </w:r>
            <w:r w:rsidRPr="002A253D">
              <w:t>rst Aid, confined space, lifting, risk safety measures etc</w:t>
            </w:r>
          </w:p>
        </w:tc>
      </w:tr>
    </w:tbl>
    <w:p w:rsidR="00000000" w:rsidRPr="002A253D" w:rsidP="002A253D">
      <w:pPr>
        <w:pStyle w:val="BodyText"/>
      </w:pPr>
    </w:p>
    <w:p w:rsidR="00000000" w:rsidRPr="002A253D" w:rsidP="002A253D">
      <w:pPr>
        <w:pStyle w:val="AllowPageBreak"/>
      </w:pPr>
    </w:p>
    <w:p w:rsidR="00000000" w:rsidRPr="002A253D" w:rsidP="002A253D">
      <w:pPr>
        <w:pStyle w:val="Heading1"/>
      </w:pPr>
      <w:bookmarkStart w:id="4" w:name="O_632715"/>
      <w:bookmarkEnd w:id="4"/>
      <w:r w:rsidRPr="002A253D">
        <w:t>Licensing/Regulatory Information</w:t>
      </w:r>
    </w:p>
    <w:tbl>
      <w:tblPr>
        <w:tblW w:w="0" w:type="auto"/>
        <w:tblLayout w:type="fixed"/>
        <w:tblCellMar>
          <w:left w:w="62" w:type="dxa"/>
          <w:right w:w="62" w:type="dxa"/>
        </w:tblCellMar>
        <w:tblLook w:val="0000"/>
      </w:tblPr>
      <w:tblGrid>
        <w:gridCol w:w="2700"/>
        <w:gridCol w:w="5760"/>
      </w:tblGrid>
      <w:tr w:rsidTr="00C378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rPr>
                <w:rStyle w:val="SpecialBold"/>
              </w:rPr>
              <w:t xml:space="preserve">3) </w:t>
            </w:r>
          </w:p>
        </w:tc>
      </w:tr>
      <w:tr w:rsidTr="00C378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t>The skills and knowledge described in this unit may require a licence/registration to practice in the work place subject to regulations for undertaking of electrical work. Practice in workplace and during training is also subject to regulations directly re</w:t>
            </w:r>
            <w:r w:rsidRPr="002A253D">
              <w:t xml:space="preserve">lated to Occupational Health and Safety, electricity/telecommunications/gas/water industry safety and compliance, environmental protection, anti discrimination and training. Commonwealth, State/Territory or Local Government legislation and regulations may </w:t>
            </w:r>
            <w:r w:rsidRPr="002A253D">
              <w:t>exist that limits the age of operating certain equipment.</w:t>
            </w:r>
          </w:p>
          <w:p w:rsidR="00000000" w:rsidRPr="002A253D" w:rsidP="002A253D">
            <w:pPr>
              <w:pStyle w:val="BodyText"/>
            </w:pPr>
            <w:r w:rsidRPr="002A253D">
              <w:t>ESI employees are required to maintain currency in this Unit for authorisation/approval to work on ESI Networks.</w:t>
            </w:r>
          </w:p>
        </w:tc>
      </w:tr>
    </w:tbl>
    <w:p w:rsidR="00000000" w:rsidRPr="002A253D" w:rsidP="002A253D">
      <w:pPr>
        <w:pStyle w:val="BodyText"/>
      </w:pPr>
    </w:p>
    <w:p w:rsidR="00000000" w:rsidRPr="002A253D" w:rsidP="002A253D">
      <w:pPr>
        <w:pStyle w:val="AllowPageBreak"/>
      </w:pPr>
    </w:p>
    <w:p w:rsidR="00000000" w:rsidRPr="002A253D" w:rsidP="002A253D">
      <w:pPr>
        <w:pStyle w:val="Heading1"/>
      </w:pPr>
      <w:bookmarkStart w:id="5" w:name="O_632714"/>
      <w:bookmarkEnd w:id="5"/>
      <w:r w:rsidRPr="002A253D">
        <w:t>Pre-Requisites</w:t>
      </w:r>
    </w:p>
    <w:tbl>
      <w:tblPr>
        <w:tblW w:w="0" w:type="auto"/>
        <w:tblLayout w:type="fixed"/>
        <w:tblCellMar>
          <w:left w:w="62" w:type="dxa"/>
          <w:right w:w="62" w:type="dxa"/>
        </w:tblCellMar>
        <w:tblLook w:val="0000"/>
      </w:tblPr>
      <w:tblGrid>
        <w:gridCol w:w="2700"/>
        <w:gridCol w:w="1710"/>
        <w:gridCol w:w="4050"/>
      </w:tblGrid>
      <w:tr w:rsidTr="00C378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rPr>
                <w:rStyle w:val="SpecialBold"/>
              </w:rPr>
              <w:t xml:space="preserve">4) </w:t>
            </w:r>
          </w:p>
        </w:tc>
      </w:tr>
      <w:tr w:rsidTr="00C378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rPr>
                <w:rStyle w:val="SpecialBold"/>
              </w:rPr>
              <w:t>4.1)</w:t>
            </w:r>
          </w:p>
        </w:tc>
      </w:tr>
      <w:tr w:rsidTr="00C378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t>Granting of competency in this unit shall be made only after competency in the following unit(s) has/have been confirmed.</w:t>
            </w:r>
          </w:p>
          <w:p w:rsidR="00000000" w:rsidRPr="002A253D" w:rsidP="002A253D">
            <w:pPr>
              <w:pStyle w:val="BodyText"/>
            </w:pPr>
            <w:r w:rsidRPr="002A253D">
              <w:t>Where pre-requisite pathways have been identified. All competencies in the Common Unit Group must be have been completed.</w:t>
            </w:r>
          </w:p>
          <w:p w:rsidR="00000000" w:rsidP="002A253D">
            <w:pPr>
              <w:pStyle w:val="BodyText"/>
              <w:rPr>
                <w:lang w:val="en-NZ"/>
              </w:rPr>
            </w:pPr>
            <w:r w:rsidRPr="002A253D">
              <w:t xml:space="preserve">Common Unit </w:t>
            </w:r>
            <w:r w:rsidRPr="002A253D">
              <w:t>Group</w:t>
            </w:r>
          </w:p>
        </w:tc>
      </w:tr>
      <w:tr w:rsidTr="00C378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Unit Code</w:t>
            </w:r>
          </w:p>
        </w:tc>
        <w:tc>
          <w:tcPr>
            <w:tcW w:w="405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Unit Title</w:t>
            </w:r>
          </w:p>
        </w:tc>
      </w:tr>
      <w:tr w:rsidTr="00C378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vAlign w:val="center"/>
          </w:tcPr>
          <w:p w:rsidR="00000000" w:rsidP="002A253D">
            <w:pPr>
              <w:pStyle w:val="BodyText"/>
              <w:rPr>
                <w:lang w:val="en-NZ"/>
              </w:rPr>
            </w:pPr>
            <w:r w:rsidRPr="002A253D">
              <w:t>HLTAID001</w:t>
            </w:r>
            <w:r w:rsidRPr="002A253D">
              <w:tab/>
            </w:r>
          </w:p>
        </w:tc>
        <w:tc>
          <w:tcPr>
            <w:tcW w:w="4050" w:type="dxa"/>
            <w:tcBorders>
              <w:top w:val="nil"/>
              <w:left w:val="nil"/>
              <w:bottom w:val="nil"/>
              <w:right w:val="nil"/>
            </w:tcBorders>
            <w:tcMar>
              <w:top w:w="0" w:type="dxa"/>
              <w:left w:w="62" w:type="dxa"/>
              <w:bottom w:w="0" w:type="dxa"/>
              <w:right w:w="62" w:type="dxa"/>
            </w:tcMar>
            <w:vAlign w:val="center"/>
          </w:tcPr>
          <w:p w:rsidR="00000000" w:rsidRPr="002A253D" w:rsidP="002A253D">
            <w:pPr>
              <w:pStyle w:val="BodyText"/>
            </w:pPr>
            <w:r w:rsidRPr="002A253D">
              <w:t>Provide cardiopulmonary resuscitation</w:t>
            </w:r>
          </w:p>
        </w:tc>
      </w:tr>
    </w:tbl>
    <w:p w:rsidR="00000000" w:rsidRPr="002A253D" w:rsidP="002A253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378A3">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rPr>
                <w:rStyle w:val="SpecialBold"/>
              </w:rPr>
              <w:t xml:space="preserve">4.2) </w:t>
            </w:r>
          </w:p>
        </w:tc>
      </w:tr>
      <w:tr w:rsidTr="00C378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Participants are best equipped to achieve this unit if they have reading, writing and numeracy skills indicated by the following scales. Description of each scale is given in Volume 2, Part 3 “Literacy and Numeracy”</w:t>
            </w:r>
          </w:p>
        </w:tc>
      </w:tr>
      <w:tr w:rsidTr="00C378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Reading</w:t>
            </w:r>
          </w:p>
        </w:tc>
        <w:tc>
          <w:tcPr>
            <w:tcW w:w="81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3</w:t>
            </w:r>
          </w:p>
        </w:tc>
        <w:tc>
          <w:tcPr>
            <w:tcW w:w="99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Writing</w:t>
            </w:r>
          </w:p>
        </w:tc>
        <w:tc>
          <w:tcPr>
            <w:tcW w:w="90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3</w:t>
            </w:r>
          </w:p>
        </w:tc>
        <w:tc>
          <w:tcPr>
            <w:tcW w:w="126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Numeracy</w:t>
            </w:r>
          </w:p>
        </w:tc>
        <w:tc>
          <w:tcPr>
            <w:tcW w:w="72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t>3</w:t>
            </w:r>
          </w:p>
        </w:tc>
      </w:tr>
    </w:tbl>
    <w:p w:rsidR="00000000" w:rsidRPr="002A253D" w:rsidP="002A253D">
      <w:pPr>
        <w:pStyle w:val="BodyText"/>
      </w:pPr>
    </w:p>
    <w:p w:rsidR="00000000" w:rsidRPr="002A253D" w:rsidP="002A253D">
      <w:pPr>
        <w:pStyle w:val="AllowPageBreak"/>
      </w:pPr>
    </w:p>
    <w:p w:rsidR="00000000" w:rsidRPr="002A253D" w:rsidP="002A253D">
      <w:pPr>
        <w:pStyle w:val="Heading1"/>
      </w:pPr>
      <w:bookmarkStart w:id="6" w:name="O_632713"/>
      <w:bookmarkEnd w:id="6"/>
      <w:r w:rsidRPr="002A253D">
        <w:t>Employability Skills Information</w:t>
      </w:r>
    </w:p>
    <w:tbl>
      <w:tblPr>
        <w:tblW w:w="0" w:type="auto"/>
        <w:tblLayout w:type="fixed"/>
        <w:tblCellMar>
          <w:left w:w="62" w:type="dxa"/>
          <w:right w:w="62" w:type="dxa"/>
        </w:tblCellMar>
        <w:tblLook w:val="0000"/>
      </w:tblPr>
      <w:tblGrid>
        <w:gridCol w:w="2700"/>
        <w:gridCol w:w="5760"/>
      </w:tblGrid>
      <w:tr w:rsidTr="00C378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rPr>
                <w:rStyle w:val="SpecialBold"/>
              </w:rPr>
              <w:t xml:space="preserve">5) </w:t>
            </w:r>
          </w:p>
        </w:tc>
      </w:tr>
      <w:tr w:rsidTr="00C378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t>This unit contains employability skills.</w:t>
            </w:r>
          </w:p>
        </w:tc>
      </w:tr>
    </w:tbl>
    <w:p w:rsidR="00000000" w:rsidRPr="002A253D" w:rsidP="002A253D">
      <w:pPr>
        <w:pStyle w:val="BodyText"/>
      </w:pPr>
    </w:p>
    <w:p w:rsidR="00000000" w:rsidRPr="002A253D" w:rsidP="002A253D">
      <w:pPr>
        <w:pStyle w:val="AllowPageBreak"/>
      </w:pPr>
    </w:p>
    <w:p w:rsidR="00000000" w:rsidRPr="002A253D" w:rsidP="002A253D">
      <w:pPr>
        <w:pStyle w:val="Heading1"/>
      </w:pPr>
      <w:bookmarkStart w:id="7" w:name="O_632712"/>
      <w:bookmarkEnd w:id="7"/>
      <w:r w:rsidRPr="002A253D">
        <w:t>Elements and Performance Criteria Pre-Content</w:t>
      </w:r>
    </w:p>
    <w:tbl>
      <w:tblPr>
        <w:tblW w:w="0" w:type="auto"/>
        <w:tblLayout w:type="fixed"/>
        <w:tblCellMar>
          <w:left w:w="62" w:type="dxa"/>
          <w:right w:w="62" w:type="dxa"/>
        </w:tblCellMar>
        <w:tblLook w:val="0000"/>
      </w:tblPr>
      <w:tblGrid>
        <w:gridCol w:w="2700"/>
        <w:gridCol w:w="5760"/>
      </w:tblGrid>
      <w:tr w:rsidTr="00C378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rPr>
                <w:rStyle w:val="SpecialBold"/>
              </w:rPr>
              <w:t>6)</w:t>
            </w:r>
            <w:r w:rsidRPr="002A253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t>Performance Criteria describe the required performance needed to demonstrate achievement of the element. Assessment of performance is to be consistent with the Evidence Guide.</w:t>
            </w:r>
          </w:p>
        </w:tc>
      </w:tr>
    </w:tbl>
    <w:p w:rsidR="00000000" w:rsidRPr="002A253D" w:rsidP="002A253D">
      <w:pPr>
        <w:pStyle w:val="BodyText"/>
      </w:pPr>
    </w:p>
    <w:p w:rsidR="00000000" w:rsidRPr="002A253D" w:rsidP="002A253D">
      <w:pPr>
        <w:pStyle w:val="AllowPageBreak"/>
      </w:pPr>
    </w:p>
    <w:p w:rsidR="00000000" w:rsidRPr="002A253D" w:rsidP="002A253D">
      <w:pPr>
        <w:pStyle w:val="Heading1"/>
      </w:pPr>
      <w:bookmarkStart w:id="8" w:name="O_632711"/>
      <w:bookmarkEnd w:id="8"/>
      <w:r w:rsidRPr="002A253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378A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rPr>
                <w:rStyle w:val="SpecialBold"/>
              </w:rPr>
              <w:t>PERFORMANCE CRITE</w:t>
            </w:r>
            <w:r w:rsidRPr="002A253D">
              <w:rPr>
                <w:rStyle w:val="SpecialBold"/>
              </w:rPr>
              <w:t>RIA</w:t>
            </w:r>
          </w:p>
        </w:tc>
      </w:tr>
      <w:tr w:rsidTr="00C378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1</w:t>
            </w:r>
          </w:p>
        </w:tc>
        <w:tc>
          <w:tcPr>
            <w:tcW w:w="2296"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Prepare to perform cable pit/trench/excavation rescue</w:t>
            </w:r>
          </w:p>
        </w:tc>
        <w:tc>
          <w:tcPr>
            <w:tcW w:w="90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1.1</w:t>
            </w:r>
          </w:p>
        </w:tc>
        <w:tc>
          <w:tcPr>
            <w:tcW w:w="486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 xml:space="preserve">Instruction in hazards and risk control measures for specific work functions and work areas are identified and obtained. (This will include </w:t>
            </w:r>
            <w:r w:rsidRPr="002A253D">
              <w:t>the risk assessment and control measures taken by the individual performing the rescue).</w:t>
            </w:r>
          </w:p>
        </w:tc>
      </w:tr>
      <w:tr w:rsidTr="00C378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1.2</w:t>
            </w:r>
          </w:p>
        </w:tc>
        <w:tc>
          <w:tcPr>
            <w:tcW w:w="486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Tools and emergency equipment are checked for safety, functionality and placed in an accessible location to facilitate response and rescue according to establis</w:t>
            </w:r>
            <w:r w:rsidRPr="002A253D">
              <w:t>hed procedures.</w:t>
            </w:r>
          </w:p>
        </w:tc>
      </w:tr>
      <w:tr w:rsidTr="00C378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2</w:t>
            </w:r>
          </w:p>
        </w:tc>
        <w:tc>
          <w:tcPr>
            <w:tcW w:w="2296" w:type="dxa"/>
            <w:vMerge w:val="restart"/>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Carry out cable pit/trench/excavation rescue</w:t>
            </w:r>
          </w:p>
        </w:tc>
        <w:tc>
          <w:tcPr>
            <w:tcW w:w="90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2.1</w:t>
            </w:r>
          </w:p>
        </w:tc>
        <w:tc>
          <w:tcPr>
            <w:tcW w:w="486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Workplace procedures and work instructions for controlling risk are followed.</w:t>
            </w:r>
          </w:p>
        </w:tc>
      </w:tr>
      <w:tr w:rsidTr="00C378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2.2</w:t>
            </w:r>
          </w:p>
        </w:tc>
        <w:tc>
          <w:tcPr>
            <w:tcW w:w="486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Workplace procedures for accessing the cable pit/trench/exc</w:t>
            </w:r>
            <w:r w:rsidRPr="002A253D">
              <w:t>avation, removing the victim, where necessary, from contact with live apparatus are followed.</w:t>
            </w:r>
          </w:p>
        </w:tc>
      </w:tr>
      <w:tr w:rsidTr="00C378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2.3</w:t>
            </w:r>
          </w:p>
        </w:tc>
        <w:tc>
          <w:tcPr>
            <w:tcW w:w="486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Workplace procedures for removing the victim, where necessary, from the cable pit/trench/excavation, are followed.</w:t>
            </w:r>
          </w:p>
        </w:tc>
      </w:tr>
      <w:tr w:rsidTr="00C378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2.4</w:t>
            </w:r>
          </w:p>
        </w:tc>
        <w:tc>
          <w:tcPr>
            <w:tcW w:w="486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Workplace procedures for carrying out CPR if required at the site and treatment where necessary by medical professionals are followed.</w:t>
            </w:r>
          </w:p>
        </w:tc>
      </w:tr>
      <w:tr w:rsidTr="00C378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2.5</w:t>
            </w:r>
          </w:p>
        </w:tc>
        <w:tc>
          <w:tcPr>
            <w:tcW w:w="486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The worksite is secured and entry controlled until appropriate authorities release the site.</w:t>
            </w:r>
          </w:p>
        </w:tc>
      </w:tr>
      <w:tr w:rsidTr="00C378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3</w:t>
            </w:r>
          </w:p>
        </w:tc>
        <w:tc>
          <w:tcPr>
            <w:tcW w:w="2296"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Complete the cable</w:t>
            </w:r>
            <w:r w:rsidRPr="002A253D">
              <w:t xml:space="preserve"> pit/trench/excavation rescue procedures</w:t>
            </w:r>
          </w:p>
        </w:tc>
        <w:tc>
          <w:tcPr>
            <w:tcW w:w="90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t>3.1</w:t>
            </w:r>
          </w:p>
        </w:tc>
        <w:tc>
          <w:tcPr>
            <w:tcW w:w="486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t>Processes for reporting accidents and/or incidents to authorised personnel are confirmed in accordance with established procedures.</w:t>
            </w:r>
          </w:p>
        </w:tc>
      </w:tr>
    </w:tbl>
    <w:p w:rsidR="00000000" w:rsidRPr="002A253D" w:rsidP="002A253D">
      <w:pPr>
        <w:pStyle w:val="BodyText"/>
      </w:pPr>
    </w:p>
    <w:p w:rsidR="00000000" w:rsidRPr="002A253D" w:rsidP="002A253D">
      <w:pPr>
        <w:pStyle w:val="AllowPageBreak"/>
      </w:pPr>
    </w:p>
    <w:p w:rsidR="00000000" w:rsidRPr="002A253D" w:rsidP="002A253D">
      <w:pPr>
        <w:pStyle w:val="Heading1"/>
      </w:pPr>
      <w:bookmarkStart w:id="9" w:name="O_632710"/>
      <w:bookmarkEnd w:id="9"/>
      <w:r w:rsidRPr="002A253D">
        <w:t>Required Skills and Knowledge</w:t>
      </w:r>
    </w:p>
    <w:tbl>
      <w:tblPr>
        <w:tblW w:w="0" w:type="auto"/>
        <w:tblLayout w:type="fixed"/>
        <w:tblCellMar>
          <w:left w:w="62" w:type="dxa"/>
          <w:right w:w="62" w:type="dxa"/>
        </w:tblCellMar>
        <w:tblLook w:val="0000"/>
      </w:tblPr>
      <w:tblGrid>
        <w:gridCol w:w="8460"/>
      </w:tblGrid>
      <w:tr w:rsidTr="00C378A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rPr>
                <w:rStyle w:val="SpecialBold"/>
              </w:rPr>
              <w:t>REQUIRED SKILLS AND KNOWLEDGE</w:t>
            </w:r>
          </w:p>
        </w:tc>
      </w:tr>
      <w:tr w:rsidTr="00C378A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rPr>
                <w:rStyle w:val="SpecialBold"/>
              </w:rPr>
              <w:t>8)</w:t>
            </w:r>
            <w:r w:rsidRPr="002A253D">
              <w:t xml:space="preserve"> Essential Knowledge and Associated Skills (EKAS): This describes the essential skills and knowledge and their level, required for this unit.</w:t>
            </w:r>
          </w:p>
          <w:p w:rsidR="00000000" w:rsidRPr="002A253D" w:rsidP="002A253D">
            <w:pPr>
              <w:pStyle w:val="BodyText"/>
            </w:pPr>
            <w:r w:rsidRPr="002A253D">
              <w:t>Evidence shall show that knowledge has been acquired of cable pit/trench/excavation rescue procedures.</w:t>
            </w:r>
          </w:p>
          <w:p w:rsidR="00000000" w:rsidRPr="002A253D" w:rsidP="002A253D">
            <w:pPr>
              <w:pStyle w:val="BodyText"/>
            </w:pPr>
            <w:r w:rsidRPr="002A253D">
              <w:t>All knowledge and skills detailed in this unit should be contextualised to current industry practices and technologies.</w:t>
            </w:r>
          </w:p>
          <w:p w:rsidR="00000000" w:rsidRPr="002A253D" w:rsidP="002A253D">
            <w:pPr>
              <w:pStyle w:val="BodyText"/>
            </w:pPr>
            <w:r w:rsidRPr="002A253D">
              <w:t>KS01-TRF07B Cable pit/trench/excavation rescue</w:t>
            </w:r>
          </w:p>
          <w:p w:rsidR="00000000" w:rsidRPr="002A253D" w:rsidP="002A253D">
            <w:pPr>
              <w:pStyle w:val="BodyText"/>
            </w:pPr>
            <w:r w:rsidRPr="002A253D">
              <w:t>Evidence shall show an understanding of cable pit/trench/excavation rescue to an extent i</w:t>
            </w:r>
            <w:r w:rsidRPr="002A253D">
              <w:t>ndicated by the following aspects:</w:t>
            </w:r>
          </w:p>
          <w:p w:rsidR="00000000" w:rsidRPr="002A253D" w:rsidP="002A253D">
            <w:pPr>
              <w:pStyle w:val="BodyText"/>
            </w:pPr>
            <w:r w:rsidRPr="002A253D">
              <w:t>T1</w:t>
            </w:r>
            <w:r w:rsidRPr="002A253D">
              <w:tab/>
              <w:t>Emergency procedures for the rescue of a victim from a cable pit/trench/excavation encompassing:</w:t>
            </w:r>
          </w:p>
          <w:p w:rsidR="00000000" w:rsidRPr="002A253D" w:rsidP="002A253D">
            <w:pPr>
              <w:pStyle w:val="ListBullet"/>
            </w:pPr>
            <w:r w:rsidRPr="002A253D">
              <w:t>Inspection of rescue equipment</w:t>
            </w:r>
          </w:p>
          <w:p w:rsidR="00000000" w:rsidRPr="002A253D" w:rsidP="002A253D">
            <w:pPr>
              <w:pStyle w:val="ListBullet"/>
            </w:pPr>
            <w:r w:rsidRPr="002A253D">
              <w:t>Assessing hazards to rescuer, victim and others</w:t>
            </w:r>
          </w:p>
          <w:p w:rsidR="00000000" w:rsidRPr="002A253D" w:rsidP="002A253D">
            <w:pPr>
              <w:pStyle w:val="ListBullet"/>
            </w:pPr>
            <w:r w:rsidRPr="002A253D">
              <w:t>Isolation procedures where appropriate</w:t>
            </w:r>
          </w:p>
          <w:p w:rsidR="00000000" w:rsidRPr="002A253D" w:rsidP="002A253D">
            <w:pPr>
              <w:pStyle w:val="ListBullet"/>
            </w:pPr>
            <w:r w:rsidRPr="002A253D">
              <w:t>Kn</w:t>
            </w:r>
            <w:r w:rsidRPr="002A253D">
              <w:t>owledge of Safe Approach Distances (SAD’s) appropriate to cable pit/trench/excavation rescue</w:t>
            </w:r>
          </w:p>
          <w:p w:rsidR="00000000" w:rsidRPr="002A253D" w:rsidP="002A253D">
            <w:pPr>
              <w:pStyle w:val="ListBullet"/>
            </w:pPr>
            <w:r w:rsidRPr="002A253D">
              <w:t>Involvement of external emergency services</w:t>
            </w:r>
          </w:p>
          <w:p w:rsidR="00000000" w:rsidRPr="002A253D" w:rsidP="002A253D">
            <w:pPr>
              <w:pStyle w:val="BodyText"/>
            </w:pPr>
            <w:r w:rsidRPr="002A253D">
              <w:t>T2</w:t>
            </w:r>
            <w:r w:rsidRPr="002A253D">
              <w:tab/>
              <w:t>Emergency procedures for the skills required for the rescue of a victim from a cable pit/trench/excavation encompassi</w:t>
            </w:r>
            <w:r w:rsidRPr="002A253D">
              <w:t>ng:</w:t>
            </w:r>
          </w:p>
          <w:p w:rsidR="00000000" w:rsidRPr="002A253D" w:rsidP="002A253D">
            <w:pPr>
              <w:pStyle w:val="ListBullet"/>
            </w:pPr>
            <w:r w:rsidRPr="002A253D">
              <w:t>Placement of rescue equipment</w:t>
            </w:r>
          </w:p>
          <w:p w:rsidR="00000000" w:rsidRPr="002A253D" w:rsidP="002A253D">
            <w:pPr>
              <w:pStyle w:val="ListBullet"/>
            </w:pPr>
            <w:r w:rsidRPr="002A253D">
              <w:t>Controlling hazards to rescuer, victim and others</w:t>
            </w:r>
          </w:p>
          <w:p w:rsidR="00000000" w:rsidRPr="002A253D" w:rsidP="002A253D">
            <w:pPr>
              <w:pStyle w:val="ListBullet"/>
            </w:pPr>
            <w:r w:rsidRPr="002A253D">
              <w:t>Maintaining Safe Approach Distances (SAD’s) appropriate to cable pit/trench/excavation rescue</w:t>
            </w:r>
          </w:p>
          <w:p w:rsidR="00000000" w:rsidRPr="002A253D" w:rsidP="002A253D">
            <w:pPr>
              <w:pStyle w:val="ListBullet"/>
            </w:pPr>
            <w:r w:rsidRPr="002A253D">
              <w:t>Practical demonstration of rescuing a person</w:t>
            </w:r>
          </w:p>
          <w:p w:rsidR="00000000" w:rsidRPr="002A253D" w:rsidP="002A253D">
            <w:pPr>
              <w:pStyle w:val="ListBullet"/>
            </w:pPr>
            <w:r w:rsidRPr="002A253D">
              <w:t>Removing victim to safe location / place of safety</w:t>
            </w:r>
          </w:p>
        </w:tc>
      </w:tr>
    </w:tbl>
    <w:p w:rsidR="00000000" w:rsidRPr="002A253D" w:rsidP="002A253D">
      <w:pPr>
        <w:pStyle w:val="BodyText"/>
      </w:pPr>
    </w:p>
    <w:p w:rsidR="00000000" w:rsidRPr="002A253D" w:rsidP="002A253D">
      <w:pPr>
        <w:pStyle w:val="AllowPageBreak"/>
      </w:pPr>
    </w:p>
    <w:p w:rsidR="00000000" w:rsidRPr="002A253D" w:rsidP="002A253D">
      <w:pPr>
        <w:pStyle w:val="Heading1"/>
      </w:pPr>
      <w:bookmarkStart w:id="10" w:name="O_632709"/>
      <w:bookmarkEnd w:id="10"/>
      <w:r w:rsidRPr="002A253D">
        <w:t>Evidence Guide</w:t>
      </w:r>
    </w:p>
    <w:tbl>
      <w:tblPr>
        <w:tblW w:w="0" w:type="auto"/>
        <w:tblLayout w:type="fixed"/>
        <w:tblCellMar>
          <w:left w:w="62" w:type="dxa"/>
          <w:right w:w="62" w:type="dxa"/>
        </w:tblCellMar>
        <w:tblLook w:val="0000"/>
      </w:tblPr>
      <w:tblGrid>
        <w:gridCol w:w="8460"/>
      </w:tblGrid>
      <w:tr w:rsidTr="00C378A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rPr>
                <w:rStyle w:val="SpecialBold"/>
              </w:rPr>
              <w:t>EVIDENCE GUIDE</w:t>
            </w:r>
          </w:p>
        </w:tc>
      </w:tr>
      <w:tr w:rsidTr="00C378A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rPr>
                <w:rStyle w:val="SpecialBold"/>
              </w:rPr>
              <w:t>9)</w:t>
            </w:r>
            <w:r w:rsidRPr="002A253D">
              <w:t xml:space="preserve"> This provides essential advice for assessment of the competency standard unit and must be read in </w:t>
            </w:r>
            <w:r w:rsidRPr="002A253D">
              <w:t>conjunction with the Performance Criteria and the range statement of the competency standard unit and the Training Package Assessment Guidelines.</w:t>
            </w:r>
          </w:p>
          <w:p w:rsidR="00000000" w:rsidRPr="002A253D" w:rsidP="002A253D">
            <w:pPr>
              <w:pStyle w:val="BodyText"/>
            </w:pPr>
            <w:r w:rsidRPr="002A253D">
              <w:t>The Evidence Guide forms an integral part of this Competency Standard Unit and shall be used in conjunction wi</w:t>
            </w:r>
            <w:r w:rsidRPr="002A253D">
              <w:t>th all component parts of this unit and, performed in accordance with the Assessment Guidelines of this Training Package.</w:t>
            </w:r>
          </w:p>
        </w:tc>
      </w:tr>
    </w:tbl>
    <w:p w:rsidR="00000000" w:rsidRPr="002A253D" w:rsidP="002A253D">
      <w:pPr>
        <w:pStyle w:val="BodyText"/>
      </w:pPr>
    </w:p>
    <w:tbl>
      <w:tblPr>
        <w:tblW w:w="0" w:type="auto"/>
        <w:tblLayout w:type="fixed"/>
        <w:tblCellMar>
          <w:left w:w="62" w:type="dxa"/>
          <w:right w:w="62" w:type="dxa"/>
        </w:tblCellMar>
        <w:tblLook w:val="0000"/>
      </w:tblPr>
      <w:tblGrid>
        <w:gridCol w:w="1890"/>
        <w:gridCol w:w="6570"/>
      </w:tblGrid>
      <w:tr w:rsidTr="00C378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rPr>
                <w:rStyle w:val="SpecialBold"/>
              </w:rPr>
              <w:t>9.1)</w:t>
            </w:r>
          </w:p>
        </w:tc>
      </w:tr>
      <w:tr w:rsidTr="00C378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t>In accordance with the National Refresher Training Recognition Protocol for the Electricity Supply Ind</w:t>
            </w:r>
            <w:r w:rsidRPr="002A253D">
              <w:t xml:space="preserve">ustry, this unit is identified as a Refresher Training unit and is only available for use by industry to meet industry protocols and regulatory requirements. </w:t>
            </w:r>
          </w:p>
          <w:p w:rsidR="00000000" w:rsidRPr="002A253D" w:rsidP="002A253D">
            <w:pPr>
              <w:pStyle w:val="BodyText"/>
            </w:pPr>
            <w:r w:rsidRPr="002A253D">
              <w:t>Industry has defined Refresher Training as:</w:t>
            </w:r>
          </w:p>
          <w:p w:rsidR="00000000" w:rsidRPr="002A253D" w:rsidP="002A253D">
            <w:pPr>
              <w:pStyle w:val="BodyText"/>
            </w:pPr>
            <w:r w:rsidRPr="002A253D">
              <w:t>“A competency confirmation event which may include tr</w:t>
            </w:r>
            <w:r w:rsidRPr="002A253D">
              <w:t>aining, the purpose of which is to compensate for or prevent deterioration in a previously achieved standard of performance”</w:t>
            </w:r>
          </w:p>
          <w:p w:rsidR="00000000" w:rsidRPr="002A253D" w:rsidP="002A253D">
            <w:pPr>
              <w:pStyle w:val="BodyText"/>
            </w:pPr>
            <w:r w:rsidRPr="002A253D">
              <w:t>Under the protocol and the applicable State or Territory legislative and regulatory requirements, Electricity Supply Industry employees are required to maintain currency in this Unit for authorisation/approval to work on ESI Networks.</w:t>
            </w:r>
          </w:p>
          <w:p w:rsidR="00000000" w:rsidRPr="002A253D" w:rsidP="002A253D">
            <w:pPr>
              <w:pStyle w:val="BodyText"/>
            </w:pPr>
            <w:r w:rsidRPr="002A253D">
              <w:t>Industry accepts that</w:t>
            </w:r>
            <w:r w:rsidRPr="002A253D">
              <w:t xml:space="preserve"> opportunities to practice emergency procedures are generally restricted to simulated exercises in a controlled environment during competency confirmation programs. </w:t>
            </w:r>
          </w:p>
          <w:p w:rsidR="00000000" w:rsidRPr="002A253D" w:rsidP="002A253D">
            <w:pPr>
              <w:pStyle w:val="BodyText"/>
            </w:pPr>
            <w:r w:rsidRPr="002A253D">
              <w:t>The critical safety nature of working with electricity, electrical equipment, gas or any o</w:t>
            </w:r>
            <w:r w:rsidRPr="002A253D">
              <w:t>ther hazardous substance/material carries risk in deeming a person competent. Hence, sources of evidence need to be ‘rich’ in nature so as to minimise error in judgment.</w:t>
            </w:r>
          </w:p>
          <w:p w:rsidR="00000000" w:rsidRPr="002A253D" w:rsidP="002A253D">
            <w:pPr>
              <w:pStyle w:val="BodyText"/>
            </w:pPr>
            <w:r w:rsidRPr="002A253D">
              <w:t>Methods chosen for a particular assessment will be influenced by various factors. Thes</w:t>
            </w:r>
            <w:r w:rsidRPr="002A253D">
              <w:t>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2A253D" w:rsidP="002A253D">
            <w:pPr>
              <w:pStyle w:val="BodyText"/>
            </w:pPr>
            <w:r w:rsidRPr="002A253D">
              <w:t>Thes</w:t>
            </w:r>
            <w:r w:rsidRPr="002A253D">
              <w:t>e points are raised for the assessors to consider when choosing an assessment method and developing assessment instruments.</w:t>
            </w:r>
          </w:p>
          <w:p w:rsidR="00000000" w:rsidRPr="002A253D" w:rsidP="002A253D">
            <w:pPr>
              <w:pStyle w:val="BodyText"/>
            </w:pPr>
            <w:r w:rsidRPr="002A253D">
              <w:t>An industry endorsed Learning Assessment Plan (LAP) has been developed to support this unit.</w:t>
            </w:r>
          </w:p>
        </w:tc>
      </w:tr>
    </w:tbl>
    <w:p w:rsidR="00000000" w:rsidRPr="002A253D" w:rsidP="002A253D">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C378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rPr>
                <w:rStyle w:val="SpecialBold"/>
              </w:rPr>
              <w:t>Critical aspects of evidence required</w:t>
            </w:r>
            <w:r w:rsidRPr="002A253D">
              <w:rPr>
                <w:rStyle w:val="SpecialBold"/>
              </w:rPr>
              <w:t xml:space="preserve">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rPr>
                <w:rStyle w:val="SpecialBold"/>
              </w:rPr>
              <w:t>9.2)</w:t>
            </w:r>
          </w:p>
        </w:tc>
      </w:tr>
      <w:tr w:rsidTr="00C378A3">
        <w:tblPrEx>
          <w:tblW w:w="0" w:type="auto"/>
          <w:tblLayout w:type="fixed"/>
          <w:tblCellMar>
            <w:left w:w="62" w:type="dxa"/>
            <w:right w:w="62" w:type="dxa"/>
          </w:tblCellMar>
          <w:tblLook w:val="0000"/>
        </w:tblPrEx>
        <w:trPr>
          <w:trHeight w:val="643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t>Before the critical aspects of evidence are considered all prerequisites shall be met.</w:t>
            </w:r>
          </w:p>
          <w:p w:rsidR="00000000" w:rsidRPr="002A253D" w:rsidP="002A253D">
            <w:pPr>
              <w:pStyle w:val="BodyText"/>
            </w:pPr>
            <w:r w:rsidRPr="002A253D">
              <w:t>Evidence for competence in this unit shall be considered holistically. Each e</w:t>
            </w:r>
            <w:r w:rsidRPr="002A253D">
              <w:t>lement and associated Performance Criteria shall be demonstrated at each competency confirmation event.</w:t>
            </w:r>
          </w:p>
          <w:p w:rsidR="00000000" w:rsidRPr="002A253D" w:rsidP="002A253D">
            <w:pPr>
              <w:pStyle w:val="ListBullet"/>
            </w:pPr>
            <w:r w:rsidRPr="002A253D">
              <w:t>In accordance with State and Territory regulations and the “Assessment Guidelines – UET12”. Evidence shall also comprise:</w:t>
            </w:r>
          </w:p>
          <w:p w:rsidR="00000000" w:rsidRPr="002A253D" w:rsidP="002A253D">
            <w:pPr>
              <w:pStyle w:val="ListBullet2"/>
            </w:pPr>
            <w:r w:rsidRPr="002A253D">
              <w:t>A performance demonstrated w</w:t>
            </w:r>
            <w:r w:rsidRPr="002A253D">
              <w:t>ithin the timeframes typically expected of the rescue procedure. In particular the assessment of this unit shall confirm that a candidate is able to:</w:t>
            </w:r>
          </w:p>
          <w:p w:rsidR="00000000" w:rsidRPr="002A253D" w:rsidP="002A253D">
            <w:pPr>
              <w:pStyle w:val="ListBullet2"/>
            </w:pPr>
            <w:r w:rsidRPr="002A253D">
              <w:t>Implement Occupational Health and Safety workplace procedures and practices including the use of risk cont</w:t>
            </w:r>
            <w:r w:rsidRPr="002A253D">
              <w:t>rol measures as specified in the Performance Criteria and range; and</w:t>
            </w:r>
          </w:p>
          <w:p w:rsidR="00000000" w:rsidRPr="002A253D" w:rsidP="002A253D">
            <w:pPr>
              <w:pStyle w:val="ListBullet2"/>
            </w:pPr>
            <w:r w:rsidRPr="002A253D">
              <w:t xml:space="preserve">Demonstrate an understanding of the essential knowledge and associated skills as described in this unit to such an extent that the learner’s performance outcome is reported in accordance </w:t>
            </w:r>
            <w:r w:rsidRPr="002A253D">
              <w:t>with the preferred approach; namely a percentile graded result, where required by the regulated environment; and</w:t>
            </w:r>
          </w:p>
          <w:p w:rsidR="00000000" w:rsidRPr="002A253D" w:rsidP="002A253D">
            <w:pPr>
              <w:pStyle w:val="ListBullet2"/>
            </w:pPr>
            <w:r w:rsidRPr="002A253D">
              <w:t>Demonstrate an appropriate level of employability skills; and</w:t>
            </w:r>
          </w:p>
          <w:p w:rsidR="00000000" w:rsidRPr="002A253D" w:rsidP="002A253D">
            <w:pPr>
              <w:pStyle w:val="ListBullet"/>
            </w:pPr>
            <w:r w:rsidRPr="002A253D">
              <w:t>Conduct work observing the relevant Anti Discrimination legislation, regulations</w:t>
            </w:r>
            <w:r w:rsidRPr="002A253D">
              <w:t>, policies and workplace procedures; and</w:t>
            </w:r>
          </w:p>
          <w:p w:rsidR="00000000" w:rsidP="002A253D">
            <w:pPr>
              <w:pStyle w:val="ListBullet2"/>
              <w:rPr>
                <w:lang w:val="en-NZ"/>
              </w:rPr>
            </w:pPr>
            <w:r w:rsidRPr="002A253D">
              <w:t>Demonstrated performance across a representative range of contexts from the prescribed items below:</w:t>
            </w:r>
          </w:p>
        </w:tc>
      </w:tr>
      <w:tr w:rsidTr="00C378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A253D">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53D">
            <w:pPr>
              <w:pStyle w:val="BodyText"/>
              <w:rPr>
                <w:lang w:val="en-NZ"/>
              </w:rPr>
            </w:pPr>
            <w:r w:rsidRPr="002A253D">
              <w:rPr>
                <w:rStyle w:val="SpecialBold"/>
              </w:rPr>
              <w:t>Range of tools/equipment/materials/procedures/workplaces/other variables</w:t>
            </w:r>
          </w:p>
        </w:tc>
      </w:tr>
      <w:tr w:rsidTr="00C378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A253D">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53D" w:rsidP="002A253D">
            <w:pPr>
              <w:pStyle w:val="BodyText"/>
            </w:pPr>
            <w:r w:rsidRPr="002A253D">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53D" w:rsidP="002A253D">
            <w:pPr>
              <w:pStyle w:val="BodyText"/>
            </w:pPr>
            <w:r w:rsidRPr="002A253D">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53D">
            <w:pPr>
              <w:pStyle w:val="BodyText"/>
              <w:rPr>
                <w:lang w:val="en-NZ"/>
              </w:rPr>
            </w:pPr>
            <w:r w:rsidRPr="002A253D">
              <w:rPr>
                <w:rStyle w:val="SpecialBold"/>
              </w:rPr>
              <w:t>Item List</w:t>
            </w:r>
          </w:p>
        </w:tc>
      </w:tr>
      <w:tr w:rsidTr="00C378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53D">
            <w:pPr>
              <w:pStyle w:val="BodyText"/>
              <w:rPr>
                <w:lang w:val="en-NZ"/>
              </w:rPr>
            </w:pPr>
            <w:r w:rsidRPr="002A253D">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53D">
            <w:pPr>
              <w:pStyle w:val="BodyText"/>
              <w:rPr>
                <w:lang w:val="en-NZ"/>
              </w:rPr>
            </w:pPr>
            <w:r w:rsidRPr="002A253D">
              <w:t>All,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53D">
            <w:pPr>
              <w:pStyle w:val="BodyText"/>
              <w:rPr>
                <w:lang w:val="en-NZ"/>
              </w:rPr>
            </w:pPr>
            <w:r w:rsidRPr="002A253D">
              <w:t>Inspection and placement of rescue equipment for a cable pit/trench/excavation rescue</w:t>
            </w:r>
          </w:p>
        </w:tc>
      </w:tr>
      <w:tr w:rsidTr="00C378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53D">
            <w:pPr>
              <w:pStyle w:val="BodyText"/>
              <w:rPr>
                <w:lang w:val="en-NZ"/>
              </w:rPr>
            </w:pPr>
            <w:r w:rsidRPr="002A253D">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253D">
            <w:pPr>
              <w:pStyle w:val="BodyText"/>
              <w:rPr>
                <w:lang w:val="en-NZ"/>
              </w:rPr>
            </w:pPr>
            <w:r w:rsidRPr="002A253D">
              <w:t>All,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253D" w:rsidP="002A253D">
            <w:pPr>
              <w:pStyle w:val="BodyText"/>
            </w:pPr>
            <w:r w:rsidRPr="002A253D">
              <w:t>Perform a rescue from a pit/trench/excavation in accordance with workplace procedures</w:t>
            </w:r>
          </w:p>
        </w:tc>
      </w:tr>
    </w:tbl>
    <w:p w:rsidR="00000000" w:rsidRPr="002A253D" w:rsidP="002A253D">
      <w:pPr>
        <w:pStyle w:val="BodyText"/>
      </w:pPr>
    </w:p>
    <w:tbl>
      <w:tblPr>
        <w:tblW w:w="0" w:type="auto"/>
        <w:tblLayout w:type="fixed"/>
        <w:tblCellMar>
          <w:left w:w="62" w:type="dxa"/>
          <w:right w:w="62" w:type="dxa"/>
        </w:tblCellMar>
        <w:tblLook w:val="0000"/>
      </w:tblPr>
      <w:tblGrid>
        <w:gridCol w:w="1890"/>
        <w:gridCol w:w="6570"/>
      </w:tblGrid>
      <w:tr w:rsidTr="00C378A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rPr>
                <w:rStyle w:val="SpecialBold"/>
              </w:rPr>
              <w:t>9.3)</w:t>
            </w:r>
          </w:p>
        </w:tc>
      </w:tr>
      <w:tr w:rsidTr="00C378A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t xml:space="preserve">This unit should be assessed as it relates to normal work practice using procedures, information and resources </w:t>
            </w:r>
            <w:r w:rsidRPr="002A253D">
              <w:t>typical of a workplace. This should include:</w:t>
            </w:r>
          </w:p>
          <w:p w:rsidR="00000000" w:rsidRPr="002A253D" w:rsidP="002A253D">
            <w:pPr>
              <w:pStyle w:val="ListBullet"/>
            </w:pPr>
            <w:r w:rsidRPr="002A253D">
              <w:t>OHS policy and work procedures and instructions.</w:t>
            </w:r>
          </w:p>
          <w:p w:rsidR="00000000" w:rsidRPr="002A253D" w:rsidP="002A253D">
            <w:pPr>
              <w:pStyle w:val="ListBullet"/>
            </w:pPr>
            <w:r w:rsidRPr="002A253D">
              <w:t>Suitable work environment, facilities, equipment and materials to safely undertake performance of cable pit/trench/excavation rescue procedures in the workplace.</w:t>
            </w:r>
          </w:p>
          <w:p w:rsidR="00000000" w:rsidRPr="002A253D" w:rsidP="002A253D">
            <w:pPr>
              <w:pStyle w:val="BodyText"/>
            </w:pPr>
            <w:r w:rsidRPr="002A253D">
              <w:t>In addition to the resources listed above, in Context of and specific resources for assessment, evidence should show demonstrated competency working in a realistic environment and a variety of conditions.</w:t>
            </w:r>
          </w:p>
        </w:tc>
      </w:tr>
    </w:tbl>
    <w:p w:rsidR="00000000" w:rsidRPr="002A253D" w:rsidP="002A253D">
      <w:pPr>
        <w:pStyle w:val="BodyText"/>
      </w:pPr>
    </w:p>
    <w:tbl>
      <w:tblPr>
        <w:tblW w:w="0" w:type="auto"/>
        <w:tblLayout w:type="fixed"/>
        <w:tblCellMar>
          <w:left w:w="62" w:type="dxa"/>
          <w:right w:w="62" w:type="dxa"/>
        </w:tblCellMar>
        <w:tblLook w:val="0000"/>
      </w:tblPr>
      <w:tblGrid>
        <w:gridCol w:w="1890"/>
        <w:gridCol w:w="6570"/>
      </w:tblGrid>
      <w:tr w:rsidTr="00C378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rPr>
                <w:rStyle w:val="SpecialBold"/>
              </w:rPr>
              <w:t>9.4)</w:t>
            </w:r>
          </w:p>
        </w:tc>
      </w:tr>
      <w:tr w:rsidTr="00C378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t>This Competency Standard Unit shall be assessed by methods given in Volume 1, Part 3 “Assessment Guidelines”.</w:t>
            </w:r>
          </w:p>
          <w:p w:rsidR="00000000" w:rsidRPr="002A253D" w:rsidP="002A253D">
            <w:pPr>
              <w:pStyle w:val="BodyText"/>
            </w:pPr>
            <w:r w:rsidRPr="002A253D">
              <w:t>Note:</w:t>
            </w:r>
          </w:p>
          <w:p w:rsidR="00000000" w:rsidRPr="002A253D" w:rsidP="002A253D">
            <w:pPr>
              <w:pStyle w:val="BodyText"/>
            </w:pPr>
            <w:r w:rsidRPr="002A253D">
              <w:t xml:space="preserve">Competent performance with inherent safe working practices is expected in the Industry to which this Competency Standard Unit applies. This </w:t>
            </w:r>
            <w:r w:rsidRPr="002A253D">
              <w:t>requires that the specified essential knowledge and associated skills are assessed in a structured environment which is primarily intended for learning/assessment and incorporates all necessary equipment and facilities for learners to develop and demonstra</w:t>
            </w:r>
            <w:r w:rsidRPr="002A253D">
              <w:t>te the essential knowledge and associated skills described in this unit.</w:t>
            </w:r>
          </w:p>
        </w:tc>
      </w:tr>
    </w:tbl>
    <w:p w:rsidR="00000000" w:rsidRPr="002A253D" w:rsidP="002A253D">
      <w:pPr>
        <w:pStyle w:val="BodyText"/>
      </w:pPr>
    </w:p>
    <w:tbl>
      <w:tblPr>
        <w:tblW w:w="0" w:type="auto"/>
        <w:tblLayout w:type="fixed"/>
        <w:tblCellMar>
          <w:left w:w="62" w:type="dxa"/>
          <w:right w:w="62" w:type="dxa"/>
        </w:tblCellMar>
        <w:tblLook w:val="0000"/>
      </w:tblPr>
      <w:tblGrid>
        <w:gridCol w:w="1890"/>
        <w:gridCol w:w="6570"/>
      </w:tblGrid>
      <w:tr w:rsidTr="00C378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rPr>
                <w:rStyle w:val="SpecialBold"/>
              </w:rPr>
              <w:t>9.5)</w:t>
            </w:r>
          </w:p>
        </w:tc>
      </w:tr>
      <w:tr w:rsidTr="00C378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t>For optimisation of training and assessment effort, competence in this unit is not recommended to be assessed concurre</w:t>
            </w:r>
            <w:r w:rsidRPr="002A253D">
              <w:t>ntly with any other unit.</w:t>
            </w:r>
          </w:p>
        </w:tc>
      </w:tr>
    </w:tbl>
    <w:p w:rsidR="00000000" w:rsidRPr="002A253D" w:rsidP="002A253D">
      <w:pPr>
        <w:pStyle w:val="BodyText"/>
      </w:pPr>
    </w:p>
    <w:p w:rsidR="00000000" w:rsidRPr="002A253D" w:rsidP="002A253D">
      <w:pPr>
        <w:pStyle w:val="AllowPageBreak"/>
      </w:pPr>
    </w:p>
    <w:p w:rsidR="00000000" w:rsidRPr="002A253D" w:rsidP="002A253D">
      <w:pPr>
        <w:pStyle w:val="Heading1"/>
      </w:pPr>
      <w:bookmarkStart w:id="11" w:name="O_632708"/>
      <w:bookmarkEnd w:id="11"/>
      <w:r w:rsidRPr="002A253D">
        <w:t>Range Statement</w:t>
      </w:r>
    </w:p>
    <w:tbl>
      <w:tblPr>
        <w:tblW w:w="0" w:type="auto"/>
        <w:tblLayout w:type="fixed"/>
        <w:tblCellMar>
          <w:left w:w="62" w:type="dxa"/>
          <w:right w:w="62" w:type="dxa"/>
        </w:tblCellMar>
        <w:tblLook w:val="0000"/>
      </w:tblPr>
      <w:tblGrid>
        <w:gridCol w:w="8460"/>
      </w:tblGrid>
      <w:tr w:rsidTr="00C378A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rPr>
                <w:rStyle w:val="SpecialBold"/>
              </w:rPr>
              <w:t>RANGE STATEMENT</w:t>
            </w:r>
          </w:p>
        </w:tc>
      </w:tr>
      <w:tr w:rsidTr="00C378A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rPr>
                <w:rStyle w:val="SpecialBold"/>
              </w:rPr>
              <w:t>10)</w:t>
            </w:r>
            <w:r w:rsidRPr="002A253D">
              <w:t xml:space="preserve"> This relates to the competency standard unit as a whole providing the range of contexts and conditions </w:t>
            </w:r>
            <w:r w:rsidRPr="002A253D">
              <w:t>to which the Performance Criteria apply. It allows for different work environments and situations that will affect performance.</w:t>
            </w:r>
          </w:p>
          <w:p w:rsidR="00000000" w:rsidRPr="002A253D" w:rsidP="002A253D">
            <w:pPr>
              <w:pStyle w:val="BodyText"/>
            </w:pPr>
            <w:r w:rsidRPr="002A253D">
              <w:t>This Competency Standard Unit shall be demonstrated in relation to performing cable pit/trench/excavation rescue procedures in t</w:t>
            </w:r>
            <w:r w:rsidRPr="002A253D">
              <w:t>he workplace and will include the following:</w:t>
            </w:r>
          </w:p>
          <w:p w:rsidR="00000000" w:rsidRPr="002A253D" w:rsidP="002A253D">
            <w:pPr>
              <w:pStyle w:val="BodyText"/>
            </w:pPr>
            <w:r w:rsidRPr="002A253D">
              <w:t>Applying work procedures and instructions as they apply to risk control and personal safety measures.</w:t>
            </w:r>
          </w:p>
          <w:p w:rsidR="00000000" w:rsidRPr="002A253D" w:rsidP="002A253D">
            <w:pPr>
              <w:pStyle w:val="BodyText"/>
            </w:pPr>
            <w:r w:rsidRPr="002A253D">
              <w:t>Inspection and placement of rescue equipment to facilitate a prompt response and rescue from a cable pit/tren</w:t>
            </w:r>
            <w:r w:rsidRPr="002A253D">
              <w:t>ch/excavation.</w:t>
            </w:r>
          </w:p>
          <w:p w:rsidR="00000000" w:rsidRPr="002A253D" w:rsidP="002A253D">
            <w:pPr>
              <w:pStyle w:val="BodyText"/>
            </w:pPr>
            <w:r w:rsidRPr="002A253D">
              <w:t>Accessing the cable pit/trench/excavation in accordance with workplace procedures.</w:t>
            </w:r>
          </w:p>
          <w:p w:rsidR="00000000" w:rsidRPr="002A253D" w:rsidP="002A253D">
            <w:pPr>
              <w:pStyle w:val="BodyText"/>
            </w:pPr>
            <w:r w:rsidRPr="002A253D">
              <w:t>Removing the victim from contact with any live conductors/apparatus where necessary in accordance with workplace procedures.</w:t>
            </w:r>
          </w:p>
          <w:p w:rsidR="00000000" w:rsidRPr="002A253D" w:rsidP="002A253D">
            <w:pPr>
              <w:pStyle w:val="BodyText"/>
            </w:pPr>
            <w:r w:rsidRPr="002A253D">
              <w:t>Removing the victim from the cabl</w:t>
            </w:r>
            <w:r w:rsidRPr="002A253D">
              <w:t>e pit/trench/excavation in accordance with workplace procedures.</w:t>
            </w:r>
          </w:p>
          <w:p w:rsidR="00000000" w:rsidRPr="002A253D" w:rsidP="002A253D">
            <w:pPr>
              <w:pStyle w:val="BodyText"/>
            </w:pPr>
            <w:r w:rsidRPr="002A253D">
              <w:t xml:space="preserve">Facilitating treatment by medical professionals when and where required </w:t>
            </w:r>
          </w:p>
          <w:p w:rsidR="00000000" w:rsidRPr="002A253D" w:rsidP="002A253D">
            <w:pPr>
              <w:pStyle w:val="BodyText"/>
            </w:pPr>
            <w:r w:rsidRPr="002A253D">
              <w:t>The following constants and variables included in the element/Performance Criteria in this unit are fully described in</w:t>
            </w:r>
            <w:r w:rsidRPr="002A253D">
              <w:t xml:space="preserve"> the Definitions Section 1 of this volume and form an integral part of the Range Statement of this unit:</w:t>
            </w:r>
          </w:p>
          <w:p w:rsidR="00000000" w:rsidRPr="002A253D" w:rsidP="002A253D">
            <w:pPr>
              <w:pStyle w:val="ListBullet3"/>
            </w:pPr>
            <w:r w:rsidRPr="002A253D">
              <w:t>Appropriate and relevant persons</w:t>
            </w:r>
          </w:p>
          <w:p w:rsidR="00000000" w:rsidRPr="002A253D" w:rsidP="002A253D">
            <w:pPr>
              <w:pStyle w:val="ListBullet3"/>
            </w:pPr>
            <w:r w:rsidRPr="002A253D">
              <w:t>Assessing risk</w:t>
            </w:r>
          </w:p>
          <w:p w:rsidR="00000000" w:rsidRPr="002A253D" w:rsidP="002A253D">
            <w:pPr>
              <w:pStyle w:val="ListBullet3"/>
            </w:pPr>
            <w:r w:rsidRPr="002A253D">
              <w:t>Assessment</w:t>
            </w:r>
          </w:p>
          <w:p w:rsidR="00000000" w:rsidRPr="002A253D" w:rsidP="002A253D">
            <w:pPr>
              <w:pStyle w:val="ListBullet3"/>
            </w:pPr>
            <w:r w:rsidRPr="002A253D">
              <w:t>Authorisation</w:t>
            </w:r>
          </w:p>
          <w:p w:rsidR="00000000" w:rsidRPr="002A253D" w:rsidP="002A253D">
            <w:pPr>
              <w:pStyle w:val="ListBullet3"/>
            </w:pPr>
            <w:r w:rsidRPr="002A253D">
              <w:t>Confined space</w:t>
            </w:r>
          </w:p>
          <w:p w:rsidR="00000000" w:rsidRPr="002A253D" w:rsidP="002A253D">
            <w:pPr>
              <w:pStyle w:val="ListBullet3"/>
            </w:pPr>
            <w:r w:rsidRPr="002A253D">
              <w:t>Emergency</w:t>
            </w:r>
          </w:p>
          <w:p w:rsidR="00000000" w:rsidRPr="002A253D" w:rsidP="002A253D">
            <w:pPr>
              <w:pStyle w:val="ListBullet3"/>
            </w:pPr>
            <w:r w:rsidRPr="002A253D">
              <w:t>Established procedures</w:t>
            </w:r>
          </w:p>
          <w:p w:rsidR="00000000" w:rsidRPr="002A253D" w:rsidP="002A253D">
            <w:pPr>
              <w:pStyle w:val="ListBullet3"/>
            </w:pPr>
            <w:r w:rsidRPr="002A253D">
              <w:t>Fall prevention</w:t>
            </w:r>
          </w:p>
          <w:p w:rsidR="00000000" w:rsidRPr="002A253D" w:rsidP="002A253D">
            <w:pPr>
              <w:pStyle w:val="ListBullet3"/>
            </w:pPr>
            <w:r w:rsidRPr="002A253D">
              <w:t>Hazards</w:t>
            </w:r>
          </w:p>
          <w:p w:rsidR="00000000" w:rsidRPr="002A253D" w:rsidP="002A253D">
            <w:pPr>
              <w:pStyle w:val="ListBullet3"/>
            </w:pPr>
            <w:r w:rsidRPr="002A253D">
              <w:t>Identifying hazards</w:t>
            </w:r>
          </w:p>
          <w:p w:rsidR="00000000" w:rsidRPr="002A253D" w:rsidP="002A253D">
            <w:pPr>
              <w:pStyle w:val="ListBullet3"/>
            </w:pPr>
            <w:r w:rsidRPr="002A253D">
              <w:t>Inspect</w:t>
            </w:r>
          </w:p>
          <w:p w:rsidR="00000000" w:rsidRPr="002A253D" w:rsidP="002A253D">
            <w:pPr>
              <w:pStyle w:val="ListBullet3"/>
            </w:pPr>
            <w:r w:rsidRPr="002A253D">
              <w:t>Legislation</w:t>
            </w:r>
          </w:p>
          <w:p w:rsidR="00000000" w:rsidRPr="002A253D" w:rsidP="002A253D">
            <w:pPr>
              <w:pStyle w:val="ListBullet3"/>
            </w:pPr>
            <w:r w:rsidRPr="002A253D">
              <w:t>Notification</w:t>
            </w:r>
          </w:p>
          <w:p w:rsidR="00000000" w:rsidRPr="002A253D" w:rsidP="002A253D">
            <w:pPr>
              <w:pStyle w:val="ListBullet3"/>
            </w:pPr>
            <w:r w:rsidRPr="002A253D">
              <w:t>OHS practices</w:t>
            </w:r>
          </w:p>
          <w:p w:rsidR="00000000" w:rsidRPr="002A253D" w:rsidP="002A253D">
            <w:pPr>
              <w:pStyle w:val="ListBullet3"/>
            </w:pPr>
            <w:r w:rsidRPr="002A253D">
              <w:t>OHS issues</w:t>
            </w:r>
          </w:p>
          <w:p w:rsidR="00000000" w:rsidRPr="002A253D" w:rsidP="002A253D">
            <w:pPr>
              <w:pStyle w:val="ListBullet3"/>
            </w:pPr>
            <w:r w:rsidRPr="002A253D">
              <w:t>Permits and/or permits to work</w:t>
            </w:r>
          </w:p>
          <w:p w:rsidR="00000000" w:rsidRPr="002A253D" w:rsidP="002A253D">
            <w:pPr>
              <w:pStyle w:val="ListBullet3"/>
            </w:pPr>
            <w:r w:rsidRPr="002A253D">
              <w:t>Personnel</w:t>
            </w:r>
          </w:p>
          <w:p w:rsidR="00000000" w:rsidRPr="002A253D" w:rsidP="002A253D">
            <w:pPr>
              <w:pStyle w:val="ListBullet3"/>
            </w:pPr>
            <w:r w:rsidRPr="002A253D">
              <w:t>Requirements</w:t>
            </w:r>
          </w:p>
          <w:p w:rsidR="00000000" w:rsidRPr="002A253D" w:rsidP="002A253D">
            <w:pPr>
              <w:pStyle w:val="ListBullet3"/>
            </w:pPr>
            <w:r w:rsidRPr="002A253D">
              <w:t>Testing procedures</w:t>
            </w:r>
          </w:p>
          <w:p w:rsidR="00000000" w:rsidRPr="002A253D" w:rsidP="002A253D">
            <w:pPr>
              <w:pStyle w:val="ListBullet3"/>
            </w:pPr>
            <w:r w:rsidRPr="002A253D">
              <w:t>Work clearance systems</w:t>
            </w:r>
          </w:p>
        </w:tc>
      </w:tr>
    </w:tbl>
    <w:p w:rsidR="00000000" w:rsidRPr="002A253D" w:rsidP="002A253D">
      <w:pPr>
        <w:pStyle w:val="BodyText"/>
      </w:pPr>
    </w:p>
    <w:p w:rsidR="00000000" w:rsidRPr="002A253D" w:rsidP="002A253D">
      <w:pPr>
        <w:pStyle w:val="AllowPageBreak"/>
      </w:pPr>
    </w:p>
    <w:p w:rsidR="00000000" w:rsidRPr="002A253D" w:rsidP="002A253D">
      <w:pPr>
        <w:pStyle w:val="Heading1"/>
      </w:pPr>
      <w:bookmarkStart w:id="12" w:name="O_632707"/>
      <w:bookmarkEnd w:id="12"/>
      <w:r w:rsidRPr="002A253D">
        <w:t>Unit Sector(s)</w:t>
      </w:r>
    </w:p>
    <w:p w:rsidR="00000000" w:rsidRPr="002A253D" w:rsidP="002A253D">
      <w:pPr>
        <w:pStyle w:val="BodyText"/>
      </w:pPr>
      <w:r w:rsidRPr="002A253D">
        <w:t>Not applicable.</w:t>
      </w:r>
    </w:p>
    <w:p w:rsidR="00000000" w:rsidRPr="002A253D" w:rsidP="002A253D">
      <w:pPr>
        <w:pStyle w:val="AllowPageBreak"/>
      </w:pPr>
    </w:p>
    <w:p w:rsidR="00000000" w:rsidRPr="002A253D" w:rsidP="002A253D">
      <w:pPr>
        <w:pStyle w:val="Heading1"/>
      </w:pPr>
      <w:bookmarkStart w:id="13" w:name="O_632706"/>
      <w:bookmarkEnd w:id="13"/>
      <w:r w:rsidRPr="002A253D">
        <w:t>Competency Field</w:t>
      </w:r>
    </w:p>
    <w:tbl>
      <w:tblPr>
        <w:tblW w:w="0" w:type="auto"/>
        <w:tblLayout w:type="fixed"/>
        <w:tblCellMar>
          <w:left w:w="62" w:type="dxa"/>
          <w:right w:w="62" w:type="dxa"/>
        </w:tblCellMar>
        <w:tblLook w:val="0000"/>
      </w:tblPr>
      <w:tblGrid>
        <w:gridCol w:w="2700"/>
        <w:gridCol w:w="5760"/>
      </w:tblGrid>
      <w:tr w:rsidTr="00C378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A253D">
            <w:pPr>
              <w:pStyle w:val="BodyText"/>
              <w:rPr>
                <w:lang w:val="en-NZ"/>
              </w:rPr>
            </w:pPr>
            <w:r w:rsidRPr="002A253D">
              <w:rPr>
                <w:rStyle w:val="SpecialBold"/>
              </w:rPr>
              <w:t xml:space="preserve">11) </w:t>
            </w:r>
          </w:p>
        </w:tc>
      </w:tr>
      <w:tr w:rsidTr="00C378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253D" w:rsidP="002A253D">
            <w:pPr>
              <w:pStyle w:val="BodyText"/>
            </w:pPr>
            <w:r w:rsidRPr="002A253D">
              <w:t>Refresher Training Unit.</w:t>
            </w:r>
          </w:p>
        </w:tc>
      </w:tr>
    </w:tbl>
    <w:p w:rsidR="00000000" w:rsidRPr="002A253D" w:rsidP="002A253D">
      <w:pPr>
        <w:pStyle w:val="BodyText"/>
      </w:pPr>
    </w:p>
    <w:p w:rsidR="00000000" w:rsidRPr="002A253D" w:rsidP="002A253D"/>
    <w:sectPr w:rsidSect="002A25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5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53D" w:rsidRPr="00C378A3" w:rsidP="00C378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5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8A3" w:rsidP="002A25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378A3" w:rsidP="002A253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C378A3" w:rsidP="002A25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5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53D" w:rsidRPr="00C378A3" w:rsidP="00C378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5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8A3" w:rsidRPr="002D2AF8" w:rsidP="002A253D">
    <w:pPr>
      <w:pStyle w:val="Header"/>
      <w:framePr w:wrap="around"/>
    </w:pPr>
    <w:r>
      <w:fldChar w:fldCharType="begin"/>
    </w:r>
    <w:r>
      <w:instrText xml:space="preserve"> TITLE   \* MERGEFORMAT </w:instrText>
    </w:r>
    <w:r>
      <w:fldChar w:fldCharType="separate"/>
    </w:r>
    <w:r>
      <w:t>UETTDRRF07B Perform cable pit/trench/excavation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C378A3" w:rsidP="002A25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2430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F88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4413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5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253D"/>
    <w:pPr>
      <w:spacing w:before="360" w:after="60"/>
      <w:outlineLvl w:val="0"/>
    </w:pPr>
    <w:rPr>
      <w:sz w:val="32"/>
    </w:rPr>
  </w:style>
  <w:style w:type="paragraph" w:styleId="Heading2">
    <w:name w:val="heading 2"/>
    <w:basedOn w:val="HeadingBase"/>
    <w:next w:val="BodyText"/>
    <w:link w:val="Heading2Char"/>
    <w:qFormat/>
    <w:rsid w:val="002A253D"/>
    <w:pPr>
      <w:keepLines/>
      <w:spacing w:before="240" w:after="120"/>
      <w:outlineLvl w:val="1"/>
    </w:pPr>
    <w:rPr>
      <w:sz w:val="28"/>
      <w:szCs w:val="40"/>
    </w:rPr>
  </w:style>
  <w:style w:type="paragraph" w:styleId="Heading3">
    <w:name w:val="heading 3"/>
    <w:basedOn w:val="HeadingBase"/>
    <w:next w:val="BodyText"/>
    <w:link w:val="Heading3Char"/>
    <w:qFormat/>
    <w:rsid w:val="002A253D"/>
    <w:pPr>
      <w:spacing w:before="180" w:after="120"/>
      <w:outlineLvl w:val="2"/>
    </w:pPr>
    <w:rPr>
      <w:spacing w:val="-10"/>
      <w:kern w:val="32"/>
    </w:rPr>
  </w:style>
  <w:style w:type="paragraph" w:styleId="Heading4">
    <w:name w:val="heading 4"/>
    <w:basedOn w:val="HeadingBase"/>
    <w:next w:val="BodyText"/>
    <w:link w:val="Heading4Char"/>
    <w:qFormat/>
    <w:rsid w:val="002A253D"/>
    <w:pPr>
      <w:spacing w:before="160" w:after="120"/>
      <w:outlineLvl w:val="3"/>
    </w:pPr>
    <w:rPr>
      <w:sz w:val="22"/>
    </w:rPr>
  </w:style>
  <w:style w:type="paragraph" w:styleId="Heading5">
    <w:name w:val="heading 5"/>
    <w:basedOn w:val="HeadingBase"/>
    <w:next w:val="Normal"/>
    <w:link w:val="Heading5Char"/>
    <w:qFormat/>
    <w:rsid w:val="002A253D"/>
    <w:pPr>
      <w:spacing w:before="80"/>
      <w:outlineLvl w:val="4"/>
    </w:pPr>
    <w:rPr>
      <w:color w:val="918585"/>
      <w:sz w:val="20"/>
    </w:rPr>
  </w:style>
  <w:style w:type="paragraph" w:styleId="Heading6">
    <w:name w:val="heading 6"/>
    <w:basedOn w:val="HeadingBase"/>
    <w:next w:val="Normal"/>
    <w:link w:val="Heading6Char"/>
    <w:qFormat/>
    <w:rsid w:val="002A253D"/>
    <w:pPr>
      <w:spacing w:before="60"/>
      <w:outlineLvl w:val="5"/>
    </w:pPr>
    <w:rPr>
      <w:color w:val="918585"/>
      <w:sz w:val="20"/>
    </w:rPr>
  </w:style>
  <w:style w:type="paragraph" w:styleId="Heading7">
    <w:name w:val="heading 7"/>
    <w:basedOn w:val="Normal"/>
    <w:next w:val="Normal"/>
    <w:link w:val="Heading7Char"/>
    <w:qFormat/>
    <w:rsid w:val="002A253D"/>
    <w:pPr>
      <w:ind w:left="720"/>
      <w:outlineLvl w:val="6"/>
    </w:pPr>
    <w:rPr>
      <w:i/>
    </w:rPr>
  </w:style>
  <w:style w:type="paragraph" w:styleId="Heading8">
    <w:name w:val="heading 8"/>
    <w:basedOn w:val="Normal"/>
    <w:next w:val="Normal"/>
    <w:link w:val="Heading8Char"/>
    <w:qFormat/>
    <w:rsid w:val="002A253D"/>
    <w:pPr>
      <w:ind w:left="720"/>
      <w:outlineLvl w:val="7"/>
    </w:pPr>
    <w:rPr>
      <w:i/>
    </w:rPr>
  </w:style>
  <w:style w:type="paragraph" w:styleId="Heading9">
    <w:name w:val="heading 9"/>
    <w:basedOn w:val="Normal"/>
    <w:next w:val="Normal"/>
    <w:link w:val="Heading9Char"/>
    <w:qFormat/>
    <w:rsid w:val="002A253D"/>
    <w:pPr>
      <w:ind w:left="720"/>
      <w:outlineLvl w:val="8"/>
    </w:pPr>
    <w:rPr>
      <w:i/>
    </w:rPr>
  </w:style>
  <w:style w:type="character" w:default="1" w:styleId="DefaultParagraphFont">
    <w:name w:val="Default Paragraph Font"/>
    <w:uiPriority w:val="1"/>
    <w:unhideWhenUsed/>
    <w:rsid w:val="002A25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53D"/>
  </w:style>
  <w:style w:type="character" w:customStyle="1" w:styleId="Heading1Char">
    <w:name w:val="Heading 1 Char"/>
    <w:basedOn w:val="DefaultParagraphFont"/>
    <w:link w:val="Heading1"/>
    <w:rsid w:val="002A253D"/>
    <w:rPr>
      <w:rFonts w:ascii="Times New Roman" w:eastAsia="Times New Roman" w:hAnsi="Times New Roman" w:cs="Times New Roman"/>
      <w:b/>
      <w:sz w:val="32"/>
      <w:szCs w:val="20"/>
      <w:lang w:eastAsia="en-US"/>
    </w:rPr>
  </w:style>
  <w:style w:type="paragraph" w:styleId="BodyText">
    <w:name w:val="Body Text"/>
    <w:basedOn w:val="Normal"/>
    <w:link w:val="BodyTextChar"/>
    <w:rsid w:val="002A25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253D"/>
    <w:rPr>
      <w:rFonts w:ascii="Times New Roman" w:eastAsia="Times New Roman" w:hAnsi="Times New Roman" w:cs="Times New Roman"/>
      <w:sz w:val="24"/>
      <w:lang w:eastAsia="en-US"/>
    </w:rPr>
  </w:style>
  <w:style w:type="paragraph" w:styleId="ListBullet">
    <w:name w:val="List Bullet"/>
    <w:basedOn w:val="List"/>
    <w:rsid w:val="002A253D"/>
    <w:pPr>
      <w:numPr>
        <w:numId w:val="14"/>
      </w:numPr>
      <w:tabs>
        <w:tab w:val="clear" w:pos="340"/>
      </w:tabs>
      <w:spacing w:before="40" w:after="40"/>
    </w:pPr>
  </w:style>
  <w:style w:type="character" w:customStyle="1" w:styleId="SpecialBold">
    <w:name w:val="Special Bold"/>
    <w:basedOn w:val="DefaultParagraphFont"/>
    <w:rsid w:val="002A253D"/>
    <w:rPr>
      <w:b/>
      <w:spacing w:val="0"/>
    </w:rPr>
  </w:style>
  <w:style w:type="paragraph" w:styleId="ListBullet2">
    <w:name w:val="List Bullet 2"/>
    <w:basedOn w:val="List2"/>
    <w:rsid w:val="002A253D"/>
    <w:pPr>
      <w:numPr>
        <w:numId w:val="15"/>
      </w:numPr>
      <w:tabs>
        <w:tab w:val="clear" w:pos="680"/>
      </w:tabs>
    </w:pPr>
  </w:style>
  <w:style w:type="paragraph" w:customStyle="1" w:styleId="SuperHeading">
    <w:name w:val="SuperHeading"/>
    <w:basedOn w:val="Normal"/>
    <w:rsid w:val="002A253D"/>
    <w:pPr>
      <w:spacing w:before="240" w:after="120"/>
      <w:outlineLvl w:val="0"/>
    </w:pPr>
    <w:rPr>
      <w:rFonts w:ascii="Times New Roman" w:hAnsi="Times New Roman"/>
      <w:b/>
      <w:sz w:val="32"/>
    </w:rPr>
  </w:style>
  <w:style w:type="paragraph" w:customStyle="1" w:styleId="AllowPageBreak">
    <w:name w:val="AllowPageBreak"/>
    <w:rsid w:val="002A25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253D"/>
    <w:pPr>
      <w:numPr>
        <w:numId w:val="3"/>
      </w:numPr>
      <w:tabs>
        <w:tab w:val="clear" w:pos="1021"/>
      </w:tabs>
      <w:ind w:left="1037" w:hanging="357"/>
    </w:pPr>
  </w:style>
  <w:style w:type="character" w:customStyle="1" w:styleId="Heading2Char">
    <w:name w:val="Heading 2 Char"/>
    <w:basedOn w:val="DefaultParagraphFont"/>
    <w:link w:val="Heading2"/>
    <w:rsid w:val="002A25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5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5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5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5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5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25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253D"/>
    <w:rPr>
      <w:rFonts w:ascii="Courier New" w:eastAsia="Times New Roman" w:hAnsi="Courier New" w:cs="Times New Roman"/>
      <w:i/>
      <w:szCs w:val="20"/>
      <w:lang w:eastAsia="en-US"/>
    </w:rPr>
  </w:style>
  <w:style w:type="paragraph" w:customStyle="1" w:styleId="HeadingBase">
    <w:name w:val="Heading Base"/>
    <w:rsid w:val="002A25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53D"/>
    <w:pPr>
      <w:tabs>
        <w:tab w:val="right" w:leader="dot" w:pos="9072"/>
      </w:tabs>
      <w:ind w:left="567"/>
    </w:pPr>
    <w:rPr>
      <w:szCs w:val="22"/>
    </w:rPr>
  </w:style>
  <w:style w:type="paragraph" w:customStyle="1" w:styleId="TOCBase">
    <w:name w:val="TOC Base"/>
    <w:rsid w:val="002A25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53D"/>
    <w:pPr>
      <w:tabs>
        <w:tab w:val="right" w:leader="dot" w:pos="9072"/>
      </w:tabs>
      <w:spacing w:before="40" w:after="40"/>
      <w:ind w:left="284"/>
    </w:pPr>
    <w:rPr>
      <w:rFonts w:ascii="Times New Roman" w:hAnsi="Times New Roman"/>
    </w:rPr>
  </w:style>
  <w:style w:type="paragraph" w:styleId="TOC1">
    <w:name w:val="toc 1"/>
    <w:basedOn w:val="TOCBase"/>
    <w:next w:val="Normal"/>
    <w:rsid w:val="002A25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25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53D"/>
    <w:rPr>
      <w:rFonts w:ascii="Times New Roman" w:eastAsia="Times New Roman" w:hAnsi="Times New Roman" w:cs="Times New Roman"/>
      <w:sz w:val="16"/>
      <w:lang w:eastAsia="en-US"/>
    </w:rPr>
  </w:style>
  <w:style w:type="paragraph" w:styleId="Title">
    <w:name w:val="Title"/>
    <w:basedOn w:val="HeadingBase"/>
    <w:link w:val="TitleChar"/>
    <w:qFormat/>
    <w:rsid w:val="002A253D"/>
    <w:pPr>
      <w:spacing w:before="5040"/>
      <w:jc w:val="center"/>
    </w:pPr>
    <w:rPr>
      <w:sz w:val="48"/>
      <w:szCs w:val="72"/>
      <w:lang w:val="en-US"/>
    </w:rPr>
  </w:style>
  <w:style w:type="character" w:customStyle="1" w:styleId="TitleChar">
    <w:name w:val="Title Char"/>
    <w:basedOn w:val="DefaultParagraphFont"/>
    <w:link w:val="Title"/>
    <w:rsid w:val="002A25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53D"/>
    <w:pPr>
      <w:tabs>
        <w:tab w:val="left" w:pos="3600"/>
        <w:tab w:val="left" w:pos="3958"/>
      </w:tabs>
    </w:pPr>
  </w:style>
  <w:style w:type="paragraph" w:styleId="List">
    <w:name w:val="List"/>
    <w:basedOn w:val="BodyText"/>
    <w:next w:val="BodyText"/>
    <w:rsid w:val="002A253D"/>
    <w:pPr>
      <w:tabs>
        <w:tab w:val="left" w:pos="340"/>
      </w:tabs>
      <w:spacing w:before="60" w:after="60"/>
      <w:ind w:left="340" w:hanging="340"/>
    </w:pPr>
  </w:style>
  <w:style w:type="paragraph" w:customStyle="1" w:styleId="Note">
    <w:name w:val="Note"/>
    <w:basedOn w:val="BodyText"/>
    <w:rsid w:val="002A25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53D"/>
    <w:pPr>
      <w:framePr w:wrap="auto" w:hAnchor="text" w:y="6049"/>
    </w:pPr>
    <w:rPr>
      <w:color w:val="000000"/>
      <w:sz w:val="40"/>
    </w:rPr>
  </w:style>
  <w:style w:type="paragraph" w:customStyle="1" w:styleId="TOCTitle">
    <w:name w:val="TOCTitle"/>
    <w:basedOn w:val="Heading1"/>
    <w:rsid w:val="002A253D"/>
    <w:pPr>
      <w:spacing w:after="240"/>
      <w:jc w:val="center"/>
      <w:outlineLvl w:val="9"/>
    </w:pPr>
    <w:rPr>
      <w:caps/>
    </w:rPr>
  </w:style>
  <w:style w:type="paragraph" w:customStyle="1" w:styleId="Version">
    <w:name w:val="Version"/>
    <w:rsid w:val="002A25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253D"/>
    <w:pPr>
      <w:keepNext w:val="0"/>
      <w:tabs>
        <w:tab w:val="right" w:pos="4176"/>
      </w:tabs>
      <w:ind w:left="198" w:hanging="198"/>
    </w:pPr>
    <w:rPr>
      <w:rFonts w:ascii="Garamond" w:hAnsi="Garamond"/>
    </w:rPr>
  </w:style>
  <w:style w:type="paragraph" w:styleId="IndexHeading">
    <w:name w:val="index heading"/>
    <w:basedOn w:val="Normal"/>
    <w:next w:val="Index1"/>
    <w:semiHidden/>
    <w:rsid w:val="002A253D"/>
    <w:pPr>
      <w:spacing w:before="120" w:after="120"/>
    </w:pPr>
    <w:rPr>
      <w:rFonts w:ascii="Arial" w:hAnsi="Arial"/>
      <w:b/>
      <w:color w:val="918585"/>
      <w:sz w:val="24"/>
    </w:rPr>
  </w:style>
  <w:style w:type="paragraph" w:styleId="Header">
    <w:name w:val="header"/>
    <w:basedOn w:val="Normal"/>
    <w:link w:val="HeaderChar"/>
    <w:rsid w:val="002A25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53D"/>
    <w:rPr>
      <w:rFonts w:ascii="Times New Roman" w:eastAsia="Times New Roman" w:hAnsi="Times New Roman" w:cs="Times New Roman"/>
      <w:sz w:val="16"/>
      <w:szCs w:val="20"/>
      <w:lang w:val="en-GB" w:eastAsia="en-US"/>
    </w:rPr>
  </w:style>
  <w:style w:type="paragraph" w:customStyle="1" w:styleId="Chapter">
    <w:name w:val="Chapter"/>
    <w:basedOn w:val="Normal"/>
    <w:rsid w:val="002A253D"/>
    <w:pPr>
      <w:spacing w:before="240"/>
    </w:pPr>
    <w:rPr>
      <w:rFonts w:ascii="Times New Roman" w:hAnsi="Times New Roman"/>
      <w:smallCaps/>
      <w:spacing w:val="80"/>
      <w:sz w:val="28"/>
    </w:rPr>
  </w:style>
  <w:style w:type="paragraph" w:customStyle="1" w:styleId="InChapter">
    <w:name w:val="InChapter"/>
    <w:basedOn w:val="Heading3"/>
    <w:rsid w:val="002A253D"/>
    <w:pPr>
      <w:spacing w:after="240"/>
      <w:outlineLvl w:val="9"/>
    </w:pPr>
    <w:rPr>
      <w:noProof/>
    </w:rPr>
  </w:style>
  <w:style w:type="paragraph" w:styleId="Index2">
    <w:name w:val="index 2"/>
    <w:basedOn w:val="Normal"/>
    <w:next w:val="Normal"/>
    <w:semiHidden/>
    <w:rsid w:val="002A253D"/>
    <w:pPr>
      <w:tabs>
        <w:tab w:val="right" w:pos="4176"/>
      </w:tabs>
      <w:ind w:left="568" w:hanging="284"/>
    </w:pPr>
    <w:rPr>
      <w:rFonts w:ascii="Garamond" w:hAnsi="Garamond"/>
    </w:rPr>
  </w:style>
  <w:style w:type="paragraph" w:customStyle="1" w:styleId="Byline">
    <w:name w:val="Byline"/>
    <w:rsid w:val="002A25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53D"/>
    <w:pPr>
      <w:tabs>
        <w:tab w:val="clear" w:pos="3600"/>
        <w:tab w:val="clear" w:pos="3958"/>
      </w:tabs>
      <w:jc w:val="right"/>
    </w:pPr>
  </w:style>
  <w:style w:type="character" w:styleId="Emphasis">
    <w:name w:val="Emphasis"/>
    <w:basedOn w:val="DefaultParagraphFont"/>
    <w:qFormat/>
    <w:rsid w:val="002A253D"/>
    <w:rPr>
      <w:i/>
    </w:rPr>
  </w:style>
  <w:style w:type="paragraph" w:styleId="Caption">
    <w:name w:val="caption"/>
    <w:basedOn w:val="BodyText"/>
    <w:next w:val="Normal"/>
    <w:qFormat/>
    <w:rsid w:val="002A253D"/>
    <w:pPr>
      <w:framePr w:w="2268" w:hSpace="181" w:vSpace="181" w:wrap="around" w:vAnchor="text" w:hAnchor="page" w:x="1135" w:y="285" w:anchorLock="1"/>
    </w:pPr>
    <w:rPr>
      <w:i/>
    </w:rPr>
  </w:style>
  <w:style w:type="paragraph" w:customStyle="1" w:styleId="MiniTOCTitle">
    <w:name w:val="MiniTOCTitle"/>
    <w:basedOn w:val="Heading4"/>
    <w:rsid w:val="002A253D"/>
    <w:pPr>
      <w:spacing w:before="240"/>
      <w:outlineLvl w:val="9"/>
    </w:pPr>
    <w:rPr>
      <w:noProof/>
      <w:sz w:val="24"/>
    </w:rPr>
  </w:style>
  <w:style w:type="paragraph" w:customStyle="1" w:styleId="MiniTOCItem">
    <w:name w:val="MiniTOCItem"/>
    <w:basedOn w:val="ListBullet"/>
    <w:rsid w:val="002A253D"/>
    <w:pPr>
      <w:numPr>
        <w:numId w:val="0"/>
      </w:numPr>
      <w:tabs>
        <w:tab w:val="right" w:leader="dot" w:pos="6521"/>
      </w:tabs>
      <w:spacing w:before="0" w:after="0"/>
    </w:pPr>
  </w:style>
  <w:style w:type="paragraph" w:customStyle="1" w:styleId="TOFTitle">
    <w:name w:val="TOFTitle"/>
    <w:basedOn w:val="TOCTitle"/>
    <w:rsid w:val="002A253D"/>
  </w:style>
  <w:style w:type="paragraph" w:styleId="TableofFigures">
    <w:name w:val="table of figures"/>
    <w:basedOn w:val="Normal"/>
    <w:next w:val="Normal"/>
    <w:semiHidden/>
    <w:rsid w:val="002A253D"/>
    <w:pPr>
      <w:tabs>
        <w:tab w:val="right" w:leader="dot" w:pos="9072"/>
      </w:tabs>
      <w:ind w:left="970" w:hanging="403"/>
    </w:pPr>
    <w:rPr>
      <w:rFonts w:ascii="Times New Roman" w:hAnsi="Times New Roman"/>
      <w:b/>
    </w:rPr>
  </w:style>
  <w:style w:type="paragraph" w:styleId="ListNumber">
    <w:name w:val="List Number"/>
    <w:basedOn w:val="List"/>
    <w:rsid w:val="002A253D"/>
    <w:pPr>
      <w:numPr>
        <w:numId w:val="12"/>
      </w:numPr>
    </w:pPr>
  </w:style>
  <w:style w:type="character" w:customStyle="1" w:styleId="WingdingSymbols">
    <w:name w:val="Wingding Symbols"/>
    <w:rsid w:val="002A253D"/>
    <w:rPr>
      <w:rFonts w:ascii="Wingdings" w:hAnsi="Wingdings"/>
    </w:rPr>
  </w:style>
  <w:style w:type="paragraph" w:customStyle="1" w:styleId="TableHeading">
    <w:name w:val="Table Heading"/>
    <w:basedOn w:val="HeadingBase"/>
    <w:rsid w:val="002A253D"/>
    <w:pPr>
      <w:keepLines/>
      <w:pBdr>
        <w:bottom w:val="single" w:sz="6" w:space="1" w:color="918585"/>
      </w:pBdr>
      <w:spacing w:before="240"/>
    </w:pPr>
  </w:style>
  <w:style w:type="character" w:customStyle="1" w:styleId="HotSpot">
    <w:name w:val="HotSpot"/>
    <w:rsid w:val="002A253D"/>
    <w:rPr>
      <w:color w:val="0033CC"/>
      <w:u w:val="none"/>
    </w:rPr>
  </w:style>
  <w:style w:type="paragraph" w:customStyle="1" w:styleId="BodyTextRight">
    <w:name w:val="Body Text Right"/>
    <w:basedOn w:val="BodyText"/>
    <w:rsid w:val="002A253D"/>
    <w:pPr>
      <w:spacing w:before="0" w:after="0"/>
      <w:jc w:val="right"/>
    </w:pPr>
  </w:style>
  <w:style w:type="paragraph" w:styleId="Index3">
    <w:name w:val="index 3"/>
    <w:basedOn w:val="ListNumber2"/>
    <w:next w:val="Normal"/>
    <w:semiHidden/>
    <w:rsid w:val="002A253D"/>
    <w:pPr>
      <w:numPr>
        <w:numId w:val="0"/>
      </w:numPr>
      <w:tabs>
        <w:tab w:val="right" w:leader="dot" w:pos="4176"/>
      </w:tabs>
    </w:pPr>
  </w:style>
  <w:style w:type="paragraph" w:styleId="ListNumber2">
    <w:name w:val="List Number 2"/>
    <w:basedOn w:val="List2"/>
    <w:rsid w:val="002A253D"/>
    <w:pPr>
      <w:numPr>
        <w:numId w:val="11"/>
      </w:numPr>
      <w:tabs>
        <w:tab w:val="clear" w:pos="1060"/>
      </w:tabs>
    </w:pPr>
  </w:style>
  <w:style w:type="paragraph" w:customStyle="1" w:styleId="MarginNote">
    <w:name w:val="Margin Note"/>
    <w:basedOn w:val="BodyText"/>
    <w:rsid w:val="002A25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5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5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253D"/>
    <w:rPr>
      <w:sz w:val="32"/>
    </w:rPr>
  </w:style>
  <w:style w:type="paragraph" w:customStyle="1" w:styleId="HeadingProcedure">
    <w:name w:val="Heading Procedure"/>
    <w:basedOn w:val="HeadingBase"/>
    <w:next w:val="Normal"/>
    <w:rsid w:val="002A253D"/>
    <w:pPr>
      <w:tabs>
        <w:tab w:val="left" w:pos="0"/>
      </w:tabs>
      <w:spacing w:before="120" w:after="60"/>
    </w:pPr>
    <w:rPr>
      <w:i/>
      <w:color w:val="918585"/>
      <w:sz w:val="22"/>
    </w:rPr>
  </w:style>
  <w:style w:type="paragraph" w:customStyle="1" w:styleId="TableBodyText">
    <w:name w:val="Table Body Text"/>
    <w:basedOn w:val="BodyText"/>
    <w:rsid w:val="002A253D"/>
    <w:pPr>
      <w:spacing w:before="60" w:after="60"/>
    </w:pPr>
  </w:style>
  <w:style w:type="paragraph" w:styleId="ListContinue">
    <w:name w:val="List Continue"/>
    <w:basedOn w:val="List"/>
    <w:rsid w:val="002A253D"/>
    <w:pPr>
      <w:ind w:firstLine="0"/>
    </w:pPr>
  </w:style>
  <w:style w:type="paragraph" w:customStyle="1" w:styleId="ListNote">
    <w:name w:val="List Note"/>
    <w:basedOn w:val="List"/>
    <w:rsid w:val="002A253D"/>
    <w:pPr>
      <w:pBdr>
        <w:top w:val="single" w:sz="6" w:space="2" w:color="918585"/>
        <w:bottom w:val="single" w:sz="6" w:space="2" w:color="918585"/>
      </w:pBdr>
      <w:tabs>
        <w:tab w:val="left" w:pos="1021"/>
      </w:tabs>
      <w:ind w:firstLine="0"/>
    </w:pPr>
  </w:style>
  <w:style w:type="paragraph" w:customStyle="1" w:styleId="Warning">
    <w:name w:val="Warning"/>
    <w:basedOn w:val="BodyText"/>
    <w:rsid w:val="002A253D"/>
    <w:pPr>
      <w:shd w:val="clear" w:color="auto" w:fill="D9D9D9"/>
      <w:tabs>
        <w:tab w:val="left" w:pos="992"/>
      </w:tabs>
      <w:ind w:left="119" w:right="119"/>
    </w:pPr>
    <w:rPr>
      <w:sz w:val="20"/>
    </w:rPr>
  </w:style>
  <w:style w:type="paragraph" w:customStyle="1" w:styleId="MarginIcons">
    <w:name w:val="Margin Icons"/>
    <w:basedOn w:val="BodyText"/>
    <w:rsid w:val="002A25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53D"/>
    <w:rPr>
      <w:rFonts w:ascii="Courier New" w:hAnsi="Courier New"/>
    </w:rPr>
  </w:style>
  <w:style w:type="paragraph" w:customStyle="1" w:styleId="NoteBullet">
    <w:name w:val="Note Bullet"/>
    <w:basedOn w:val="Note"/>
    <w:rsid w:val="002A253D"/>
    <w:pPr>
      <w:tabs>
        <w:tab w:val="clear" w:pos="680"/>
      </w:tabs>
      <w:spacing w:before="60" w:after="60"/>
    </w:pPr>
  </w:style>
  <w:style w:type="paragraph" w:customStyle="1" w:styleId="SubHeading2">
    <w:name w:val="SubHeading2"/>
    <w:basedOn w:val="HeadingBase"/>
    <w:rsid w:val="002A253D"/>
    <w:pPr>
      <w:spacing w:before="240" w:after="60"/>
    </w:pPr>
    <w:rPr>
      <w:sz w:val="20"/>
    </w:rPr>
  </w:style>
  <w:style w:type="paragraph" w:customStyle="1" w:styleId="SubHeading1">
    <w:name w:val="SubHeading1"/>
    <w:basedOn w:val="HeadingBase"/>
    <w:rsid w:val="002A253D"/>
    <w:pPr>
      <w:spacing w:before="240" w:after="60"/>
    </w:pPr>
    <w:rPr>
      <w:color w:val="918585"/>
      <w:sz w:val="22"/>
    </w:rPr>
  </w:style>
  <w:style w:type="paragraph" w:customStyle="1" w:styleId="SideHeading">
    <w:name w:val="Side Heading"/>
    <w:basedOn w:val="HeadingBase"/>
    <w:rsid w:val="002A25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53D"/>
    <w:pPr>
      <w:numPr>
        <w:numId w:val="13"/>
      </w:numPr>
    </w:pPr>
  </w:style>
  <w:style w:type="paragraph" w:styleId="PlainText">
    <w:name w:val="Plain Text"/>
    <w:basedOn w:val="Normal"/>
    <w:link w:val="PlainTextChar"/>
    <w:rsid w:val="002A253D"/>
    <w:rPr>
      <w:sz w:val="20"/>
    </w:rPr>
  </w:style>
  <w:style w:type="character" w:customStyle="1" w:styleId="PlainTextChar">
    <w:name w:val="Plain Text Char"/>
    <w:basedOn w:val="DefaultParagraphFont"/>
    <w:link w:val="PlainText"/>
    <w:rsid w:val="002A253D"/>
    <w:rPr>
      <w:rFonts w:ascii="Courier New" w:eastAsia="Times New Roman" w:hAnsi="Courier New" w:cs="Times New Roman"/>
      <w:sz w:val="20"/>
      <w:szCs w:val="20"/>
      <w:lang w:eastAsia="en-US"/>
    </w:rPr>
  </w:style>
  <w:style w:type="character" w:customStyle="1" w:styleId="MenuOption">
    <w:name w:val="Menu Option"/>
    <w:basedOn w:val="DefaultParagraphFont"/>
    <w:rsid w:val="002A253D"/>
    <w:rPr>
      <w:b/>
      <w:smallCaps/>
    </w:rPr>
  </w:style>
  <w:style w:type="paragraph" w:customStyle="1" w:styleId="TableListNumber">
    <w:name w:val="Table List Number"/>
    <w:basedOn w:val="ListNumber"/>
    <w:rsid w:val="002A253D"/>
    <w:pPr>
      <w:numPr>
        <w:numId w:val="0"/>
      </w:numPr>
    </w:pPr>
  </w:style>
  <w:style w:type="paragraph" w:styleId="TOC4">
    <w:name w:val="toc 4"/>
    <w:basedOn w:val="TOCBase"/>
    <w:next w:val="Normal"/>
    <w:semiHidden/>
    <w:rsid w:val="002A253D"/>
    <w:pPr>
      <w:tabs>
        <w:tab w:val="right" w:leader="dot" w:pos="9071"/>
      </w:tabs>
      <w:ind w:left="1701"/>
    </w:pPr>
  </w:style>
  <w:style w:type="paragraph" w:customStyle="1" w:styleId="ListAlpha">
    <w:name w:val="List Alpha"/>
    <w:basedOn w:val="List"/>
    <w:rsid w:val="002A253D"/>
    <w:pPr>
      <w:numPr>
        <w:numId w:val="10"/>
      </w:numPr>
    </w:pPr>
  </w:style>
  <w:style w:type="paragraph" w:customStyle="1" w:styleId="ListAlpha2">
    <w:name w:val="List Alpha 2"/>
    <w:basedOn w:val="List2"/>
    <w:rsid w:val="002A253D"/>
    <w:pPr>
      <w:numPr>
        <w:numId w:val="9"/>
      </w:numPr>
    </w:pPr>
  </w:style>
  <w:style w:type="paragraph" w:styleId="List2">
    <w:name w:val="List 2"/>
    <w:basedOn w:val="BodyText"/>
    <w:rsid w:val="002A253D"/>
    <w:pPr>
      <w:tabs>
        <w:tab w:val="left" w:pos="680"/>
      </w:tabs>
      <w:spacing w:before="60" w:after="60"/>
      <w:ind w:left="680" w:hanging="340"/>
    </w:pPr>
  </w:style>
  <w:style w:type="paragraph" w:styleId="List3">
    <w:name w:val="List 3"/>
    <w:basedOn w:val="BodyText"/>
    <w:rsid w:val="002A253D"/>
    <w:pPr>
      <w:tabs>
        <w:tab w:val="left" w:pos="1021"/>
      </w:tabs>
      <w:spacing w:before="60" w:after="60"/>
      <w:ind w:left="1020" w:hanging="340"/>
    </w:pPr>
  </w:style>
  <w:style w:type="paragraph" w:styleId="List4">
    <w:name w:val="List 4"/>
    <w:basedOn w:val="BodyText"/>
    <w:rsid w:val="002A253D"/>
    <w:pPr>
      <w:tabs>
        <w:tab w:val="left" w:pos="1361"/>
      </w:tabs>
      <w:spacing w:before="60" w:after="60"/>
      <w:ind w:left="1361" w:hanging="340"/>
    </w:pPr>
  </w:style>
  <w:style w:type="paragraph" w:styleId="List5">
    <w:name w:val="List 5"/>
    <w:basedOn w:val="BodyText"/>
    <w:rsid w:val="002A253D"/>
    <w:pPr>
      <w:tabs>
        <w:tab w:val="left" w:pos="1701"/>
      </w:tabs>
      <w:spacing w:before="60" w:after="60"/>
      <w:ind w:left="1701" w:hanging="340"/>
    </w:pPr>
  </w:style>
  <w:style w:type="paragraph" w:styleId="ListBullet4">
    <w:name w:val="List Bullet 4"/>
    <w:basedOn w:val="List4"/>
    <w:rsid w:val="002A253D"/>
    <w:pPr>
      <w:numPr>
        <w:numId w:val="4"/>
      </w:numPr>
    </w:pPr>
  </w:style>
  <w:style w:type="paragraph" w:styleId="ListBullet5">
    <w:name w:val="List Bullet 5"/>
    <w:basedOn w:val="List5"/>
    <w:rsid w:val="002A253D"/>
    <w:pPr>
      <w:numPr>
        <w:numId w:val="5"/>
      </w:numPr>
    </w:pPr>
  </w:style>
  <w:style w:type="paragraph" w:styleId="ListContinue2">
    <w:name w:val="List Continue 2"/>
    <w:basedOn w:val="List2"/>
    <w:rsid w:val="002A253D"/>
    <w:pPr>
      <w:ind w:firstLine="0"/>
    </w:pPr>
  </w:style>
  <w:style w:type="paragraph" w:styleId="ListContinue3">
    <w:name w:val="List Continue 3"/>
    <w:basedOn w:val="List3"/>
    <w:rsid w:val="002A253D"/>
    <w:pPr>
      <w:ind w:left="1021" w:firstLine="0"/>
    </w:pPr>
  </w:style>
  <w:style w:type="paragraph" w:styleId="ListContinue4">
    <w:name w:val="List Continue 4"/>
    <w:basedOn w:val="List4"/>
    <w:rsid w:val="002A253D"/>
    <w:pPr>
      <w:ind w:firstLine="0"/>
    </w:pPr>
  </w:style>
  <w:style w:type="paragraph" w:styleId="ListContinue5">
    <w:name w:val="List Continue 5"/>
    <w:basedOn w:val="List5"/>
    <w:rsid w:val="002A253D"/>
    <w:pPr>
      <w:ind w:firstLine="0"/>
    </w:pPr>
  </w:style>
  <w:style w:type="paragraph" w:styleId="ListNumber3">
    <w:name w:val="List Number 3"/>
    <w:basedOn w:val="List3"/>
    <w:rsid w:val="002A253D"/>
    <w:pPr>
      <w:numPr>
        <w:numId w:val="6"/>
      </w:numPr>
    </w:pPr>
  </w:style>
  <w:style w:type="paragraph" w:styleId="ListNumber4">
    <w:name w:val="List Number 4"/>
    <w:basedOn w:val="List4"/>
    <w:rsid w:val="002A253D"/>
    <w:pPr>
      <w:numPr>
        <w:numId w:val="7"/>
      </w:numPr>
    </w:pPr>
  </w:style>
  <w:style w:type="paragraph" w:styleId="ListNumber5">
    <w:name w:val="List Number 5"/>
    <w:basedOn w:val="List5"/>
    <w:rsid w:val="002A253D"/>
    <w:pPr>
      <w:numPr>
        <w:numId w:val="8"/>
      </w:numPr>
    </w:pPr>
  </w:style>
  <w:style w:type="paragraph" w:styleId="BlockText">
    <w:name w:val="Block Text"/>
    <w:basedOn w:val="Normal"/>
    <w:rsid w:val="002A253D"/>
    <w:pPr>
      <w:spacing w:after="120"/>
      <w:ind w:left="1440" w:right="1440"/>
    </w:pPr>
  </w:style>
  <w:style w:type="character" w:customStyle="1" w:styleId="Subscript">
    <w:name w:val="Subscript"/>
    <w:basedOn w:val="DefaultParagraphFont"/>
    <w:rsid w:val="002A253D"/>
    <w:rPr>
      <w:sz w:val="16"/>
      <w:vertAlign w:val="subscript"/>
    </w:rPr>
  </w:style>
  <w:style w:type="character" w:customStyle="1" w:styleId="Superscript">
    <w:name w:val="Superscript"/>
    <w:basedOn w:val="DefaultParagraphFont"/>
    <w:rsid w:val="002A253D"/>
    <w:rPr>
      <w:sz w:val="16"/>
      <w:vertAlign w:val="superscript"/>
    </w:rPr>
  </w:style>
  <w:style w:type="character" w:customStyle="1" w:styleId="Symbols">
    <w:name w:val="Symbols"/>
    <w:basedOn w:val="DefaultParagraphFont"/>
    <w:rsid w:val="002A253D"/>
    <w:rPr>
      <w:rFonts w:ascii="Symbol" w:hAnsi="Symbol"/>
    </w:rPr>
  </w:style>
  <w:style w:type="character" w:customStyle="1" w:styleId="MenuOptions">
    <w:name w:val="Menu Options"/>
    <w:basedOn w:val="DefaultParagraphFont"/>
    <w:rsid w:val="002A253D"/>
    <w:rPr>
      <w:rFonts w:ascii="Arial Narrow" w:hAnsi="Arial Narrow"/>
      <w:smallCaps/>
    </w:rPr>
  </w:style>
  <w:style w:type="character" w:customStyle="1" w:styleId="Buttons">
    <w:name w:val="Buttons"/>
    <w:basedOn w:val="DefaultParagraphFont"/>
    <w:rsid w:val="002A253D"/>
    <w:rPr>
      <w:b/>
    </w:rPr>
  </w:style>
  <w:style w:type="character" w:customStyle="1" w:styleId="Underlined">
    <w:name w:val="Underlined"/>
    <w:basedOn w:val="DefaultParagraphFont"/>
    <w:rsid w:val="002A253D"/>
    <w:rPr>
      <w:u w:val="single"/>
    </w:rPr>
  </w:style>
  <w:style w:type="paragraph" w:customStyle="1" w:styleId="TableBodyTextRight">
    <w:name w:val="Table Body Text Right"/>
    <w:basedOn w:val="TableBodyText"/>
    <w:rsid w:val="002A253D"/>
    <w:pPr>
      <w:widowControl w:val="0"/>
      <w:autoSpaceDE w:val="0"/>
      <w:autoSpaceDN w:val="0"/>
      <w:adjustRightInd w:val="0"/>
      <w:jc w:val="right"/>
    </w:pPr>
    <w:rPr>
      <w:rFonts w:cs="Arial"/>
      <w:szCs w:val="18"/>
    </w:rPr>
  </w:style>
  <w:style w:type="paragraph" w:customStyle="1" w:styleId="CopyrightText">
    <w:name w:val="Copyright Text"/>
    <w:basedOn w:val="BodyText"/>
    <w:rsid w:val="002A253D"/>
    <w:rPr>
      <w:sz w:val="18"/>
    </w:rPr>
  </w:style>
  <w:style w:type="paragraph" w:customStyle="1" w:styleId="BodySmallRight">
    <w:name w:val="Body Small Right"/>
    <w:basedOn w:val="BodyTextRight"/>
    <w:rsid w:val="002A253D"/>
    <w:rPr>
      <w:sz w:val="18"/>
      <w:szCs w:val="18"/>
    </w:rPr>
  </w:style>
  <w:style w:type="paragraph" w:customStyle="1" w:styleId="MarginEdition">
    <w:name w:val="Margin Edition"/>
    <w:basedOn w:val="MarginNote"/>
    <w:rsid w:val="002A253D"/>
    <w:pPr>
      <w:spacing w:before="0" w:after="0"/>
    </w:pPr>
    <w:rPr>
      <w:rFonts w:ascii="Times New Roman" w:hAnsi="Times New Roman"/>
      <w:color w:val="999999"/>
    </w:rPr>
  </w:style>
  <w:style w:type="paragraph" w:customStyle="1" w:styleId="Spacer">
    <w:name w:val="Spacer"/>
    <w:basedOn w:val="Normal"/>
    <w:rsid w:val="002A253D"/>
    <w:rPr>
      <w:sz w:val="2"/>
      <w:szCs w:val="2"/>
    </w:rPr>
  </w:style>
  <w:style w:type="character" w:customStyle="1" w:styleId="Small">
    <w:name w:val="Small"/>
    <w:basedOn w:val="DefaultParagraphFont"/>
    <w:rsid w:val="002A253D"/>
    <w:rPr>
      <w:sz w:val="16"/>
    </w:rPr>
  </w:style>
  <w:style w:type="paragraph" w:customStyle="1" w:styleId="WideTable">
    <w:name w:val="Wide Table"/>
    <w:basedOn w:val="Normal"/>
    <w:rsid w:val="002A253D"/>
    <w:pPr>
      <w:ind w:left="-1418"/>
    </w:pPr>
    <w:rPr>
      <w:sz w:val="2"/>
      <w:szCs w:val="2"/>
    </w:rPr>
  </w:style>
  <w:style w:type="character" w:styleId="PageNumber">
    <w:name w:val="page number"/>
    <w:basedOn w:val="DefaultParagraphFont"/>
    <w:rsid w:val="002A253D"/>
  </w:style>
  <w:style w:type="paragraph" w:styleId="Quote">
    <w:name w:val="Quote"/>
    <w:basedOn w:val="Heading1"/>
    <w:link w:val="QuoteChar"/>
    <w:qFormat/>
    <w:rsid w:val="002A253D"/>
    <w:rPr>
      <w:b w:val="0"/>
      <w:sz w:val="72"/>
      <w:szCs w:val="72"/>
      <w:lang w:val="en-NZ"/>
    </w:rPr>
  </w:style>
  <w:style w:type="character" w:customStyle="1" w:styleId="QuoteChar">
    <w:name w:val="Quote Char"/>
    <w:basedOn w:val="DefaultParagraphFont"/>
    <w:link w:val="Quote"/>
    <w:rsid w:val="002A25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53D"/>
    <w:pPr>
      <w:pageBreakBefore/>
    </w:pPr>
  </w:style>
  <w:style w:type="paragraph" w:customStyle="1" w:styleId="Border">
    <w:name w:val="Border"/>
    <w:basedOn w:val="Normal"/>
    <w:qFormat/>
    <w:rsid w:val="002A25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53D"/>
    <w:rPr>
      <w:b/>
      <w:bCs/>
      <w:i/>
      <w:iCs/>
      <w:color w:val="auto"/>
    </w:rPr>
  </w:style>
  <w:style w:type="paragraph" w:styleId="IntenseQuote">
    <w:name w:val="Intense Quote"/>
    <w:basedOn w:val="Normal"/>
    <w:next w:val="Normal"/>
    <w:link w:val="IntenseQuoteChar"/>
    <w:uiPriority w:val="30"/>
    <w:qFormat/>
    <w:rsid w:val="002A25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5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253D"/>
    <w:rPr>
      <w:smallCaps/>
      <w:color w:val="auto"/>
      <w:u w:val="single"/>
    </w:rPr>
  </w:style>
  <w:style w:type="character" w:styleId="IntenseReference">
    <w:name w:val="Intense Reference"/>
    <w:basedOn w:val="DefaultParagraphFont"/>
    <w:uiPriority w:val="32"/>
    <w:qFormat/>
    <w:rsid w:val="002A253D"/>
    <w:rPr>
      <w:b/>
      <w:bCs/>
      <w:smallCaps/>
      <w:color w:val="auto"/>
      <w:spacing w:val="5"/>
      <w:u w:val="single"/>
    </w:rPr>
  </w:style>
  <w:style w:type="paragraph" w:customStyle="1" w:styleId="2ColumnHeading">
    <w:name w:val="2Column Heading"/>
    <w:basedOn w:val="BodyText"/>
    <w:qFormat/>
    <w:rsid w:val="002A253D"/>
    <w:pPr>
      <w:spacing w:after="60"/>
      <w:ind w:left="-2268"/>
    </w:pPr>
    <w:rPr>
      <w:b/>
    </w:rPr>
  </w:style>
  <w:style w:type="paragraph" w:customStyle="1" w:styleId="Heading1TOC">
    <w:name w:val="Heading1 TOC"/>
    <w:basedOn w:val="Normal"/>
    <w:qFormat/>
    <w:rsid w:val="002A253D"/>
    <w:pPr>
      <w:spacing w:before="240" w:after="120"/>
    </w:pPr>
    <w:rPr>
      <w:rFonts w:ascii="Times New Roman" w:hAnsi="Times New Roman"/>
      <w:b/>
      <w:sz w:val="32"/>
    </w:rPr>
  </w:style>
  <w:style w:type="paragraph" w:customStyle="1" w:styleId="Heading2TOC">
    <w:name w:val="Heading2 TOC"/>
    <w:basedOn w:val="Normal"/>
    <w:qFormat/>
    <w:rsid w:val="002A253D"/>
    <w:pPr>
      <w:spacing w:before="240" w:after="60"/>
    </w:pPr>
    <w:rPr>
      <w:rFonts w:ascii="Times New Roman" w:hAnsi="Times New Roman"/>
      <w:b/>
      <w:sz w:val="28"/>
    </w:rPr>
  </w:style>
  <w:style w:type="character" w:customStyle="1" w:styleId="Underline">
    <w:name w:val="Underline"/>
    <w:basedOn w:val="DefaultParagraphFont"/>
    <w:qFormat/>
    <w:rsid w:val="002A253D"/>
    <w:rPr>
      <w:u w:val="single"/>
    </w:rPr>
  </w:style>
  <w:style w:type="character" w:customStyle="1" w:styleId="BoldandItalics">
    <w:name w:val="Bold and Italics"/>
    <w:qFormat/>
    <w:rsid w:val="002A253D"/>
    <w:rPr>
      <w:b/>
      <w:i/>
      <w:u w:val="none"/>
    </w:rPr>
  </w:style>
  <w:style w:type="paragraph" w:styleId="BalloonText">
    <w:name w:val="Balloon Text"/>
    <w:basedOn w:val="Normal"/>
    <w:link w:val="BalloonTextChar"/>
    <w:rsid w:val="002A253D"/>
    <w:rPr>
      <w:rFonts w:ascii="Tahoma" w:hAnsi="Tahoma" w:cs="Tahoma"/>
      <w:sz w:val="16"/>
      <w:szCs w:val="16"/>
    </w:rPr>
  </w:style>
  <w:style w:type="character" w:customStyle="1" w:styleId="BalloonTextChar">
    <w:name w:val="Balloon Text Char"/>
    <w:basedOn w:val="DefaultParagraphFont"/>
    <w:link w:val="BalloonText"/>
    <w:rsid w:val="002A25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25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25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253D"/>
    <w:rPr>
      <w:b/>
      <w:color w:val="660033"/>
      <w:spacing w:val="0"/>
    </w:rPr>
  </w:style>
  <w:style w:type="paragraph" w:customStyle="1" w:styleId="Nameditemlist">
    <w:name w:val="Named item list"/>
    <w:basedOn w:val="BodyText"/>
    <w:qFormat/>
    <w:rsid w:val="002A25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1923</Words>
  <Characters>11957</Characters>
  <Application>Microsoft Office Word</Application>
  <DocSecurity>0</DocSecurity>
  <Lines>447</Lines>
  <Paragraphs>189</Paragraphs>
  <ScaleCrop>false</ScaleCrop>
  <Company>Author-it Software Corporation Ltd.</Company>
  <LinksUpToDate>false</LinksUpToDate>
  <CharactersWithSpaces>13745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UETTDRRF07B Perform cable pit/trench/excavation rescue</dc:title>
  <dc:subject>Approved</dc:subject>
  <dc:creator>E-OZ Training Standards</dc:creator>
  <cp:keywords>Release 2</cp:keywords>
  <dc:description>Review Date: 12 April 2008</dc:description>
  <cp:lastModifiedBy>HSD_TPCMSd.prod</cp:lastModifiedBy>
  <cp:revision>3</cp:revision>
  <dcterms:created xsi:type="dcterms:W3CDTF">2014-11-05T10:10:16Z</dcterms:created>
  <dcterms:modified xsi:type="dcterms:W3CDTF">2014-10-31T04:21:00Z</dcterms:modified>
</cp:coreProperties>
</file>