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C1CEC" w:rsidP="008C1CEC">
      <w:pPr>
        <w:pStyle w:val="Title"/>
      </w:pPr>
      <w:r>
        <w:fldChar w:fldCharType="begin"/>
      </w:r>
      <w:r>
        <w:instrText xml:space="preserve"> TITLE   \* MERGEFORMAT </w:instrText>
      </w:r>
      <w:r>
        <w:fldChar w:fldCharType="separate"/>
      </w:r>
      <w:r>
        <w:t>UETTDRRF05B Perform rescue from switchyard structures at heights</w:t>
      </w:r>
      <w:r>
        <w:fldChar w:fldCharType="end"/>
      </w:r>
    </w:p>
    <w:p w:rsidR="008C1CEC" w:rsidP="008C1CEC">
      <w:pPr>
        <w:pStyle w:val="Version"/>
        <w:sectPr w:rsidSect="001309E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309E8" w:rsidP="001309E8">
      <w:pPr>
        <w:pStyle w:val="SuperHeading"/>
      </w:pPr>
      <w:r w:rsidRPr="001309E8">
        <w:t>UETTDRRF05B Perform rescue from switchyard structures at heights</w:t>
      </w:r>
    </w:p>
    <w:p w:rsidR="00000000" w:rsidRPr="001309E8" w:rsidP="001309E8">
      <w:pPr>
        <w:pStyle w:val="Heading1"/>
      </w:pPr>
      <w:bookmarkStart w:id="1" w:name="O_632675"/>
      <w:bookmarkEnd w:id="1"/>
      <w:r w:rsidRPr="001309E8">
        <w:t>Modification History</w:t>
      </w:r>
    </w:p>
    <w:tbl>
      <w:tblPr>
        <w:tblW w:w="9639" w:type="dxa"/>
        <w:tblLayout w:type="fixed"/>
        <w:tblCellMar>
          <w:left w:w="62" w:type="dxa"/>
          <w:right w:w="62" w:type="dxa"/>
        </w:tblCellMar>
        <w:tblLook w:val="0000"/>
      </w:tblPr>
      <w:tblGrid>
        <w:gridCol w:w="819"/>
        <w:gridCol w:w="882"/>
        <w:gridCol w:w="1701"/>
        <w:gridCol w:w="5146"/>
        <w:gridCol w:w="1091"/>
      </w:tblGrid>
      <w:tr w:rsidTr="008C1CEC">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09E8">
            <w:pPr>
              <w:pStyle w:val="BodyText"/>
              <w:rPr>
                <w:lang w:val="en-NZ"/>
              </w:rPr>
            </w:pPr>
            <w:r w:rsidRPr="001309E8">
              <w:t xml:space="preserve">Release </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09E8">
            <w:pPr>
              <w:pStyle w:val="BodyText"/>
              <w:rPr>
                <w:lang w:val="en-NZ"/>
              </w:rPr>
            </w:pPr>
            <w:r w:rsidRPr="001309E8">
              <w:t>Action</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1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09E8">
            <w:pPr>
              <w:pStyle w:val="BodyText"/>
              <w:rPr>
                <w:lang w:val="en-NZ"/>
              </w:rPr>
            </w:pPr>
            <w:r w:rsidRPr="001309E8">
              <w:t>Details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09E8">
            <w:pPr>
              <w:pStyle w:val="BodyText"/>
              <w:rPr>
                <w:lang w:val="en-NZ"/>
              </w:rPr>
            </w:pPr>
            <w:r w:rsidRPr="001309E8">
              <w:t>Points</w:t>
            </w:r>
          </w:p>
        </w:tc>
      </w:tr>
      <w:tr w:rsidTr="008C1CEC">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309E8">
            <w:pPr>
              <w:pStyle w:val="BodyText"/>
              <w:rPr>
                <w:lang w:val="en-NZ"/>
              </w:rPr>
            </w:pPr>
            <w:r w:rsidRPr="001309E8">
              <w:t>Update</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309E8">
            <w:pPr>
              <w:pStyle w:val="BodyText"/>
              <w:rPr>
                <w:lang w:val="en-NZ"/>
              </w:rPr>
            </w:pPr>
            <w:r w:rsidRPr="001309E8">
              <w:t>Pre-requisite</w:t>
            </w:r>
          </w:p>
        </w:tc>
        <w:tc>
          <w:tcPr>
            <w:tcW w:w="51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309E8">
            <w:pPr>
              <w:pStyle w:val="BodyText"/>
              <w:rPr>
                <w:lang w:val="en-NZ"/>
              </w:rPr>
            </w:pPr>
            <w:r w:rsidRPr="001309E8">
              <w:t>HLTAID001</w:t>
            </w:r>
            <w:r w:rsidRPr="001309E8">
              <w:tab/>
              <w:t>Provide cardiopulmonary resuscitation</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309E8" w:rsidP="001309E8">
            <w:pPr>
              <w:pStyle w:val="BodyText"/>
            </w:pPr>
          </w:p>
        </w:tc>
      </w:tr>
    </w:tbl>
    <w:p w:rsidR="008C1CEC" w:rsidP="001309E8">
      <w:pPr>
        <w:pStyle w:val="BodyText"/>
      </w:pPr>
    </w:p>
    <w:p w:rsidR="008C1CEC" w:rsidP="001309E8">
      <w:pPr>
        <w:pStyle w:val="BodyText"/>
      </w:pPr>
    </w:p>
    <w:p w:rsidR="00000000" w:rsidRPr="001309E8" w:rsidP="001309E8">
      <w:pPr>
        <w:pStyle w:val="Heading1"/>
      </w:pPr>
      <w:bookmarkStart w:id="2" w:name="O_632674"/>
      <w:bookmarkEnd w:id="2"/>
      <w:r w:rsidRPr="001309E8">
        <w:t>Unit Descriptor</w:t>
      </w:r>
    </w:p>
    <w:tbl>
      <w:tblPr>
        <w:tblW w:w="0" w:type="auto"/>
        <w:tblLayout w:type="fixed"/>
        <w:tblCellMar>
          <w:left w:w="62" w:type="dxa"/>
          <w:right w:w="62" w:type="dxa"/>
        </w:tblCellMar>
        <w:tblLook w:val="0000"/>
      </w:tblPr>
      <w:tblGrid>
        <w:gridCol w:w="2700"/>
        <w:gridCol w:w="5760"/>
      </w:tblGrid>
      <w:tr w:rsidTr="008C1CE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309E8" w:rsidP="001309E8">
            <w:pPr>
              <w:pStyle w:val="BodyText"/>
            </w:pPr>
            <w:r w:rsidRPr="001309E8">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1309E8">
            <w:pPr>
              <w:pStyle w:val="BodyText"/>
              <w:rPr>
                <w:lang w:val="en-NZ"/>
              </w:rPr>
            </w:pPr>
            <w:r w:rsidRPr="001309E8">
              <w:rPr>
                <w:rStyle w:val="SpecialBold"/>
              </w:rPr>
              <w:t>1)</w:t>
            </w:r>
            <w:r w:rsidRPr="001309E8">
              <w:t xml:space="preserve"> </w:t>
            </w:r>
            <w:r w:rsidRPr="001309E8">
              <w:rPr>
                <w:rStyle w:val="SpecialBold"/>
              </w:rPr>
              <w:t>Scope:</w:t>
            </w:r>
          </w:p>
        </w:tc>
      </w:tr>
      <w:tr w:rsidTr="008C1CE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1309E8">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1309E8">
            <w:pPr>
              <w:pStyle w:val="BodyText"/>
              <w:rPr>
                <w:lang w:val="en-NZ"/>
              </w:rPr>
            </w:pPr>
            <w:r w:rsidRPr="001309E8">
              <w:rPr>
                <w:rStyle w:val="SpecialBold"/>
              </w:rPr>
              <w:t>1.1) Descriptor</w:t>
            </w:r>
          </w:p>
        </w:tc>
      </w:tr>
      <w:tr w:rsidTr="008C1CE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309E8" w:rsidP="001309E8">
            <w:pPr>
              <w:pStyle w:val="BodyText"/>
            </w:pPr>
            <w:r w:rsidRPr="001309E8">
              <w:t>This Competency Standard Unit covers the performance of rescue procedures from switchyard structures at heights in the work place. It specifies the mandatory requirements of rescue from switchyard structures an</w:t>
            </w:r>
            <w:r w:rsidRPr="001309E8">
              <w:t>d how they apply in the context of transmission, distribution or rail work functions. It encompasses responsibilities for health, safety and risk management processes at all operative levels and adherence to safety practices as part of the normal way of do</w:t>
            </w:r>
            <w:r w:rsidRPr="001309E8">
              <w:t>ing work.</w:t>
            </w:r>
          </w:p>
        </w:tc>
      </w:tr>
    </w:tbl>
    <w:p w:rsidR="00000000" w:rsidRPr="001309E8" w:rsidP="001309E8">
      <w:pPr>
        <w:pStyle w:val="BodyText"/>
      </w:pPr>
    </w:p>
    <w:p w:rsidR="00000000" w:rsidRPr="001309E8" w:rsidP="001309E8">
      <w:pPr>
        <w:pStyle w:val="AllowPageBreak"/>
      </w:pPr>
    </w:p>
    <w:p w:rsidR="00000000" w:rsidRPr="001309E8" w:rsidP="001309E8">
      <w:pPr>
        <w:pStyle w:val="Heading1"/>
      </w:pPr>
      <w:bookmarkStart w:id="3" w:name="O_632673"/>
      <w:bookmarkEnd w:id="3"/>
      <w:r w:rsidRPr="001309E8">
        <w:t>Application of the Unit</w:t>
      </w:r>
    </w:p>
    <w:tbl>
      <w:tblPr>
        <w:tblW w:w="0" w:type="auto"/>
        <w:tblLayout w:type="fixed"/>
        <w:tblCellMar>
          <w:left w:w="62" w:type="dxa"/>
          <w:right w:w="62" w:type="dxa"/>
        </w:tblCellMar>
        <w:tblLook w:val="0000"/>
      </w:tblPr>
      <w:tblGrid>
        <w:gridCol w:w="2672"/>
        <w:gridCol w:w="5699"/>
      </w:tblGrid>
      <w:tr w:rsidTr="008C1CEC">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1309E8" w:rsidP="001309E8">
            <w:pPr>
              <w:pStyle w:val="BodyText"/>
            </w:pPr>
            <w:r w:rsidRPr="001309E8">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1309E8">
            <w:pPr>
              <w:pStyle w:val="BodyText"/>
              <w:rPr>
                <w:lang w:val="en-NZ"/>
              </w:rPr>
            </w:pPr>
            <w:r w:rsidRPr="001309E8">
              <w:rPr>
                <w:rStyle w:val="SpecialBold"/>
              </w:rPr>
              <w:t>2)</w:t>
            </w:r>
          </w:p>
        </w:tc>
      </w:tr>
      <w:tr w:rsidTr="008C1CEC">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1309E8" w:rsidP="001309E8">
            <w:pPr>
              <w:pStyle w:val="BodyText"/>
            </w:pPr>
            <w:r w:rsidRPr="001309E8">
              <w:t>This competency standard unit shall be selected as part of an endorsed skill set for the purposes of refresher training and/or to meet regulatory and/or network requirements</w:t>
            </w:r>
            <w:r w:rsidRPr="001309E8">
              <w:t xml:space="preserve">. </w:t>
            </w:r>
          </w:p>
          <w:p w:rsidR="00000000" w:rsidRPr="001309E8" w:rsidP="001309E8">
            <w:pPr>
              <w:pStyle w:val="BodyText"/>
            </w:pPr>
            <w:r w:rsidRPr="001309E8">
              <w:t>Delivery and assessment of this unit should be undertaken within regard to the requirements of License to Practice (1.2 above), Prerequisite Competencies and Literacy and Numeracy skills (2 above) and the  recommendations for concurrent assessment and r</w:t>
            </w:r>
            <w:r w:rsidRPr="001309E8">
              <w:t>elationship with other units (9.5 below).</w:t>
            </w:r>
          </w:p>
          <w:p w:rsidR="00000000" w:rsidRPr="001309E8" w:rsidP="001309E8">
            <w:pPr>
              <w:pStyle w:val="BodyText"/>
            </w:pPr>
            <w:r w:rsidRPr="001309E8">
              <w:t>Practice in the workplace and during training is also subject to regulations directly related to occupational health and safety and where applicable contracts of training such as apprenticeships.</w:t>
            </w:r>
          </w:p>
          <w:p w:rsidR="00000000" w:rsidRPr="001309E8" w:rsidP="001309E8">
            <w:pPr>
              <w:pStyle w:val="BodyText"/>
            </w:pPr>
            <w:r w:rsidRPr="001309E8">
              <w:t xml:space="preserve">Note: </w:t>
            </w:r>
          </w:p>
          <w:p w:rsidR="00000000" w:rsidRPr="001309E8" w:rsidP="001309E8">
            <w:pPr>
              <w:pStyle w:val="BodyText"/>
            </w:pPr>
            <w:r w:rsidRPr="001309E8">
              <w:t>1. Complian</w:t>
            </w:r>
            <w:r w:rsidRPr="001309E8">
              <w:t>ce with permits may be required in various jurisdictions and typically relates to the operation of plant, machinery and equipment such as elevating work platforms, powder operated fixing tools, power operated tools, vehicles, road signage and traffic contr</w:t>
            </w:r>
            <w:r w:rsidRPr="001309E8">
              <w:t>ol and lifting equipment. Permits may also be required for some work environments such as confined spaces, working aloft, near live electrical apparatus and site rehabilitation.</w:t>
            </w:r>
          </w:p>
          <w:p w:rsidR="00000000" w:rsidRPr="001309E8" w:rsidP="001309E8">
            <w:pPr>
              <w:pStyle w:val="BodyText"/>
            </w:pPr>
            <w:r w:rsidRPr="001309E8">
              <w:t>2. Compliance may be required in various jurisdictions relating to currency in</w:t>
            </w:r>
            <w:r w:rsidRPr="001309E8">
              <w:t xml:space="preserve"> First Aid, confined space, lifting, risk safety measures etc</w:t>
            </w:r>
          </w:p>
        </w:tc>
      </w:tr>
    </w:tbl>
    <w:p w:rsidR="00000000" w:rsidRPr="001309E8" w:rsidP="001309E8">
      <w:pPr>
        <w:pStyle w:val="BodyText"/>
      </w:pPr>
    </w:p>
    <w:p w:rsidR="00000000" w:rsidRPr="001309E8" w:rsidP="001309E8">
      <w:pPr>
        <w:pStyle w:val="AllowPageBreak"/>
      </w:pPr>
    </w:p>
    <w:p w:rsidR="00000000" w:rsidRPr="001309E8" w:rsidP="001309E8">
      <w:pPr>
        <w:pStyle w:val="Heading1"/>
      </w:pPr>
      <w:bookmarkStart w:id="4" w:name="O_632672"/>
      <w:bookmarkEnd w:id="4"/>
      <w:r w:rsidRPr="001309E8">
        <w:t>Licensing/Regulatory Information</w:t>
      </w:r>
    </w:p>
    <w:tbl>
      <w:tblPr>
        <w:tblW w:w="0" w:type="auto"/>
        <w:tblLayout w:type="fixed"/>
        <w:tblCellMar>
          <w:left w:w="62" w:type="dxa"/>
          <w:right w:w="62" w:type="dxa"/>
        </w:tblCellMar>
        <w:tblLook w:val="0000"/>
      </w:tblPr>
      <w:tblGrid>
        <w:gridCol w:w="2700"/>
        <w:gridCol w:w="5760"/>
      </w:tblGrid>
      <w:tr w:rsidTr="008C1CE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309E8" w:rsidP="001309E8">
            <w:pPr>
              <w:pStyle w:val="BodyText"/>
            </w:pPr>
            <w:r w:rsidRPr="001309E8">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1309E8">
            <w:pPr>
              <w:pStyle w:val="BodyText"/>
              <w:rPr>
                <w:lang w:val="en-NZ"/>
              </w:rPr>
            </w:pPr>
            <w:r w:rsidRPr="001309E8">
              <w:rPr>
                <w:rStyle w:val="SpecialBold"/>
              </w:rPr>
              <w:t xml:space="preserve">3) </w:t>
            </w:r>
          </w:p>
        </w:tc>
      </w:tr>
      <w:tr w:rsidTr="008C1CE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309E8" w:rsidP="001309E8">
            <w:pPr>
              <w:pStyle w:val="BodyText"/>
            </w:pPr>
            <w:r w:rsidRPr="001309E8">
              <w:t>The skills and knowledge described in this unit may require a licence/registration to practice in the work place subject to regulations for undertaking of electrical work. Practice in workplace and during training is also subject to regulations directly re</w:t>
            </w:r>
            <w:r w:rsidRPr="001309E8">
              <w:t xml:space="preserve">lated to Occupational Health and Safety, electricity/telecommunications/gas/water industry safety and compliance, environmental protection, anti discrimination and training. Commonwealth, State/Territory or Local Government legislation and regulations may </w:t>
            </w:r>
            <w:r w:rsidRPr="001309E8">
              <w:t>exist that limits the age of operating certain equipment.</w:t>
            </w:r>
          </w:p>
          <w:p w:rsidR="00000000" w:rsidRPr="001309E8" w:rsidP="001309E8">
            <w:pPr>
              <w:pStyle w:val="BodyText"/>
            </w:pPr>
            <w:r w:rsidRPr="001309E8">
              <w:t>ESI employees are required to maintain currency in this Unit for authorisation/approval to work on ESI Networks.</w:t>
            </w:r>
          </w:p>
        </w:tc>
      </w:tr>
    </w:tbl>
    <w:p w:rsidR="00000000" w:rsidRPr="001309E8" w:rsidP="001309E8">
      <w:pPr>
        <w:pStyle w:val="BodyText"/>
      </w:pPr>
    </w:p>
    <w:p w:rsidR="00000000" w:rsidRPr="001309E8" w:rsidP="001309E8">
      <w:pPr>
        <w:pStyle w:val="AllowPageBreak"/>
      </w:pPr>
    </w:p>
    <w:p w:rsidR="00000000" w:rsidRPr="001309E8" w:rsidP="001309E8">
      <w:pPr>
        <w:pStyle w:val="Heading1"/>
      </w:pPr>
      <w:bookmarkStart w:id="5" w:name="O_632671"/>
      <w:bookmarkEnd w:id="5"/>
      <w:r w:rsidRPr="001309E8">
        <w:t>Pre-Requisites</w:t>
      </w:r>
    </w:p>
    <w:tbl>
      <w:tblPr>
        <w:tblW w:w="0" w:type="auto"/>
        <w:tblLayout w:type="fixed"/>
        <w:tblCellMar>
          <w:left w:w="62" w:type="dxa"/>
          <w:right w:w="62" w:type="dxa"/>
        </w:tblCellMar>
        <w:tblLook w:val="0000"/>
      </w:tblPr>
      <w:tblGrid>
        <w:gridCol w:w="2700"/>
        <w:gridCol w:w="1800"/>
        <w:gridCol w:w="3960"/>
      </w:tblGrid>
      <w:tr w:rsidTr="008C1CE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309E8" w:rsidP="001309E8">
            <w:pPr>
              <w:pStyle w:val="BodyText"/>
            </w:pPr>
            <w:r w:rsidRPr="001309E8">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1309E8">
            <w:pPr>
              <w:pStyle w:val="BodyText"/>
              <w:rPr>
                <w:lang w:val="en-NZ"/>
              </w:rPr>
            </w:pPr>
            <w:r w:rsidRPr="001309E8">
              <w:rPr>
                <w:rStyle w:val="SpecialBold"/>
              </w:rPr>
              <w:t xml:space="preserve">4) </w:t>
            </w:r>
          </w:p>
        </w:tc>
      </w:tr>
      <w:tr w:rsidTr="008C1CE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1309E8" w:rsidP="001309E8">
            <w:pPr>
              <w:pStyle w:val="BodyText"/>
            </w:pPr>
            <w:r w:rsidRPr="001309E8">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1309E8">
            <w:pPr>
              <w:pStyle w:val="BodyText"/>
              <w:rPr>
                <w:lang w:val="en-NZ"/>
              </w:rPr>
            </w:pPr>
            <w:r w:rsidRPr="001309E8">
              <w:rPr>
                <w:rStyle w:val="SpecialBold"/>
              </w:rPr>
              <w:t>4.1)</w:t>
            </w:r>
          </w:p>
        </w:tc>
      </w:tr>
      <w:tr w:rsidTr="008C1CE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RPr="001309E8" w:rsidP="001309E8">
            <w:pPr>
              <w:pStyle w:val="BodyText"/>
            </w:pPr>
            <w:r w:rsidRPr="001309E8">
              <w:t>Granting of competency in this unit shall be made only after competency in the following unit(s) has/have been confirmed.</w:t>
            </w:r>
          </w:p>
          <w:p w:rsidR="00000000" w:rsidRPr="001309E8" w:rsidP="001309E8">
            <w:pPr>
              <w:pStyle w:val="BodyText"/>
            </w:pPr>
            <w:r w:rsidRPr="001309E8">
              <w:t>Where pre-requisite pathways have been identified. All competencies in the Common Unit Group must be have been completed.</w:t>
            </w:r>
          </w:p>
          <w:p w:rsidR="00000000" w:rsidP="001309E8">
            <w:pPr>
              <w:pStyle w:val="BodyText"/>
              <w:rPr>
                <w:lang w:val="en-NZ"/>
              </w:rPr>
            </w:pPr>
            <w:r w:rsidRPr="001309E8">
              <w:t xml:space="preserve">Common Unit </w:t>
            </w:r>
            <w:r w:rsidRPr="001309E8">
              <w:t>Group</w:t>
            </w:r>
          </w:p>
        </w:tc>
      </w:tr>
      <w:tr w:rsidTr="008C1CE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1309E8">
            <w:pPr>
              <w:pStyle w:val="BodyText"/>
              <w:rPr>
                <w:lang w:val="en-NZ"/>
              </w:rPr>
            </w:pPr>
            <w:r w:rsidRPr="001309E8">
              <w:t>Unit Code</w:t>
            </w:r>
          </w:p>
        </w:tc>
        <w:tc>
          <w:tcPr>
            <w:tcW w:w="3960" w:type="dxa"/>
            <w:tcBorders>
              <w:top w:val="nil"/>
              <w:left w:val="nil"/>
              <w:bottom w:val="nil"/>
              <w:right w:val="nil"/>
            </w:tcBorders>
            <w:tcMar>
              <w:top w:w="0" w:type="dxa"/>
              <w:left w:w="62" w:type="dxa"/>
              <w:bottom w:w="0" w:type="dxa"/>
              <w:right w:w="62" w:type="dxa"/>
            </w:tcMar>
          </w:tcPr>
          <w:p w:rsidR="00000000" w:rsidP="001309E8">
            <w:pPr>
              <w:pStyle w:val="BodyText"/>
              <w:rPr>
                <w:lang w:val="en-NZ"/>
              </w:rPr>
            </w:pPr>
            <w:r w:rsidRPr="001309E8">
              <w:t>Unit Title</w:t>
            </w:r>
          </w:p>
        </w:tc>
      </w:tr>
      <w:tr w:rsidTr="008C1CE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vAlign w:val="center"/>
          </w:tcPr>
          <w:p w:rsidR="00000000" w:rsidP="001309E8">
            <w:pPr>
              <w:pStyle w:val="BodyText"/>
              <w:rPr>
                <w:lang w:val="en-NZ"/>
              </w:rPr>
            </w:pPr>
            <w:r w:rsidRPr="001309E8">
              <w:t>HLTAID001</w:t>
            </w:r>
          </w:p>
        </w:tc>
        <w:tc>
          <w:tcPr>
            <w:tcW w:w="3960" w:type="dxa"/>
            <w:tcBorders>
              <w:top w:val="nil"/>
              <w:left w:val="nil"/>
              <w:bottom w:val="nil"/>
              <w:right w:val="nil"/>
            </w:tcBorders>
            <w:tcMar>
              <w:top w:w="0" w:type="dxa"/>
              <w:left w:w="62" w:type="dxa"/>
              <w:bottom w:w="0" w:type="dxa"/>
              <w:right w:w="62" w:type="dxa"/>
            </w:tcMar>
            <w:vAlign w:val="center"/>
          </w:tcPr>
          <w:p w:rsidR="00000000" w:rsidRPr="001309E8" w:rsidP="001309E8">
            <w:pPr>
              <w:pStyle w:val="BodyText"/>
            </w:pPr>
            <w:r w:rsidRPr="001309E8">
              <w:t>Provide cardiopulmonary resuscitation</w:t>
            </w:r>
          </w:p>
        </w:tc>
      </w:tr>
    </w:tbl>
    <w:p w:rsidR="00000000" w:rsidRPr="001309E8" w:rsidP="001309E8">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8C1CEC">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1309E8" w:rsidP="001309E8">
            <w:pPr>
              <w:pStyle w:val="BodyText"/>
            </w:pPr>
            <w:r w:rsidRPr="001309E8">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1309E8">
            <w:pPr>
              <w:pStyle w:val="BodyText"/>
              <w:rPr>
                <w:lang w:val="en-NZ"/>
              </w:rPr>
            </w:pPr>
            <w:r w:rsidRPr="001309E8">
              <w:rPr>
                <w:rStyle w:val="SpecialBold"/>
              </w:rPr>
              <w:t xml:space="preserve">4.2) </w:t>
            </w:r>
          </w:p>
        </w:tc>
      </w:tr>
      <w:tr w:rsidTr="008C1CE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1309E8">
            <w:pPr>
              <w:pStyle w:val="BodyText"/>
              <w:rPr>
                <w:lang w:val="en-NZ"/>
              </w:rPr>
            </w:pPr>
            <w:r w:rsidRPr="001309E8">
              <w:t>Participants are best equipped to achieve this unit if they have reading, writing and numeracy skills indicated by the following scales. Description of each scale is given in Volume 2, Part 3 “Literacy and Numeracy”</w:t>
            </w:r>
          </w:p>
        </w:tc>
      </w:tr>
      <w:tr w:rsidTr="008C1CE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1309E8">
            <w:pPr>
              <w:pStyle w:val="BodyText"/>
              <w:rPr>
                <w:lang w:val="en-NZ"/>
              </w:rPr>
            </w:pPr>
            <w:r w:rsidRPr="001309E8">
              <w:t>Reading</w:t>
            </w:r>
          </w:p>
        </w:tc>
        <w:tc>
          <w:tcPr>
            <w:tcW w:w="810" w:type="dxa"/>
            <w:tcBorders>
              <w:top w:val="nil"/>
              <w:left w:val="nil"/>
              <w:bottom w:val="nil"/>
              <w:right w:val="nil"/>
            </w:tcBorders>
            <w:tcMar>
              <w:top w:w="0" w:type="dxa"/>
              <w:left w:w="62" w:type="dxa"/>
              <w:bottom w:w="0" w:type="dxa"/>
              <w:right w:w="62" w:type="dxa"/>
            </w:tcMar>
          </w:tcPr>
          <w:p w:rsidR="00000000" w:rsidP="001309E8">
            <w:pPr>
              <w:pStyle w:val="BodyText"/>
              <w:rPr>
                <w:lang w:val="en-NZ"/>
              </w:rPr>
            </w:pPr>
            <w:r w:rsidRPr="001309E8">
              <w:t>3</w:t>
            </w:r>
          </w:p>
        </w:tc>
        <w:tc>
          <w:tcPr>
            <w:tcW w:w="990" w:type="dxa"/>
            <w:tcBorders>
              <w:top w:val="nil"/>
              <w:left w:val="nil"/>
              <w:bottom w:val="nil"/>
              <w:right w:val="nil"/>
            </w:tcBorders>
            <w:tcMar>
              <w:top w:w="0" w:type="dxa"/>
              <w:left w:w="62" w:type="dxa"/>
              <w:bottom w:w="0" w:type="dxa"/>
              <w:right w:w="62" w:type="dxa"/>
            </w:tcMar>
          </w:tcPr>
          <w:p w:rsidR="00000000" w:rsidP="001309E8">
            <w:pPr>
              <w:pStyle w:val="BodyText"/>
              <w:rPr>
                <w:lang w:val="en-NZ"/>
              </w:rPr>
            </w:pPr>
            <w:r w:rsidRPr="001309E8">
              <w:t>Writing</w:t>
            </w:r>
          </w:p>
        </w:tc>
        <w:tc>
          <w:tcPr>
            <w:tcW w:w="900" w:type="dxa"/>
            <w:tcBorders>
              <w:top w:val="nil"/>
              <w:left w:val="nil"/>
              <w:bottom w:val="nil"/>
              <w:right w:val="nil"/>
            </w:tcBorders>
            <w:tcMar>
              <w:top w:w="0" w:type="dxa"/>
              <w:left w:w="62" w:type="dxa"/>
              <w:bottom w:w="0" w:type="dxa"/>
              <w:right w:w="62" w:type="dxa"/>
            </w:tcMar>
          </w:tcPr>
          <w:p w:rsidR="00000000" w:rsidP="001309E8">
            <w:pPr>
              <w:pStyle w:val="BodyText"/>
              <w:rPr>
                <w:lang w:val="en-NZ"/>
              </w:rPr>
            </w:pPr>
            <w:r w:rsidRPr="001309E8">
              <w:t>3</w:t>
            </w:r>
          </w:p>
        </w:tc>
        <w:tc>
          <w:tcPr>
            <w:tcW w:w="1260" w:type="dxa"/>
            <w:tcBorders>
              <w:top w:val="nil"/>
              <w:left w:val="nil"/>
              <w:bottom w:val="nil"/>
              <w:right w:val="nil"/>
            </w:tcBorders>
            <w:tcMar>
              <w:top w:w="0" w:type="dxa"/>
              <w:left w:w="62" w:type="dxa"/>
              <w:bottom w:w="0" w:type="dxa"/>
              <w:right w:w="62" w:type="dxa"/>
            </w:tcMar>
          </w:tcPr>
          <w:p w:rsidR="00000000" w:rsidP="001309E8">
            <w:pPr>
              <w:pStyle w:val="BodyText"/>
              <w:rPr>
                <w:lang w:val="en-NZ"/>
              </w:rPr>
            </w:pPr>
            <w:r w:rsidRPr="001309E8">
              <w:t>Numeracy</w:t>
            </w:r>
          </w:p>
        </w:tc>
        <w:tc>
          <w:tcPr>
            <w:tcW w:w="720" w:type="dxa"/>
            <w:tcBorders>
              <w:top w:val="nil"/>
              <w:left w:val="nil"/>
              <w:bottom w:val="nil"/>
              <w:right w:val="nil"/>
            </w:tcBorders>
            <w:tcMar>
              <w:top w:w="0" w:type="dxa"/>
              <w:left w:w="62" w:type="dxa"/>
              <w:bottom w:w="0" w:type="dxa"/>
              <w:right w:w="62" w:type="dxa"/>
            </w:tcMar>
          </w:tcPr>
          <w:p w:rsidR="00000000" w:rsidRPr="001309E8" w:rsidP="001309E8">
            <w:pPr>
              <w:pStyle w:val="BodyText"/>
            </w:pPr>
            <w:r w:rsidRPr="001309E8">
              <w:t>3</w:t>
            </w:r>
          </w:p>
        </w:tc>
      </w:tr>
    </w:tbl>
    <w:p w:rsidR="00000000" w:rsidRPr="001309E8" w:rsidP="001309E8">
      <w:pPr>
        <w:pStyle w:val="BodyText"/>
      </w:pPr>
    </w:p>
    <w:p w:rsidR="00000000" w:rsidRPr="001309E8" w:rsidP="001309E8">
      <w:pPr>
        <w:pStyle w:val="AllowPageBreak"/>
      </w:pPr>
    </w:p>
    <w:p w:rsidR="00000000" w:rsidRPr="001309E8" w:rsidP="001309E8">
      <w:pPr>
        <w:pStyle w:val="Heading1"/>
      </w:pPr>
      <w:bookmarkStart w:id="6" w:name="O_632670"/>
      <w:bookmarkEnd w:id="6"/>
      <w:r w:rsidRPr="001309E8">
        <w:t>Employability Skills Information</w:t>
      </w:r>
    </w:p>
    <w:tbl>
      <w:tblPr>
        <w:tblW w:w="0" w:type="auto"/>
        <w:tblLayout w:type="fixed"/>
        <w:tblCellMar>
          <w:left w:w="62" w:type="dxa"/>
          <w:right w:w="62" w:type="dxa"/>
        </w:tblCellMar>
        <w:tblLook w:val="0000"/>
      </w:tblPr>
      <w:tblGrid>
        <w:gridCol w:w="2700"/>
        <w:gridCol w:w="5760"/>
      </w:tblGrid>
      <w:tr w:rsidTr="008C1CE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309E8" w:rsidP="001309E8">
            <w:pPr>
              <w:pStyle w:val="BodyText"/>
            </w:pPr>
            <w:r w:rsidRPr="001309E8">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1309E8">
            <w:pPr>
              <w:pStyle w:val="BodyText"/>
              <w:rPr>
                <w:lang w:val="en-NZ"/>
              </w:rPr>
            </w:pPr>
            <w:r w:rsidRPr="001309E8">
              <w:rPr>
                <w:rStyle w:val="SpecialBold"/>
              </w:rPr>
              <w:t xml:space="preserve">5) </w:t>
            </w:r>
          </w:p>
        </w:tc>
      </w:tr>
      <w:tr w:rsidTr="008C1CE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309E8" w:rsidP="001309E8">
            <w:pPr>
              <w:pStyle w:val="BodyText"/>
            </w:pPr>
            <w:r w:rsidRPr="001309E8">
              <w:t>This unit contains employability skills.</w:t>
            </w:r>
          </w:p>
        </w:tc>
      </w:tr>
    </w:tbl>
    <w:p w:rsidR="00000000" w:rsidRPr="001309E8" w:rsidP="001309E8">
      <w:pPr>
        <w:pStyle w:val="BodyText"/>
      </w:pPr>
    </w:p>
    <w:p w:rsidR="00000000" w:rsidRPr="001309E8" w:rsidP="001309E8">
      <w:pPr>
        <w:pStyle w:val="AllowPageBreak"/>
      </w:pPr>
    </w:p>
    <w:p w:rsidR="00000000" w:rsidRPr="001309E8" w:rsidP="001309E8">
      <w:pPr>
        <w:pStyle w:val="Heading1"/>
      </w:pPr>
      <w:bookmarkStart w:id="7" w:name="O_632669"/>
      <w:bookmarkEnd w:id="7"/>
      <w:r w:rsidRPr="001309E8">
        <w:t>Elements and Performance Criteria Pre-Content</w:t>
      </w:r>
    </w:p>
    <w:tbl>
      <w:tblPr>
        <w:tblW w:w="0" w:type="auto"/>
        <w:tblLayout w:type="fixed"/>
        <w:tblCellMar>
          <w:left w:w="62" w:type="dxa"/>
          <w:right w:w="62" w:type="dxa"/>
        </w:tblCellMar>
        <w:tblLook w:val="0000"/>
      </w:tblPr>
      <w:tblGrid>
        <w:gridCol w:w="2700"/>
        <w:gridCol w:w="5760"/>
      </w:tblGrid>
      <w:tr w:rsidTr="008C1CE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1309E8">
            <w:pPr>
              <w:pStyle w:val="BodyText"/>
              <w:rPr>
                <w:lang w:val="en-NZ"/>
              </w:rPr>
            </w:pPr>
            <w:r w:rsidRPr="001309E8">
              <w:rPr>
                <w:rStyle w:val="SpecialBold"/>
              </w:rPr>
              <w:t>6)</w:t>
            </w:r>
            <w:r w:rsidRPr="001309E8">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1309E8" w:rsidP="001309E8">
            <w:pPr>
              <w:pStyle w:val="BodyText"/>
            </w:pPr>
            <w:r w:rsidRPr="001309E8">
              <w:t>Performance Criteria describe the required performance needed to demonstrate achievement of the element. Assessment of performance is to be consistent with the Evidence Guide.</w:t>
            </w:r>
          </w:p>
        </w:tc>
      </w:tr>
    </w:tbl>
    <w:p w:rsidR="00000000" w:rsidRPr="001309E8" w:rsidP="001309E8">
      <w:pPr>
        <w:pStyle w:val="BodyText"/>
      </w:pPr>
    </w:p>
    <w:p w:rsidR="00000000" w:rsidRPr="001309E8" w:rsidP="001309E8">
      <w:pPr>
        <w:pStyle w:val="AllowPageBreak"/>
      </w:pPr>
    </w:p>
    <w:p w:rsidR="00000000" w:rsidRPr="001309E8" w:rsidP="001309E8">
      <w:pPr>
        <w:pStyle w:val="Heading1"/>
      </w:pPr>
      <w:bookmarkStart w:id="8" w:name="O_632668"/>
      <w:bookmarkEnd w:id="8"/>
      <w:r w:rsidRPr="001309E8">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8C1CEC">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1309E8" w:rsidP="001309E8">
            <w:pPr>
              <w:pStyle w:val="BodyText"/>
            </w:pPr>
            <w:r w:rsidRPr="001309E8">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1309E8">
            <w:pPr>
              <w:pStyle w:val="BodyText"/>
              <w:rPr>
                <w:lang w:val="en-NZ"/>
              </w:rPr>
            </w:pPr>
            <w:r w:rsidRPr="001309E8">
              <w:rPr>
                <w:rStyle w:val="SpecialBold"/>
              </w:rPr>
              <w:t>PERFORMANCE CRITE</w:t>
            </w:r>
            <w:r w:rsidRPr="001309E8">
              <w:rPr>
                <w:rStyle w:val="SpecialBold"/>
              </w:rPr>
              <w:t>RIA</w:t>
            </w:r>
          </w:p>
        </w:tc>
      </w:tr>
      <w:tr w:rsidTr="008C1CE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1309E8">
            <w:pPr>
              <w:pStyle w:val="BodyText"/>
              <w:rPr>
                <w:lang w:val="en-NZ"/>
              </w:rPr>
            </w:pPr>
            <w:r w:rsidRPr="001309E8">
              <w:t>1</w:t>
            </w:r>
          </w:p>
        </w:tc>
        <w:tc>
          <w:tcPr>
            <w:tcW w:w="2296" w:type="dxa"/>
            <w:tcBorders>
              <w:top w:val="nil"/>
              <w:left w:val="nil"/>
              <w:bottom w:val="nil"/>
              <w:right w:val="nil"/>
            </w:tcBorders>
            <w:tcMar>
              <w:top w:w="0" w:type="dxa"/>
              <w:left w:w="62" w:type="dxa"/>
              <w:bottom w:w="0" w:type="dxa"/>
              <w:right w:w="62" w:type="dxa"/>
            </w:tcMar>
          </w:tcPr>
          <w:p w:rsidR="00000000" w:rsidP="001309E8">
            <w:pPr>
              <w:pStyle w:val="BodyText"/>
              <w:rPr>
                <w:lang w:val="en-NZ"/>
              </w:rPr>
            </w:pPr>
            <w:r w:rsidRPr="001309E8">
              <w:t>Prepare to perform rescue from switchyard structures at heights</w:t>
            </w:r>
          </w:p>
        </w:tc>
        <w:tc>
          <w:tcPr>
            <w:tcW w:w="900" w:type="dxa"/>
            <w:tcBorders>
              <w:top w:val="nil"/>
              <w:left w:val="nil"/>
              <w:bottom w:val="nil"/>
              <w:right w:val="nil"/>
            </w:tcBorders>
            <w:tcMar>
              <w:top w:w="0" w:type="dxa"/>
              <w:left w:w="62" w:type="dxa"/>
              <w:bottom w:w="0" w:type="dxa"/>
              <w:right w:w="62" w:type="dxa"/>
            </w:tcMar>
          </w:tcPr>
          <w:p w:rsidR="00000000" w:rsidP="001309E8">
            <w:pPr>
              <w:pStyle w:val="BodyText"/>
              <w:rPr>
                <w:lang w:val="en-NZ"/>
              </w:rPr>
            </w:pPr>
            <w:r w:rsidRPr="001309E8">
              <w:t>1.1</w:t>
            </w:r>
          </w:p>
        </w:tc>
        <w:tc>
          <w:tcPr>
            <w:tcW w:w="4860" w:type="dxa"/>
            <w:tcBorders>
              <w:top w:val="nil"/>
              <w:left w:val="nil"/>
              <w:bottom w:val="nil"/>
              <w:right w:val="nil"/>
            </w:tcBorders>
            <w:tcMar>
              <w:top w:w="0" w:type="dxa"/>
              <w:left w:w="62" w:type="dxa"/>
              <w:bottom w:w="0" w:type="dxa"/>
              <w:right w:w="62" w:type="dxa"/>
            </w:tcMar>
          </w:tcPr>
          <w:p w:rsidR="00000000" w:rsidP="001309E8">
            <w:pPr>
              <w:pStyle w:val="BodyText"/>
              <w:rPr>
                <w:lang w:val="en-NZ"/>
              </w:rPr>
            </w:pPr>
            <w:r w:rsidRPr="001309E8">
              <w:t xml:space="preserve">Instruction in hazards and risk control measures for specific work areas and work activities are identified and obtained. (This will include </w:t>
            </w:r>
            <w:r w:rsidRPr="001309E8">
              <w:t>the risk assessment and control measures taken by the individual performing the rescue).</w:t>
            </w:r>
          </w:p>
        </w:tc>
      </w:tr>
      <w:tr w:rsidTr="008C1CE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309E8">
            <w:pPr>
              <w:pStyle w:val="BodyText"/>
              <w:rPr>
                <w:lang w:val="en-NZ"/>
              </w:rPr>
            </w:pPr>
            <w:r w:rsidRPr="001309E8">
              <w:t>1.2</w:t>
            </w:r>
          </w:p>
        </w:tc>
        <w:tc>
          <w:tcPr>
            <w:tcW w:w="4860" w:type="dxa"/>
            <w:tcBorders>
              <w:top w:val="nil"/>
              <w:left w:val="nil"/>
              <w:bottom w:val="nil"/>
              <w:right w:val="nil"/>
            </w:tcBorders>
            <w:tcMar>
              <w:top w:w="0" w:type="dxa"/>
              <w:left w:w="62" w:type="dxa"/>
              <w:bottom w:w="0" w:type="dxa"/>
              <w:right w:w="62" w:type="dxa"/>
            </w:tcMar>
          </w:tcPr>
          <w:p w:rsidR="00000000" w:rsidP="001309E8">
            <w:pPr>
              <w:pStyle w:val="BodyText"/>
              <w:rPr>
                <w:lang w:val="en-NZ"/>
              </w:rPr>
            </w:pPr>
            <w:r w:rsidRPr="001309E8">
              <w:t>Tools and emergency equipment are checked for safety, functionality and placed in an accessible location to facilitate response and rescue according to establis</w:t>
            </w:r>
            <w:r w:rsidRPr="001309E8">
              <w:t>hed procedures.</w:t>
            </w:r>
          </w:p>
        </w:tc>
      </w:tr>
      <w:tr w:rsidTr="008C1CE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1309E8">
            <w:pPr>
              <w:pStyle w:val="BodyText"/>
              <w:rPr>
                <w:lang w:val="en-NZ"/>
              </w:rPr>
            </w:pPr>
            <w:r w:rsidRPr="001309E8">
              <w:t>2</w:t>
            </w:r>
          </w:p>
        </w:tc>
        <w:tc>
          <w:tcPr>
            <w:tcW w:w="2296" w:type="dxa"/>
            <w:vMerge w:val="restart"/>
            <w:tcBorders>
              <w:top w:val="nil"/>
              <w:left w:val="nil"/>
              <w:bottom w:val="nil"/>
              <w:right w:val="nil"/>
            </w:tcBorders>
            <w:tcMar>
              <w:top w:w="0" w:type="dxa"/>
              <w:left w:w="62" w:type="dxa"/>
              <w:bottom w:w="0" w:type="dxa"/>
              <w:right w:w="62" w:type="dxa"/>
            </w:tcMar>
          </w:tcPr>
          <w:p w:rsidR="00000000" w:rsidP="001309E8">
            <w:pPr>
              <w:pStyle w:val="BodyText"/>
              <w:rPr>
                <w:lang w:val="en-NZ"/>
              </w:rPr>
            </w:pPr>
            <w:r w:rsidRPr="001309E8">
              <w:t>Carry out rescue from switchyard structures at heights</w:t>
            </w:r>
          </w:p>
        </w:tc>
        <w:tc>
          <w:tcPr>
            <w:tcW w:w="900" w:type="dxa"/>
            <w:tcBorders>
              <w:top w:val="nil"/>
              <w:left w:val="nil"/>
              <w:bottom w:val="nil"/>
              <w:right w:val="nil"/>
            </w:tcBorders>
            <w:tcMar>
              <w:top w:w="0" w:type="dxa"/>
              <w:left w:w="62" w:type="dxa"/>
              <w:bottom w:w="0" w:type="dxa"/>
              <w:right w:w="62" w:type="dxa"/>
            </w:tcMar>
          </w:tcPr>
          <w:p w:rsidR="00000000" w:rsidP="001309E8">
            <w:pPr>
              <w:pStyle w:val="BodyText"/>
              <w:rPr>
                <w:lang w:val="en-NZ"/>
              </w:rPr>
            </w:pPr>
            <w:r w:rsidRPr="001309E8">
              <w:t>2.1</w:t>
            </w:r>
          </w:p>
        </w:tc>
        <w:tc>
          <w:tcPr>
            <w:tcW w:w="4860" w:type="dxa"/>
            <w:tcBorders>
              <w:top w:val="nil"/>
              <w:left w:val="nil"/>
              <w:bottom w:val="nil"/>
              <w:right w:val="nil"/>
            </w:tcBorders>
            <w:tcMar>
              <w:top w:w="0" w:type="dxa"/>
              <w:left w:w="62" w:type="dxa"/>
              <w:bottom w:w="0" w:type="dxa"/>
              <w:right w:w="62" w:type="dxa"/>
            </w:tcMar>
          </w:tcPr>
          <w:p w:rsidR="00000000" w:rsidP="001309E8">
            <w:pPr>
              <w:pStyle w:val="BodyText"/>
              <w:rPr>
                <w:lang w:val="en-NZ"/>
              </w:rPr>
            </w:pPr>
            <w:r w:rsidRPr="001309E8">
              <w:t>Workplace procedures and work instructions for controlling risk are followed.</w:t>
            </w:r>
          </w:p>
        </w:tc>
      </w:tr>
      <w:tr w:rsidTr="008C1CE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309E8">
            <w:pPr>
              <w:pStyle w:val="BodyText"/>
              <w:rPr>
                <w:lang w:val="en-NZ"/>
              </w:rPr>
            </w:pPr>
            <w:r w:rsidRPr="001309E8">
              <w:t>2.2</w:t>
            </w:r>
          </w:p>
        </w:tc>
        <w:tc>
          <w:tcPr>
            <w:tcW w:w="4860" w:type="dxa"/>
            <w:tcBorders>
              <w:top w:val="nil"/>
              <w:left w:val="nil"/>
              <w:bottom w:val="nil"/>
              <w:right w:val="nil"/>
            </w:tcBorders>
            <w:tcMar>
              <w:top w:w="0" w:type="dxa"/>
              <w:left w:w="62" w:type="dxa"/>
              <w:bottom w:w="0" w:type="dxa"/>
              <w:right w:w="62" w:type="dxa"/>
            </w:tcMar>
          </w:tcPr>
          <w:p w:rsidR="00000000" w:rsidP="001309E8">
            <w:pPr>
              <w:pStyle w:val="BodyText"/>
              <w:rPr>
                <w:lang w:val="en-NZ"/>
              </w:rPr>
            </w:pPr>
            <w:r w:rsidRPr="001309E8">
              <w:t>Workplace procedures for accessing the switchyard structure, removing the victim where necessary, from contact with live apparatus are followed.</w:t>
            </w:r>
          </w:p>
        </w:tc>
      </w:tr>
      <w:tr w:rsidTr="008C1CE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309E8">
            <w:pPr>
              <w:pStyle w:val="BodyText"/>
              <w:rPr>
                <w:lang w:val="en-NZ"/>
              </w:rPr>
            </w:pPr>
            <w:r w:rsidRPr="001309E8">
              <w:t>2.3</w:t>
            </w:r>
          </w:p>
        </w:tc>
        <w:tc>
          <w:tcPr>
            <w:tcW w:w="4860" w:type="dxa"/>
            <w:tcBorders>
              <w:top w:val="nil"/>
              <w:left w:val="nil"/>
              <w:bottom w:val="nil"/>
              <w:right w:val="nil"/>
            </w:tcBorders>
            <w:tcMar>
              <w:top w:w="0" w:type="dxa"/>
              <w:left w:w="62" w:type="dxa"/>
              <w:bottom w:w="0" w:type="dxa"/>
              <w:right w:w="62" w:type="dxa"/>
            </w:tcMar>
          </w:tcPr>
          <w:p w:rsidR="00000000" w:rsidP="001309E8">
            <w:pPr>
              <w:pStyle w:val="BodyText"/>
              <w:rPr>
                <w:lang w:val="en-NZ"/>
              </w:rPr>
            </w:pPr>
            <w:r w:rsidRPr="001309E8">
              <w:t>Workplace procedures for attaching the emergency lowering equipment and lowering the victim to the ground are followed.</w:t>
            </w:r>
          </w:p>
        </w:tc>
      </w:tr>
      <w:tr w:rsidTr="008C1CE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309E8">
            <w:pPr>
              <w:pStyle w:val="BodyText"/>
              <w:rPr>
                <w:lang w:val="en-NZ"/>
              </w:rPr>
            </w:pPr>
            <w:r w:rsidRPr="001309E8">
              <w:t>2.4</w:t>
            </w:r>
          </w:p>
        </w:tc>
        <w:tc>
          <w:tcPr>
            <w:tcW w:w="4860" w:type="dxa"/>
            <w:tcBorders>
              <w:top w:val="nil"/>
              <w:left w:val="nil"/>
              <w:bottom w:val="nil"/>
              <w:right w:val="nil"/>
            </w:tcBorders>
            <w:tcMar>
              <w:top w:w="0" w:type="dxa"/>
              <w:left w:w="62" w:type="dxa"/>
              <w:bottom w:w="0" w:type="dxa"/>
              <w:right w:w="62" w:type="dxa"/>
            </w:tcMar>
          </w:tcPr>
          <w:p w:rsidR="00000000" w:rsidP="001309E8">
            <w:pPr>
              <w:pStyle w:val="BodyText"/>
              <w:rPr>
                <w:lang w:val="en-NZ"/>
              </w:rPr>
            </w:pPr>
            <w:r w:rsidRPr="001309E8">
              <w:t>Workplace procedures for carrying out CPR if required at the site and treatment where necessary by medical professionals are foll</w:t>
            </w:r>
            <w:r w:rsidRPr="001309E8">
              <w:t>owed.</w:t>
            </w:r>
          </w:p>
        </w:tc>
      </w:tr>
      <w:tr w:rsidTr="008C1CE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309E8">
            <w:pPr>
              <w:pStyle w:val="BodyText"/>
              <w:rPr>
                <w:lang w:val="en-NZ"/>
              </w:rPr>
            </w:pPr>
            <w:r w:rsidRPr="001309E8">
              <w:t>2.5</w:t>
            </w:r>
          </w:p>
        </w:tc>
        <w:tc>
          <w:tcPr>
            <w:tcW w:w="4860" w:type="dxa"/>
            <w:tcBorders>
              <w:top w:val="nil"/>
              <w:left w:val="nil"/>
              <w:bottom w:val="nil"/>
              <w:right w:val="nil"/>
            </w:tcBorders>
            <w:tcMar>
              <w:top w:w="0" w:type="dxa"/>
              <w:left w:w="62" w:type="dxa"/>
              <w:bottom w:w="0" w:type="dxa"/>
              <w:right w:w="62" w:type="dxa"/>
            </w:tcMar>
          </w:tcPr>
          <w:p w:rsidR="00000000" w:rsidP="001309E8">
            <w:pPr>
              <w:pStyle w:val="BodyText"/>
              <w:rPr>
                <w:lang w:val="en-NZ"/>
              </w:rPr>
            </w:pPr>
            <w:r w:rsidRPr="001309E8">
              <w:t>The worksite is secured and entry controlled until appropriate authorities inspect and release the site.</w:t>
            </w:r>
          </w:p>
        </w:tc>
      </w:tr>
      <w:tr w:rsidTr="008C1CE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1309E8">
            <w:pPr>
              <w:pStyle w:val="BodyText"/>
              <w:rPr>
                <w:lang w:val="en-NZ"/>
              </w:rPr>
            </w:pPr>
            <w:r w:rsidRPr="001309E8">
              <w:t>3</w:t>
            </w:r>
          </w:p>
        </w:tc>
        <w:tc>
          <w:tcPr>
            <w:tcW w:w="2296" w:type="dxa"/>
            <w:tcBorders>
              <w:top w:val="nil"/>
              <w:left w:val="nil"/>
              <w:bottom w:val="nil"/>
              <w:right w:val="nil"/>
            </w:tcBorders>
            <w:tcMar>
              <w:top w:w="0" w:type="dxa"/>
              <w:left w:w="62" w:type="dxa"/>
              <w:bottom w:w="0" w:type="dxa"/>
              <w:right w:w="62" w:type="dxa"/>
            </w:tcMar>
          </w:tcPr>
          <w:p w:rsidR="00000000" w:rsidP="001309E8">
            <w:pPr>
              <w:pStyle w:val="BodyText"/>
              <w:rPr>
                <w:lang w:val="en-NZ"/>
              </w:rPr>
            </w:pPr>
            <w:r w:rsidRPr="001309E8">
              <w:t>Complete rescue procedures from switchyard structures at heights</w:t>
            </w:r>
          </w:p>
        </w:tc>
        <w:tc>
          <w:tcPr>
            <w:tcW w:w="900" w:type="dxa"/>
            <w:tcBorders>
              <w:top w:val="nil"/>
              <w:left w:val="nil"/>
              <w:bottom w:val="nil"/>
              <w:right w:val="nil"/>
            </w:tcBorders>
            <w:tcMar>
              <w:top w:w="0" w:type="dxa"/>
              <w:left w:w="62" w:type="dxa"/>
              <w:bottom w:w="0" w:type="dxa"/>
              <w:right w:w="62" w:type="dxa"/>
            </w:tcMar>
          </w:tcPr>
          <w:p w:rsidR="00000000" w:rsidP="001309E8">
            <w:pPr>
              <w:pStyle w:val="BodyText"/>
              <w:rPr>
                <w:lang w:val="en-NZ"/>
              </w:rPr>
            </w:pPr>
            <w:r w:rsidRPr="001309E8">
              <w:t>3.1</w:t>
            </w:r>
          </w:p>
        </w:tc>
        <w:tc>
          <w:tcPr>
            <w:tcW w:w="4860" w:type="dxa"/>
            <w:tcBorders>
              <w:top w:val="nil"/>
              <w:left w:val="nil"/>
              <w:bottom w:val="nil"/>
              <w:right w:val="nil"/>
            </w:tcBorders>
            <w:tcMar>
              <w:top w:w="0" w:type="dxa"/>
              <w:left w:w="62" w:type="dxa"/>
              <w:bottom w:w="0" w:type="dxa"/>
              <w:right w:w="62" w:type="dxa"/>
            </w:tcMar>
          </w:tcPr>
          <w:p w:rsidR="00000000" w:rsidRPr="001309E8" w:rsidP="001309E8">
            <w:pPr>
              <w:pStyle w:val="BodyText"/>
            </w:pPr>
            <w:r w:rsidRPr="001309E8">
              <w:t>Processes for reporting accidents and/or incidents to authorised personnel are confirmed in accordance with established procedures.</w:t>
            </w:r>
          </w:p>
        </w:tc>
      </w:tr>
    </w:tbl>
    <w:p w:rsidR="00000000" w:rsidRPr="001309E8" w:rsidP="001309E8">
      <w:pPr>
        <w:pStyle w:val="BodyText"/>
      </w:pPr>
    </w:p>
    <w:p w:rsidR="00000000" w:rsidRPr="001309E8" w:rsidP="001309E8">
      <w:pPr>
        <w:pStyle w:val="AllowPageBreak"/>
      </w:pPr>
    </w:p>
    <w:p w:rsidR="00000000" w:rsidRPr="001309E8" w:rsidP="001309E8">
      <w:pPr>
        <w:pStyle w:val="Heading1"/>
      </w:pPr>
      <w:bookmarkStart w:id="9" w:name="O_632667"/>
      <w:bookmarkEnd w:id="9"/>
      <w:r w:rsidRPr="001309E8">
        <w:t>Required Skills and Knowledge</w:t>
      </w:r>
    </w:p>
    <w:tbl>
      <w:tblPr>
        <w:tblW w:w="0" w:type="auto"/>
        <w:tblLayout w:type="fixed"/>
        <w:tblCellMar>
          <w:left w:w="62" w:type="dxa"/>
          <w:right w:w="62" w:type="dxa"/>
        </w:tblCellMar>
        <w:tblLook w:val="0000"/>
      </w:tblPr>
      <w:tblGrid>
        <w:gridCol w:w="8460"/>
      </w:tblGrid>
      <w:tr w:rsidTr="008C1CEC">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1309E8">
            <w:pPr>
              <w:pStyle w:val="BodyText"/>
              <w:rPr>
                <w:lang w:val="en-NZ"/>
              </w:rPr>
            </w:pPr>
            <w:r w:rsidRPr="001309E8">
              <w:rPr>
                <w:rStyle w:val="SpecialBold"/>
              </w:rPr>
              <w:t>REQUIRED SKILLS AND KNOWLEDGE</w:t>
            </w:r>
          </w:p>
        </w:tc>
      </w:tr>
      <w:tr w:rsidTr="008C1CEC">
        <w:tblPrEx>
          <w:tblW w:w="0" w:type="auto"/>
          <w:tblLayout w:type="fixed"/>
          <w:tblCellMar>
            <w:left w:w="62" w:type="dxa"/>
            <w:right w:w="62" w:type="dxa"/>
          </w:tblCellMar>
          <w:tblLook w:val="0000"/>
        </w:tblPrEx>
        <w:trPr>
          <w:trHeight w:val="8457"/>
        </w:trPr>
        <w:tc>
          <w:tcPr>
            <w:tcW w:w="8460" w:type="dxa"/>
            <w:tcBorders>
              <w:top w:val="nil"/>
              <w:left w:val="nil"/>
              <w:bottom w:val="nil"/>
              <w:right w:val="nil"/>
            </w:tcBorders>
            <w:tcMar>
              <w:top w:w="0" w:type="dxa"/>
              <w:left w:w="62" w:type="dxa"/>
              <w:bottom w:w="0" w:type="dxa"/>
              <w:right w:w="62" w:type="dxa"/>
            </w:tcMar>
          </w:tcPr>
          <w:p w:rsidR="00000000" w:rsidRPr="001309E8" w:rsidP="001309E8">
            <w:pPr>
              <w:pStyle w:val="BodyText"/>
            </w:pPr>
            <w:r w:rsidRPr="001309E8">
              <w:rPr>
                <w:rStyle w:val="SpecialBold"/>
              </w:rPr>
              <w:t>8)</w:t>
            </w:r>
            <w:r w:rsidRPr="001309E8">
              <w:t xml:space="preserve"> Essential Knowledge and Associated Skills (EKAS): This describes the essential skills and knowledge and their level, required for this unit.</w:t>
            </w:r>
          </w:p>
          <w:p w:rsidR="00000000" w:rsidRPr="001309E8" w:rsidP="001309E8">
            <w:pPr>
              <w:pStyle w:val="BodyText"/>
            </w:pPr>
            <w:r w:rsidRPr="001309E8">
              <w:t>Evidence shall show that knowledge has been acquired of procedures required to perform rescue at heights from swit</w:t>
            </w:r>
            <w:r w:rsidRPr="001309E8">
              <w:t>chyard structures.</w:t>
            </w:r>
          </w:p>
          <w:p w:rsidR="00000000" w:rsidRPr="001309E8" w:rsidP="001309E8">
            <w:pPr>
              <w:pStyle w:val="BodyText"/>
            </w:pPr>
            <w:r w:rsidRPr="001309E8">
              <w:t>All knowledge and skills detailed in this unit should be contextualised to current industry practices and technologies.</w:t>
            </w:r>
          </w:p>
          <w:p w:rsidR="00000000" w:rsidRPr="001309E8" w:rsidP="001309E8">
            <w:pPr>
              <w:pStyle w:val="BodyText"/>
            </w:pPr>
            <w:r w:rsidRPr="001309E8">
              <w:t>KS01-TRF05B Rescue from switchyard structures at heights</w:t>
            </w:r>
          </w:p>
          <w:p w:rsidR="00000000" w:rsidRPr="001309E8" w:rsidP="001309E8">
            <w:pPr>
              <w:pStyle w:val="BodyText"/>
            </w:pPr>
            <w:r w:rsidRPr="001309E8">
              <w:t>Evidence shall show an understanding of rescue from switchya</w:t>
            </w:r>
            <w:r w:rsidRPr="001309E8">
              <w:t>rd structures at heights to an extent indicated by the following aspects:</w:t>
            </w:r>
          </w:p>
          <w:p w:rsidR="00000000" w:rsidRPr="001309E8" w:rsidP="001309E8">
            <w:pPr>
              <w:pStyle w:val="BodyText"/>
            </w:pPr>
            <w:r w:rsidRPr="001309E8">
              <w:t>T1</w:t>
            </w:r>
            <w:r w:rsidRPr="001309E8">
              <w:tab/>
              <w:t>Emergency procedures for the rescue of a victim from switchyard structures at heights encompassing:</w:t>
            </w:r>
          </w:p>
          <w:p w:rsidR="00000000" w:rsidRPr="001309E8" w:rsidP="001309E8">
            <w:pPr>
              <w:pStyle w:val="ListBullet"/>
            </w:pPr>
            <w:r w:rsidRPr="001309E8">
              <w:t>Inspection of rescue equipment</w:t>
            </w:r>
          </w:p>
          <w:p w:rsidR="00000000" w:rsidRPr="001309E8" w:rsidP="001309E8">
            <w:pPr>
              <w:pStyle w:val="ListBullet"/>
            </w:pPr>
            <w:r w:rsidRPr="001309E8">
              <w:t>Assessing hazards to rescuer, victim and others</w:t>
            </w:r>
          </w:p>
          <w:p w:rsidR="00000000" w:rsidRPr="001309E8" w:rsidP="001309E8">
            <w:pPr>
              <w:pStyle w:val="ListBullet"/>
            </w:pPr>
            <w:r w:rsidRPr="001309E8">
              <w:t>Isolation procedures where appropriate</w:t>
            </w:r>
          </w:p>
          <w:p w:rsidR="00000000" w:rsidRPr="001309E8" w:rsidP="001309E8">
            <w:pPr>
              <w:pStyle w:val="ListBullet"/>
            </w:pPr>
            <w:r w:rsidRPr="001309E8">
              <w:t>Knowledge of Safe Approach Distances (SAD’s) appropriate to rescue from switchyard structures at heights</w:t>
            </w:r>
          </w:p>
          <w:p w:rsidR="00000000" w:rsidRPr="001309E8" w:rsidP="001309E8">
            <w:pPr>
              <w:pStyle w:val="ListBullet"/>
            </w:pPr>
            <w:r w:rsidRPr="001309E8">
              <w:t>Involvement of external emergency services</w:t>
            </w:r>
          </w:p>
          <w:p w:rsidR="00000000" w:rsidRPr="001309E8" w:rsidP="001309E8">
            <w:pPr>
              <w:pStyle w:val="BodyText"/>
            </w:pPr>
            <w:r w:rsidRPr="001309E8">
              <w:t>T2</w:t>
            </w:r>
            <w:r w:rsidRPr="001309E8">
              <w:tab/>
              <w:t xml:space="preserve">Emergency procedures for the skills required for the rescue of a </w:t>
            </w:r>
            <w:r w:rsidRPr="001309E8">
              <w:t>victim from switchyard structures at heights encompassing:</w:t>
            </w:r>
          </w:p>
          <w:p w:rsidR="00000000" w:rsidRPr="001309E8" w:rsidP="001309E8">
            <w:pPr>
              <w:pStyle w:val="ListBullet"/>
            </w:pPr>
            <w:r w:rsidRPr="001309E8">
              <w:t>Placement of rescue equipment</w:t>
            </w:r>
          </w:p>
          <w:p w:rsidR="00000000" w:rsidRPr="001309E8" w:rsidP="001309E8">
            <w:pPr>
              <w:pStyle w:val="ListBullet"/>
            </w:pPr>
            <w:r w:rsidRPr="001309E8">
              <w:t>Controlling hazards to rescuer, victim and others</w:t>
            </w:r>
          </w:p>
          <w:p w:rsidR="00000000" w:rsidRPr="001309E8" w:rsidP="001309E8">
            <w:pPr>
              <w:pStyle w:val="ListBullet"/>
            </w:pPr>
            <w:r w:rsidRPr="001309E8">
              <w:t>Maintaining Safe Approach Distances (SAD’s) appropriate to rescue from switchyard structures at heights</w:t>
            </w:r>
          </w:p>
          <w:p w:rsidR="00000000" w:rsidRPr="001309E8" w:rsidP="001309E8">
            <w:pPr>
              <w:pStyle w:val="ListBullet"/>
            </w:pPr>
            <w:r w:rsidRPr="001309E8">
              <w:t>Practical de</w:t>
            </w:r>
            <w:r w:rsidRPr="001309E8">
              <w:t>monstration of rescuing a person</w:t>
            </w:r>
          </w:p>
          <w:p w:rsidR="00000000" w:rsidRPr="001309E8" w:rsidP="001309E8">
            <w:pPr>
              <w:pStyle w:val="ListBullet"/>
            </w:pPr>
            <w:r w:rsidRPr="001309E8">
              <w:t>Removing victim to safe location / place of safety</w:t>
            </w:r>
          </w:p>
        </w:tc>
      </w:tr>
    </w:tbl>
    <w:p w:rsidR="00000000" w:rsidRPr="001309E8" w:rsidP="001309E8">
      <w:pPr>
        <w:pStyle w:val="BodyText"/>
      </w:pPr>
    </w:p>
    <w:p w:rsidR="00000000" w:rsidRPr="001309E8" w:rsidP="001309E8">
      <w:pPr>
        <w:pStyle w:val="AllowPageBreak"/>
      </w:pPr>
    </w:p>
    <w:p w:rsidR="00000000" w:rsidRPr="001309E8" w:rsidP="001309E8">
      <w:pPr>
        <w:pStyle w:val="Heading1"/>
      </w:pPr>
      <w:bookmarkStart w:id="10" w:name="O_632666"/>
      <w:bookmarkEnd w:id="10"/>
      <w:r w:rsidRPr="001309E8">
        <w:t>Evidence Guide</w:t>
      </w:r>
    </w:p>
    <w:tbl>
      <w:tblPr>
        <w:tblW w:w="0" w:type="auto"/>
        <w:tblLayout w:type="fixed"/>
        <w:tblCellMar>
          <w:left w:w="62" w:type="dxa"/>
          <w:right w:w="62" w:type="dxa"/>
        </w:tblCellMar>
        <w:tblLook w:val="0000"/>
      </w:tblPr>
      <w:tblGrid>
        <w:gridCol w:w="8460"/>
      </w:tblGrid>
      <w:tr w:rsidTr="008C1CEC">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1309E8">
            <w:pPr>
              <w:pStyle w:val="BodyText"/>
              <w:rPr>
                <w:lang w:val="en-NZ"/>
              </w:rPr>
            </w:pPr>
            <w:r w:rsidRPr="001309E8">
              <w:rPr>
                <w:rStyle w:val="SpecialBold"/>
              </w:rPr>
              <w:t>EVIDENCE GUIDE</w:t>
            </w:r>
          </w:p>
        </w:tc>
      </w:tr>
      <w:tr w:rsidTr="008C1CE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1309E8" w:rsidP="001309E8">
            <w:pPr>
              <w:pStyle w:val="BodyText"/>
            </w:pPr>
            <w:r w:rsidRPr="001309E8">
              <w:rPr>
                <w:rStyle w:val="SpecialBold"/>
              </w:rPr>
              <w:t>9)</w:t>
            </w:r>
            <w:r w:rsidRPr="001309E8">
              <w:t xml:space="preserve"> This provides essential advice for assessment of the competency standard unit and must be read in </w:t>
            </w:r>
            <w:r w:rsidRPr="001309E8">
              <w:t>conjunction with the Performance Criteria and the range statement of the competency standard unit and the Training Package Assessment Guidelines.</w:t>
            </w:r>
          </w:p>
          <w:p w:rsidR="00000000" w:rsidRPr="001309E8" w:rsidP="001309E8">
            <w:pPr>
              <w:pStyle w:val="BodyText"/>
            </w:pPr>
            <w:r w:rsidRPr="001309E8">
              <w:t>The Evidence Guide forms an integral part of this Competency Standard Unit and shall be used in conjunction wi</w:t>
            </w:r>
            <w:r w:rsidRPr="001309E8">
              <w:t>th all component parts of this unit and, performed in accordance with the Assessment Guidelines of this Training Package.</w:t>
            </w:r>
          </w:p>
        </w:tc>
      </w:tr>
    </w:tbl>
    <w:p w:rsidR="00000000" w:rsidRPr="001309E8" w:rsidP="001309E8">
      <w:pPr>
        <w:pStyle w:val="BodyText"/>
      </w:pPr>
    </w:p>
    <w:tbl>
      <w:tblPr>
        <w:tblW w:w="0" w:type="auto"/>
        <w:tblLayout w:type="fixed"/>
        <w:tblCellMar>
          <w:left w:w="62" w:type="dxa"/>
          <w:right w:w="62" w:type="dxa"/>
        </w:tblCellMar>
        <w:tblLook w:val="0000"/>
      </w:tblPr>
      <w:tblGrid>
        <w:gridCol w:w="1890"/>
        <w:gridCol w:w="6570"/>
      </w:tblGrid>
      <w:tr w:rsidTr="008C1CE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1309E8" w:rsidP="001309E8">
            <w:pPr>
              <w:pStyle w:val="BodyText"/>
            </w:pPr>
            <w:r w:rsidRPr="001309E8">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1309E8">
            <w:pPr>
              <w:pStyle w:val="BodyText"/>
              <w:rPr>
                <w:lang w:val="en-NZ"/>
              </w:rPr>
            </w:pPr>
            <w:r w:rsidRPr="001309E8">
              <w:rPr>
                <w:rStyle w:val="SpecialBold"/>
              </w:rPr>
              <w:t>9.1)</w:t>
            </w:r>
          </w:p>
        </w:tc>
      </w:tr>
      <w:tr w:rsidTr="008C1CE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1309E8" w:rsidP="001309E8">
            <w:pPr>
              <w:pStyle w:val="BodyText"/>
            </w:pPr>
            <w:r w:rsidRPr="001309E8">
              <w:t>In accordance with the National Refresher Training Recognition Protocol for the Electricity Supply Industry, this unit is identified as a Refresher Training unit and is only available for use by industry to meet industry protocols and regulatory requiremen</w:t>
            </w:r>
            <w:r w:rsidRPr="001309E8">
              <w:t xml:space="preserve">ts. </w:t>
            </w:r>
          </w:p>
          <w:p w:rsidR="00000000" w:rsidRPr="001309E8" w:rsidP="001309E8">
            <w:pPr>
              <w:pStyle w:val="BodyText"/>
            </w:pPr>
            <w:r w:rsidRPr="001309E8">
              <w:t>Industry has defined Refresher Training as:</w:t>
            </w:r>
          </w:p>
          <w:p w:rsidR="00000000" w:rsidRPr="001309E8" w:rsidP="001309E8">
            <w:pPr>
              <w:pStyle w:val="BodyText"/>
            </w:pPr>
            <w:r w:rsidRPr="001309E8">
              <w:t>“A competency confirmation event which may include training, the purpose of which is to compensate for or prevent deterioration in a previously achieved standard of performance”</w:t>
            </w:r>
          </w:p>
          <w:p w:rsidR="00000000" w:rsidRPr="001309E8" w:rsidP="001309E8">
            <w:pPr>
              <w:pStyle w:val="BodyText"/>
            </w:pPr>
            <w:r w:rsidRPr="001309E8">
              <w:t>Under the protocol and the ap</w:t>
            </w:r>
            <w:r w:rsidRPr="001309E8">
              <w:t>plicable State or Territory legislative and regulatory requirements, Electricity Supply Industry employees are required to maintain currency in this Unit for authorisation/approval to work on ESI Networks.</w:t>
            </w:r>
          </w:p>
          <w:p w:rsidR="00000000" w:rsidRPr="001309E8" w:rsidP="001309E8">
            <w:pPr>
              <w:pStyle w:val="BodyText"/>
            </w:pPr>
            <w:r w:rsidRPr="001309E8">
              <w:t>Industry accepts that opportunities to practice em</w:t>
            </w:r>
            <w:r w:rsidRPr="001309E8">
              <w:t xml:space="preserve">ergency procedures are generally restricted to simulated exercises in a controlled environment during competency confirmation programs. </w:t>
            </w:r>
          </w:p>
          <w:p w:rsidR="00000000" w:rsidRPr="001309E8" w:rsidP="001309E8">
            <w:pPr>
              <w:pStyle w:val="BodyText"/>
            </w:pPr>
            <w:r w:rsidRPr="001309E8">
              <w:t>The critical safety nature of working with electricity, electrical equipment, gas or any other hazardous substance/mate</w:t>
            </w:r>
            <w:r w:rsidRPr="001309E8">
              <w:t>rial carries risk in deeming a person competent. Hence, sources of evidence need to be ‘rich’ in nature so as to minimise error in judgment.</w:t>
            </w:r>
          </w:p>
          <w:p w:rsidR="00000000" w:rsidRPr="001309E8" w:rsidP="001309E8">
            <w:pPr>
              <w:pStyle w:val="BodyText"/>
            </w:pPr>
            <w:r w:rsidRPr="001309E8">
              <w:t>Methods chosen for a particular assessment will be influenced by various factors. These include the extent of the a</w:t>
            </w:r>
            <w:r w:rsidRPr="001309E8">
              <w:t>ssessment, the most effective locations for the assessment activities to take place, access to physical resources, additional safety measures that may be required and the critical nature of the competencies being assessed.</w:t>
            </w:r>
          </w:p>
          <w:p w:rsidR="00000000" w:rsidRPr="001309E8" w:rsidP="001309E8">
            <w:pPr>
              <w:pStyle w:val="BodyText"/>
            </w:pPr>
            <w:r w:rsidRPr="001309E8">
              <w:t>These points are raised for the a</w:t>
            </w:r>
            <w:r w:rsidRPr="001309E8">
              <w:t>ssessors to consider when choosing an assessment method and developing assessment instruments.</w:t>
            </w:r>
          </w:p>
          <w:p w:rsidR="00000000" w:rsidRPr="001309E8" w:rsidP="001309E8">
            <w:pPr>
              <w:pStyle w:val="BodyText"/>
            </w:pPr>
            <w:r w:rsidRPr="001309E8">
              <w:t>An industry endorsed Learning Assessment Plan (LAP) has been developed to support this unit.</w:t>
            </w:r>
          </w:p>
        </w:tc>
      </w:tr>
    </w:tbl>
    <w:p w:rsidR="00000000" w:rsidRPr="001309E8" w:rsidP="001309E8">
      <w:pPr>
        <w:pStyle w:val="BodyText"/>
      </w:pPr>
    </w:p>
    <w:tbl>
      <w:tblPr>
        <w:tblW w:w="0" w:type="auto"/>
        <w:tblLayout w:type="fixed"/>
        <w:tblCellMar>
          <w:left w:w="62" w:type="dxa"/>
          <w:right w:w="62" w:type="dxa"/>
        </w:tblCellMar>
        <w:tblLook w:val="0000"/>
      </w:tblPr>
      <w:tblGrid>
        <w:gridCol w:w="1890"/>
        <w:gridCol w:w="725"/>
        <w:gridCol w:w="1255"/>
        <w:gridCol w:w="2160"/>
        <w:gridCol w:w="2430"/>
      </w:tblGrid>
      <w:tr w:rsidTr="008C1CE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1309E8" w:rsidP="001309E8">
            <w:pPr>
              <w:pStyle w:val="BodyText"/>
            </w:pPr>
            <w:r w:rsidRPr="001309E8">
              <w:rPr>
                <w:rStyle w:val="SpecialBold"/>
              </w:rPr>
              <w:t>Critical aspects of evidence required to demonstrate competency in</w:t>
            </w:r>
            <w:r w:rsidRPr="001309E8">
              <w:rPr>
                <w:rStyle w:val="SpecialBold"/>
              </w:rPr>
              <w:t xml:space="preserve"> this unit</w:t>
            </w:r>
          </w:p>
        </w:tc>
        <w:tc>
          <w:tcPr>
            <w:tcW w:w="6570" w:type="dxa"/>
            <w:gridSpan w:val="4"/>
            <w:tcBorders>
              <w:top w:val="nil"/>
              <w:left w:val="nil"/>
              <w:bottom w:val="nil"/>
              <w:right w:val="nil"/>
            </w:tcBorders>
            <w:tcMar>
              <w:top w:w="0" w:type="dxa"/>
              <w:left w:w="62" w:type="dxa"/>
              <w:bottom w:w="0" w:type="dxa"/>
              <w:right w:w="62" w:type="dxa"/>
            </w:tcMar>
          </w:tcPr>
          <w:p w:rsidR="00000000" w:rsidP="001309E8">
            <w:pPr>
              <w:pStyle w:val="BodyText"/>
              <w:rPr>
                <w:lang w:val="en-NZ"/>
              </w:rPr>
            </w:pPr>
            <w:r w:rsidRPr="001309E8">
              <w:rPr>
                <w:rStyle w:val="SpecialBold"/>
              </w:rPr>
              <w:t>9.2)</w:t>
            </w:r>
          </w:p>
        </w:tc>
      </w:tr>
      <w:tr w:rsidTr="008C1CE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4"/>
            <w:tcBorders>
              <w:top w:val="nil"/>
              <w:left w:val="nil"/>
              <w:bottom w:val="nil"/>
              <w:right w:val="nil"/>
            </w:tcBorders>
            <w:tcMar>
              <w:top w:w="0" w:type="dxa"/>
              <w:left w:w="62" w:type="dxa"/>
              <w:bottom w:w="0" w:type="dxa"/>
              <w:right w:w="62" w:type="dxa"/>
            </w:tcMar>
          </w:tcPr>
          <w:p w:rsidR="00000000" w:rsidRPr="001309E8" w:rsidP="001309E8">
            <w:pPr>
              <w:pStyle w:val="BodyText"/>
            </w:pPr>
            <w:r w:rsidRPr="001309E8">
              <w:t>Before the critical aspects of evidence are considered all prerequisites shall be met.</w:t>
            </w:r>
          </w:p>
          <w:p w:rsidR="00000000" w:rsidRPr="001309E8" w:rsidP="001309E8">
            <w:pPr>
              <w:pStyle w:val="BodyText"/>
            </w:pPr>
            <w:r w:rsidRPr="001309E8">
              <w:t>Evidence for competence in this unit shall be considered holistically. Each element and associated Performance Criteria shall be demonstrated at each competency confirmation event.</w:t>
            </w:r>
          </w:p>
          <w:p w:rsidR="00000000" w:rsidRPr="001309E8" w:rsidP="001309E8">
            <w:pPr>
              <w:pStyle w:val="ListBullet"/>
            </w:pPr>
            <w:r w:rsidRPr="001309E8">
              <w:t>In accordance with State and Territory regulations and the “Assessment Gui</w:t>
            </w:r>
            <w:r w:rsidRPr="001309E8">
              <w:t>delines – UET12”. Evidence shall also comprise:</w:t>
            </w:r>
          </w:p>
          <w:p w:rsidR="00000000" w:rsidRPr="001309E8" w:rsidP="001309E8">
            <w:pPr>
              <w:pStyle w:val="ListBullet2"/>
            </w:pPr>
            <w:r w:rsidRPr="001309E8">
              <w:t>A performance demonstrated within the timeframes typically expected of the rescue procedure. In particular the assessment of this units shall confirm that a  candidate is able to:</w:t>
            </w:r>
          </w:p>
          <w:p w:rsidR="00000000" w:rsidRPr="001309E8" w:rsidP="001309E8">
            <w:pPr>
              <w:pStyle w:val="ListBullet2"/>
            </w:pPr>
            <w:r w:rsidRPr="001309E8">
              <w:t>Implement Occupational Heal</w:t>
            </w:r>
            <w:r w:rsidRPr="001309E8">
              <w:t>th and Safety workplace procedures and practices including the use of risk control measures as specified in the Performance Criteria and range; and</w:t>
            </w:r>
          </w:p>
          <w:p w:rsidR="00000000" w:rsidRPr="001309E8" w:rsidP="001309E8">
            <w:pPr>
              <w:pStyle w:val="ListBullet2"/>
            </w:pPr>
            <w:r w:rsidRPr="001309E8">
              <w:t>Demonstrate an understanding of the essential knowledge and associated skills as described in this unit to such an extent that the learner’s performance outcome is reported in accordance with the preferred approach; namely a percentile graded result, where</w:t>
            </w:r>
            <w:r w:rsidRPr="001309E8">
              <w:t xml:space="preserve"> required by the regulated environment; and</w:t>
            </w:r>
          </w:p>
          <w:p w:rsidR="00000000" w:rsidRPr="001309E8" w:rsidP="001309E8">
            <w:pPr>
              <w:pStyle w:val="ListBullet2"/>
            </w:pPr>
            <w:r w:rsidRPr="001309E8">
              <w:t>Demonstrate an appropriate level of employability skills; and</w:t>
            </w:r>
          </w:p>
          <w:p w:rsidR="00000000" w:rsidRPr="001309E8" w:rsidP="001309E8">
            <w:pPr>
              <w:pStyle w:val="ListBullet"/>
            </w:pPr>
            <w:r w:rsidRPr="001309E8">
              <w:t>Conduct work observing the relevant Anti Discrimination legislation, regulations, policies and workplace procedures; and</w:t>
            </w:r>
          </w:p>
          <w:p w:rsidR="00000000" w:rsidP="001309E8">
            <w:pPr>
              <w:pStyle w:val="ListBullet2"/>
              <w:rPr>
                <w:lang w:val="en-NZ"/>
              </w:rPr>
            </w:pPr>
            <w:r w:rsidRPr="001309E8">
              <w:t>Demonstrated performance ac</w:t>
            </w:r>
            <w:r w:rsidRPr="001309E8">
              <w:t>ross a representative range of contexts from the prescribed items below:</w:t>
            </w:r>
          </w:p>
        </w:tc>
      </w:tr>
      <w:tr w:rsidTr="008C1CE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5" w:type="dxa"/>
            <w:tcBorders>
              <w:top w:val="nil"/>
              <w:left w:val="nil"/>
              <w:bottom w:val="nil"/>
              <w:right w:val="single" w:sz="4" w:space="0" w:color="auto"/>
            </w:tcBorders>
            <w:tcMar>
              <w:top w:w="0" w:type="dxa"/>
              <w:left w:w="62" w:type="dxa"/>
              <w:bottom w:w="0" w:type="dxa"/>
              <w:right w:w="62" w:type="dxa"/>
            </w:tcMar>
          </w:tcPr>
          <w:p w:rsidR="00000000" w:rsidRPr="001309E8">
            <w:pPr>
              <w:pStyle w:val="BodyText"/>
              <w:keepNext w:val="0"/>
              <w:keepLines w:val="0"/>
              <w:contextualSpacing w:val="0"/>
            </w:pPr>
          </w:p>
        </w:tc>
        <w:tc>
          <w:tcPr>
            <w:tcW w:w="5845"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09E8">
            <w:pPr>
              <w:pStyle w:val="BodyText"/>
              <w:rPr>
                <w:lang w:val="en-NZ"/>
              </w:rPr>
            </w:pPr>
            <w:r w:rsidRPr="001309E8">
              <w:rPr>
                <w:rStyle w:val="SpecialBold"/>
              </w:rPr>
              <w:t>Range of tools/equipment/materials/procedures/workplaces/other variables</w:t>
            </w:r>
          </w:p>
        </w:tc>
      </w:tr>
      <w:tr w:rsidTr="008C1CE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5" w:type="dxa"/>
            <w:tcBorders>
              <w:top w:val="nil"/>
              <w:left w:val="nil"/>
              <w:bottom w:val="nil"/>
              <w:right w:val="single" w:sz="4" w:space="0" w:color="auto"/>
            </w:tcBorders>
            <w:tcMar>
              <w:top w:w="0" w:type="dxa"/>
              <w:left w:w="62" w:type="dxa"/>
              <w:bottom w:w="0" w:type="dxa"/>
              <w:right w:w="62" w:type="dxa"/>
            </w:tcMar>
          </w:tcPr>
          <w:p w:rsidR="00000000" w:rsidRPr="001309E8">
            <w:pPr>
              <w:pStyle w:val="BodyText"/>
              <w:keepNext w:val="0"/>
              <w:keepLines w:val="0"/>
              <w:contextualSpacing w:val="0"/>
            </w:pPr>
          </w:p>
        </w:tc>
        <w:tc>
          <w:tcPr>
            <w:tcW w:w="12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09E8" w:rsidP="001309E8">
            <w:pPr>
              <w:pStyle w:val="BodyText"/>
            </w:pPr>
            <w:r w:rsidRPr="001309E8">
              <w:rPr>
                <w:rStyle w:val="SpecialBold"/>
              </w:rPr>
              <w:t>Group No</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09E8" w:rsidP="001309E8">
            <w:pPr>
              <w:pStyle w:val="BodyText"/>
            </w:pPr>
            <w:r w:rsidRPr="001309E8">
              <w:rPr>
                <w:rStyle w:val="SpecialBold"/>
              </w:rPr>
              <w:t>The minimum number of items on which skill is to be demonstrated</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09E8">
            <w:pPr>
              <w:pStyle w:val="BodyText"/>
              <w:rPr>
                <w:lang w:val="en-NZ"/>
              </w:rPr>
            </w:pPr>
            <w:r w:rsidRPr="001309E8">
              <w:rPr>
                <w:rStyle w:val="SpecialBold"/>
              </w:rPr>
              <w:t>Item List</w:t>
            </w:r>
          </w:p>
        </w:tc>
      </w:tr>
      <w:tr w:rsidTr="008C1CE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5"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09E8">
            <w:pPr>
              <w:pStyle w:val="BodyText"/>
              <w:rPr>
                <w:lang w:val="en-NZ"/>
              </w:rPr>
            </w:pPr>
            <w:r w:rsidRPr="001309E8">
              <w:t>A</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09E8">
            <w:pPr>
              <w:pStyle w:val="BodyText"/>
              <w:rPr>
                <w:lang w:val="en-NZ"/>
              </w:rPr>
            </w:pPr>
            <w:r w:rsidRPr="001309E8">
              <w:t>All, to the satisfaction of the assessor</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09E8">
            <w:pPr>
              <w:pStyle w:val="BodyText"/>
              <w:rPr>
                <w:lang w:val="en-NZ"/>
              </w:rPr>
            </w:pPr>
            <w:r w:rsidRPr="001309E8">
              <w:t xml:space="preserve">Inspection and placement of emergency rescue equipment. </w:t>
            </w:r>
          </w:p>
        </w:tc>
      </w:tr>
      <w:tr w:rsidTr="008C1CE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5"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09E8">
            <w:pPr>
              <w:pStyle w:val="BodyText"/>
              <w:rPr>
                <w:lang w:val="en-NZ"/>
              </w:rPr>
            </w:pPr>
            <w:r w:rsidRPr="001309E8">
              <w:t>B</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09E8">
            <w:pPr>
              <w:pStyle w:val="BodyText"/>
              <w:rPr>
                <w:lang w:val="en-NZ"/>
              </w:rPr>
            </w:pPr>
            <w:r w:rsidRPr="001309E8">
              <w:t>All, to the satisfaction of the assessor</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09E8" w:rsidP="001309E8">
            <w:pPr>
              <w:pStyle w:val="BodyText"/>
            </w:pPr>
            <w:r w:rsidRPr="001309E8">
              <w:t>Perform a rescue from switchyard structures in accordance with workplace procedures</w:t>
            </w:r>
          </w:p>
        </w:tc>
      </w:tr>
    </w:tbl>
    <w:p w:rsidR="00000000" w:rsidRPr="001309E8" w:rsidP="001309E8">
      <w:pPr>
        <w:pStyle w:val="BodyText"/>
      </w:pPr>
    </w:p>
    <w:tbl>
      <w:tblPr>
        <w:tblW w:w="0" w:type="auto"/>
        <w:tblLayout w:type="fixed"/>
        <w:tblCellMar>
          <w:left w:w="62" w:type="dxa"/>
          <w:right w:w="62" w:type="dxa"/>
        </w:tblCellMar>
        <w:tblLook w:val="0000"/>
      </w:tblPr>
      <w:tblGrid>
        <w:gridCol w:w="1890"/>
        <w:gridCol w:w="6570"/>
      </w:tblGrid>
      <w:tr w:rsidTr="008C1CEC">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1309E8" w:rsidP="001309E8">
            <w:pPr>
              <w:pStyle w:val="BodyText"/>
            </w:pPr>
            <w:r w:rsidRPr="001309E8">
              <w:rPr>
                <w:rStyle w:val="SpecialBold"/>
              </w:rPr>
              <w:t>Context of and specific re</w:t>
            </w:r>
            <w:r w:rsidRPr="001309E8">
              <w:rPr>
                <w:rStyle w:val="SpecialBold"/>
              </w:rPr>
              <w:t>sources for assessment</w:t>
            </w:r>
          </w:p>
        </w:tc>
        <w:tc>
          <w:tcPr>
            <w:tcW w:w="6570" w:type="dxa"/>
            <w:tcBorders>
              <w:top w:val="nil"/>
              <w:left w:val="nil"/>
              <w:bottom w:val="nil"/>
              <w:right w:val="nil"/>
            </w:tcBorders>
            <w:tcMar>
              <w:top w:w="0" w:type="dxa"/>
              <w:left w:w="62" w:type="dxa"/>
              <w:bottom w:w="0" w:type="dxa"/>
              <w:right w:w="62" w:type="dxa"/>
            </w:tcMar>
          </w:tcPr>
          <w:p w:rsidR="00000000" w:rsidP="001309E8">
            <w:pPr>
              <w:pStyle w:val="BodyText"/>
              <w:rPr>
                <w:lang w:val="en-NZ"/>
              </w:rPr>
            </w:pPr>
            <w:r w:rsidRPr="001309E8">
              <w:rPr>
                <w:rStyle w:val="SpecialBold"/>
              </w:rPr>
              <w:t>9.3)</w:t>
            </w:r>
          </w:p>
        </w:tc>
      </w:tr>
      <w:tr w:rsidTr="008C1CEC">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1309E8" w:rsidP="001309E8">
            <w:pPr>
              <w:pStyle w:val="BodyText"/>
            </w:pPr>
            <w:r w:rsidRPr="001309E8">
              <w:t>This unit should be assessed as it relates to normal work practice using procedures, information and resources typical of a workplace. This should include:</w:t>
            </w:r>
          </w:p>
          <w:p w:rsidR="00000000" w:rsidRPr="001309E8" w:rsidP="001309E8">
            <w:pPr>
              <w:pStyle w:val="ListBullet"/>
            </w:pPr>
            <w:r w:rsidRPr="001309E8">
              <w:t>OHS policy and work procedures and instructions.</w:t>
            </w:r>
          </w:p>
          <w:p w:rsidR="00000000" w:rsidRPr="001309E8" w:rsidP="001309E8">
            <w:pPr>
              <w:pStyle w:val="ListBullet"/>
            </w:pPr>
            <w:r w:rsidRPr="001309E8">
              <w:t>Suitable work environment, facilities, equipment and materials to safely undertake actual performance of rescue procedures at heights from switchyard structures in the workplace.</w:t>
            </w:r>
          </w:p>
          <w:p w:rsidR="00000000" w:rsidRPr="001309E8" w:rsidP="001309E8">
            <w:pPr>
              <w:pStyle w:val="BodyText"/>
            </w:pPr>
            <w:r w:rsidRPr="001309E8">
              <w:t>In addition to the resources listed above, in Context of and specific resourc</w:t>
            </w:r>
            <w:r w:rsidRPr="001309E8">
              <w:t>es for assessment, evidence should show demonstrated competency working in realistic environment and a variety of conditions.</w:t>
            </w:r>
          </w:p>
        </w:tc>
      </w:tr>
    </w:tbl>
    <w:p w:rsidR="00000000" w:rsidRPr="001309E8" w:rsidP="001309E8">
      <w:pPr>
        <w:pStyle w:val="BodyText"/>
      </w:pPr>
    </w:p>
    <w:tbl>
      <w:tblPr>
        <w:tblW w:w="0" w:type="auto"/>
        <w:tblLayout w:type="fixed"/>
        <w:tblCellMar>
          <w:left w:w="62" w:type="dxa"/>
          <w:right w:w="62" w:type="dxa"/>
        </w:tblCellMar>
        <w:tblLook w:val="0000"/>
      </w:tblPr>
      <w:tblGrid>
        <w:gridCol w:w="1890"/>
        <w:gridCol w:w="6570"/>
      </w:tblGrid>
      <w:tr w:rsidTr="008C1CE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1309E8" w:rsidP="001309E8">
            <w:pPr>
              <w:pStyle w:val="BodyText"/>
            </w:pPr>
            <w:r w:rsidRPr="001309E8">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1309E8">
            <w:pPr>
              <w:pStyle w:val="BodyText"/>
              <w:rPr>
                <w:lang w:val="en-NZ"/>
              </w:rPr>
            </w:pPr>
            <w:r w:rsidRPr="001309E8">
              <w:rPr>
                <w:rStyle w:val="SpecialBold"/>
              </w:rPr>
              <w:t>9.4)</w:t>
            </w:r>
          </w:p>
        </w:tc>
      </w:tr>
      <w:tr w:rsidTr="008C1CE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1309E8" w:rsidP="001309E8">
            <w:pPr>
              <w:pStyle w:val="BodyText"/>
            </w:pPr>
            <w:r w:rsidRPr="001309E8">
              <w:t>This competency standard unit shall be assessed by methods given in Volume 1, Part 3 “</w:t>
            </w:r>
            <w:r w:rsidRPr="001309E8">
              <w:t>Assessment Guidelines”.</w:t>
            </w:r>
          </w:p>
          <w:p w:rsidR="00000000" w:rsidRPr="001309E8" w:rsidP="001309E8">
            <w:pPr>
              <w:pStyle w:val="BodyText"/>
            </w:pPr>
            <w:r w:rsidRPr="001309E8">
              <w:t>Note:</w:t>
            </w:r>
          </w:p>
          <w:p w:rsidR="00000000" w:rsidRPr="001309E8" w:rsidP="001309E8">
            <w:pPr>
              <w:pStyle w:val="BodyText"/>
            </w:pPr>
            <w:r w:rsidRPr="001309E8">
              <w:t xml:space="preserve">Competent performance with inherent safe working practices is expected in the Industry to which this competency standard unit applies. This requires that the specified essential knowledge and associated skills are assessed in </w:t>
            </w:r>
            <w:r w:rsidRPr="001309E8">
              <w:t>a structured environment which is primarily intended for learning/assessment and incorporates all necessary equipment and facilities for learners to develop and demonstrate the essential knowledge and associated skills described in this unit.</w:t>
            </w:r>
          </w:p>
        </w:tc>
      </w:tr>
    </w:tbl>
    <w:p w:rsidR="00000000" w:rsidRPr="001309E8" w:rsidP="001309E8">
      <w:pPr>
        <w:pStyle w:val="BodyText"/>
      </w:pPr>
    </w:p>
    <w:tbl>
      <w:tblPr>
        <w:tblW w:w="0" w:type="auto"/>
        <w:tblLayout w:type="fixed"/>
        <w:tblCellMar>
          <w:left w:w="62" w:type="dxa"/>
          <w:right w:w="62" w:type="dxa"/>
        </w:tblCellMar>
        <w:tblLook w:val="0000"/>
      </w:tblPr>
      <w:tblGrid>
        <w:gridCol w:w="1890"/>
        <w:gridCol w:w="6570"/>
      </w:tblGrid>
      <w:tr w:rsidTr="008C1CE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1309E8" w:rsidP="001309E8">
            <w:pPr>
              <w:pStyle w:val="BodyText"/>
            </w:pPr>
            <w:r w:rsidRPr="001309E8">
              <w:rPr>
                <w:rStyle w:val="SpecialBold"/>
              </w:rPr>
              <w:t xml:space="preserve">Concurrent </w:t>
            </w:r>
            <w:r w:rsidRPr="001309E8">
              <w:rPr>
                <w:rStyle w:val="SpecialBold"/>
              </w:rPr>
              <w:t>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1309E8">
            <w:pPr>
              <w:pStyle w:val="BodyText"/>
              <w:rPr>
                <w:lang w:val="en-NZ"/>
              </w:rPr>
            </w:pPr>
            <w:r w:rsidRPr="001309E8">
              <w:rPr>
                <w:rStyle w:val="SpecialBold"/>
              </w:rPr>
              <w:t>9.5)</w:t>
            </w:r>
          </w:p>
        </w:tc>
      </w:tr>
      <w:tr w:rsidTr="008C1CE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1309E8" w:rsidP="001309E8">
            <w:pPr>
              <w:pStyle w:val="BodyText"/>
            </w:pPr>
            <w:r w:rsidRPr="001309E8">
              <w:t>For optimisation of training and assessment effort, competence in this unit is not recommended to be assessed concurrently with any other unit.</w:t>
            </w:r>
          </w:p>
        </w:tc>
      </w:tr>
    </w:tbl>
    <w:p w:rsidR="00000000" w:rsidRPr="001309E8" w:rsidP="001309E8">
      <w:pPr>
        <w:pStyle w:val="BodyText"/>
      </w:pPr>
    </w:p>
    <w:p w:rsidR="00000000" w:rsidRPr="001309E8" w:rsidP="001309E8">
      <w:pPr>
        <w:pStyle w:val="AllowPageBreak"/>
      </w:pPr>
    </w:p>
    <w:p w:rsidR="00000000" w:rsidRPr="001309E8" w:rsidP="001309E8">
      <w:pPr>
        <w:pStyle w:val="Heading1"/>
      </w:pPr>
      <w:bookmarkStart w:id="11" w:name="O_632665"/>
      <w:bookmarkEnd w:id="11"/>
      <w:r w:rsidRPr="001309E8">
        <w:t>Range Statement</w:t>
      </w:r>
    </w:p>
    <w:tbl>
      <w:tblPr>
        <w:tblW w:w="0" w:type="auto"/>
        <w:tblLayout w:type="fixed"/>
        <w:tblCellMar>
          <w:left w:w="62" w:type="dxa"/>
          <w:right w:w="62" w:type="dxa"/>
        </w:tblCellMar>
        <w:tblLook w:val="0000"/>
      </w:tblPr>
      <w:tblGrid>
        <w:gridCol w:w="8460"/>
      </w:tblGrid>
      <w:tr w:rsidTr="008C1CEC">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1309E8">
            <w:pPr>
              <w:pStyle w:val="BodyText"/>
              <w:rPr>
                <w:lang w:val="en-NZ"/>
              </w:rPr>
            </w:pPr>
            <w:r w:rsidRPr="001309E8">
              <w:rPr>
                <w:rStyle w:val="SpecialBold"/>
              </w:rPr>
              <w:t>RANGE STATEMENT</w:t>
            </w:r>
          </w:p>
        </w:tc>
      </w:tr>
      <w:tr w:rsidTr="008C1CE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1309E8" w:rsidP="001309E8">
            <w:pPr>
              <w:pStyle w:val="BodyText"/>
            </w:pPr>
            <w:r w:rsidRPr="001309E8">
              <w:rPr>
                <w:rStyle w:val="SpecialBold"/>
              </w:rPr>
              <w:t>10)</w:t>
            </w:r>
            <w:r w:rsidRPr="001309E8">
              <w:t xml:space="preserve"> This relates to the competency standard unit as a whole providing the range of contexts and conditions to which the Performance Criteria apply. It allows for different work environments and situations that will affect performance.</w:t>
            </w:r>
          </w:p>
          <w:p w:rsidR="00000000" w:rsidRPr="001309E8" w:rsidP="001309E8">
            <w:pPr>
              <w:pStyle w:val="BodyText"/>
            </w:pPr>
            <w:r w:rsidRPr="001309E8">
              <w:t>This Competency Standard</w:t>
            </w:r>
            <w:r w:rsidRPr="001309E8">
              <w:t xml:space="preserve"> Unit shall be demonstrated in relation to performing rescue procedure at heights from switchyard structures in the workplace and will include the following:</w:t>
            </w:r>
          </w:p>
          <w:p w:rsidR="00000000" w:rsidRPr="001309E8" w:rsidP="001309E8">
            <w:pPr>
              <w:pStyle w:val="BodyText"/>
            </w:pPr>
            <w:r w:rsidRPr="001309E8">
              <w:t>Applying work procedures and instructions as they apply to risk control and personal safety measur</w:t>
            </w:r>
            <w:r w:rsidRPr="001309E8">
              <w:t>es.</w:t>
            </w:r>
          </w:p>
          <w:p w:rsidR="00000000" w:rsidRPr="001309E8" w:rsidP="001309E8">
            <w:pPr>
              <w:pStyle w:val="BodyText"/>
            </w:pPr>
            <w:r w:rsidRPr="001309E8">
              <w:t>Inspection and placement of rescue equipment to facilitate a prompt response and rescue from an incident from switchyard structures.</w:t>
            </w:r>
          </w:p>
          <w:p w:rsidR="00000000" w:rsidRPr="001309E8" w:rsidP="001309E8">
            <w:pPr>
              <w:pStyle w:val="BodyText"/>
            </w:pPr>
            <w:r w:rsidRPr="001309E8">
              <w:t>Accessing switchyard structures and placing, securing and attaching the lowering device to the victim in accordance wit</w:t>
            </w:r>
            <w:r w:rsidRPr="001309E8">
              <w:t>h workplace procedures.</w:t>
            </w:r>
          </w:p>
          <w:p w:rsidR="00000000" w:rsidRPr="001309E8" w:rsidP="001309E8">
            <w:pPr>
              <w:pStyle w:val="BodyText"/>
            </w:pPr>
            <w:r w:rsidRPr="001309E8">
              <w:t>Removing the victim from contact with any live conductors/apparatus where necessary in accordance with workplace procedures.</w:t>
            </w:r>
          </w:p>
          <w:p w:rsidR="00000000" w:rsidRPr="001309E8" w:rsidP="001309E8">
            <w:pPr>
              <w:pStyle w:val="BodyText"/>
            </w:pPr>
            <w:r w:rsidRPr="001309E8">
              <w:t>Lowering the victim to the ground in accordance with workplace procedures.</w:t>
            </w:r>
          </w:p>
          <w:p w:rsidR="00000000" w:rsidRPr="001309E8" w:rsidP="001309E8">
            <w:pPr>
              <w:pStyle w:val="BodyText"/>
            </w:pPr>
            <w:r w:rsidRPr="001309E8">
              <w:t>Facilitating treatment by medica</w:t>
            </w:r>
            <w:r w:rsidRPr="001309E8">
              <w:t>l professionals when and where required</w:t>
            </w:r>
          </w:p>
          <w:p w:rsidR="00000000" w:rsidRPr="001309E8" w:rsidP="001309E8">
            <w:pPr>
              <w:pStyle w:val="BodyText"/>
            </w:pPr>
            <w:r w:rsidRPr="001309E8">
              <w:t>The following constants and variables included in the element/Performance Criteria in this unit are fully described in the Definitions Section 1 of this volume and form an integral part of the Range Statement of this</w:t>
            </w:r>
            <w:r w:rsidRPr="001309E8">
              <w:t xml:space="preserve"> unit:</w:t>
            </w:r>
          </w:p>
          <w:p w:rsidR="00000000" w:rsidRPr="001309E8" w:rsidP="001309E8">
            <w:pPr>
              <w:pStyle w:val="ListBullet3"/>
            </w:pPr>
            <w:r w:rsidRPr="001309E8">
              <w:t>Appropriate and relevant persons</w:t>
            </w:r>
          </w:p>
          <w:p w:rsidR="00000000" w:rsidRPr="001309E8" w:rsidP="001309E8">
            <w:pPr>
              <w:pStyle w:val="ListBullet3"/>
            </w:pPr>
            <w:r w:rsidRPr="001309E8">
              <w:t>Assessing risk</w:t>
            </w:r>
          </w:p>
          <w:p w:rsidR="00000000" w:rsidRPr="001309E8" w:rsidP="001309E8">
            <w:pPr>
              <w:pStyle w:val="ListBullet3"/>
            </w:pPr>
            <w:r w:rsidRPr="001309E8">
              <w:t>Assessment</w:t>
            </w:r>
          </w:p>
          <w:p w:rsidR="00000000" w:rsidRPr="001309E8" w:rsidP="001309E8">
            <w:pPr>
              <w:pStyle w:val="ListBullet3"/>
            </w:pPr>
            <w:r w:rsidRPr="001309E8">
              <w:t>Authorisation</w:t>
            </w:r>
          </w:p>
          <w:p w:rsidR="00000000" w:rsidRPr="001309E8" w:rsidP="001309E8">
            <w:pPr>
              <w:pStyle w:val="ListBullet3"/>
            </w:pPr>
            <w:r w:rsidRPr="001309E8">
              <w:t>Emergency</w:t>
            </w:r>
          </w:p>
          <w:p w:rsidR="00000000" w:rsidRPr="001309E8" w:rsidP="001309E8">
            <w:pPr>
              <w:pStyle w:val="ListBullet3"/>
            </w:pPr>
            <w:r w:rsidRPr="001309E8">
              <w:t>Established procedures</w:t>
            </w:r>
          </w:p>
          <w:p w:rsidR="00000000" w:rsidRPr="001309E8" w:rsidP="001309E8">
            <w:pPr>
              <w:pStyle w:val="ListBullet3"/>
            </w:pPr>
            <w:r w:rsidRPr="001309E8">
              <w:t>Fall prevention</w:t>
            </w:r>
          </w:p>
          <w:p w:rsidR="00000000" w:rsidRPr="001309E8" w:rsidP="001309E8">
            <w:pPr>
              <w:pStyle w:val="ListBullet3"/>
            </w:pPr>
            <w:r w:rsidRPr="001309E8">
              <w:t>Hazards</w:t>
            </w:r>
          </w:p>
          <w:p w:rsidR="00000000" w:rsidRPr="001309E8" w:rsidP="001309E8">
            <w:pPr>
              <w:pStyle w:val="ListBullet3"/>
            </w:pPr>
            <w:r w:rsidRPr="001309E8">
              <w:t>Identifying hazards</w:t>
            </w:r>
          </w:p>
          <w:p w:rsidR="00000000" w:rsidRPr="001309E8" w:rsidP="001309E8">
            <w:pPr>
              <w:pStyle w:val="ListBullet3"/>
            </w:pPr>
            <w:r w:rsidRPr="001309E8">
              <w:t>Inspect</w:t>
            </w:r>
          </w:p>
          <w:p w:rsidR="00000000" w:rsidRPr="001309E8" w:rsidP="001309E8">
            <w:pPr>
              <w:pStyle w:val="ListBullet3"/>
            </w:pPr>
            <w:r w:rsidRPr="001309E8">
              <w:t>Legislation</w:t>
            </w:r>
          </w:p>
          <w:p w:rsidR="00000000" w:rsidRPr="001309E8" w:rsidP="001309E8">
            <w:pPr>
              <w:pStyle w:val="ListBullet3"/>
            </w:pPr>
            <w:r w:rsidRPr="001309E8">
              <w:t>Notification</w:t>
            </w:r>
          </w:p>
          <w:p w:rsidR="00000000" w:rsidRPr="001309E8" w:rsidP="001309E8">
            <w:pPr>
              <w:pStyle w:val="ListBullet3"/>
            </w:pPr>
            <w:r w:rsidRPr="001309E8">
              <w:t>OHS practices</w:t>
            </w:r>
          </w:p>
          <w:p w:rsidR="00000000" w:rsidRPr="001309E8" w:rsidP="001309E8">
            <w:pPr>
              <w:pStyle w:val="ListBullet3"/>
            </w:pPr>
            <w:r w:rsidRPr="001309E8">
              <w:t>OHS issues</w:t>
            </w:r>
          </w:p>
          <w:p w:rsidR="00000000" w:rsidRPr="001309E8" w:rsidP="001309E8">
            <w:pPr>
              <w:pStyle w:val="ListBullet3"/>
            </w:pPr>
            <w:r w:rsidRPr="001309E8">
              <w:t>Permits and/or permits to work</w:t>
            </w:r>
          </w:p>
          <w:p w:rsidR="00000000" w:rsidRPr="001309E8" w:rsidP="001309E8">
            <w:pPr>
              <w:pStyle w:val="ListBullet3"/>
            </w:pPr>
            <w:r w:rsidRPr="001309E8">
              <w:t>Personnel</w:t>
            </w:r>
          </w:p>
          <w:p w:rsidR="00000000" w:rsidRPr="001309E8" w:rsidP="001309E8">
            <w:pPr>
              <w:pStyle w:val="ListBullet3"/>
            </w:pPr>
            <w:r w:rsidRPr="001309E8">
              <w:t>Requirements</w:t>
            </w:r>
          </w:p>
          <w:p w:rsidR="00000000" w:rsidRPr="001309E8" w:rsidP="001309E8">
            <w:pPr>
              <w:pStyle w:val="ListBullet3"/>
            </w:pPr>
            <w:r w:rsidRPr="001309E8">
              <w:t>Testing procedures</w:t>
            </w:r>
          </w:p>
          <w:p w:rsidR="00000000" w:rsidRPr="001309E8" w:rsidP="001309E8">
            <w:pPr>
              <w:pStyle w:val="ListBullet3"/>
            </w:pPr>
            <w:r w:rsidRPr="001309E8">
              <w:t>Work clearance systems</w:t>
            </w:r>
          </w:p>
        </w:tc>
      </w:tr>
    </w:tbl>
    <w:p w:rsidR="00000000" w:rsidRPr="001309E8" w:rsidP="001309E8">
      <w:pPr>
        <w:pStyle w:val="BodyText"/>
      </w:pPr>
    </w:p>
    <w:p w:rsidR="00000000" w:rsidRPr="001309E8" w:rsidP="001309E8">
      <w:pPr>
        <w:pStyle w:val="AllowPageBreak"/>
      </w:pPr>
    </w:p>
    <w:p w:rsidR="00000000" w:rsidRPr="001309E8" w:rsidP="001309E8">
      <w:pPr>
        <w:pStyle w:val="Heading1"/>
      </w:pPr>
      <w:bookmarkStart w:id="12" w:name="O_632664"/>
      <w:bookmarkEnd w:id="12"/>
      <w:r w:rsidRPr="001309E8">
        <w:t>Unit Sector(s)</w:t>
      </w:r>
    </w:p>
    <w:p w:rsidR="00000000" w:rsidRPr="001309E8" w:rsidP="001309E8">
      <w:pPr>
        <w:pStyle w:val="BodyText"/>
      </w:pPr>
      <w:r w:rsidRPr="001309E8">
        <w:t>Not applicable.</w:t>
      </w:r>
    </w:p>
    <w:p w:rsidR="00000000" w:rsidRPr="001309E8" w:rsidP="001309E8">
      <w:pPr>
        <w:pStyle w:val="AllowPageBreak"/>
      </w:pPr>
    </w:p>
    <w:p w:rsidR="00000000" w:rsidRPr="001309E8" w:rsidP="001309E8">
      <w:pPr>
        <w:pStyle w:val="Heading1"/>
      </w:pPr>
      <w:bookmarkStart w:id="13" w:name="O_632663"/>
      <w:bookmarkEnd w:id="13"/>
      <w:r w:rsidRPr="001309E8">
        <w:t>Competency Field</w:t>
      </w:r>
    </w:p>
    <w:tbl>
      <w:tblPr>
        <w:tblW w:w="0" w:type="auto"/>
        <w:tblLayout w:type="fixed"/>
        <w:tblCellMar>
          <w:left w:w="62" w:type="dxa"/>
          <w:right w:w="62" w:type="dxa"/>
        </w:tblCellMar>
        <w:tblLook w:val="0000"/>
      </w:tblPr>
      <w:tblGrid>
        <w:gridCol w:w="2700"/>
        <w:gridCol w:w="5760"/>
      </w:tblGrid>
      <w:tr w:rsidTr="008C1CE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309E8" w:rsidP="001309E8">
            <w:pPr>
              <w:pStyle w:val="BodyText"/>
            </w:pPr>
            <w:r w:rsidRPr="001309E8">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1309E8">
            <w:pPr>
              <w:pStyle w:val="BodyText"/>
              <w:rPr>
                <w:lang w:val="en-NZ"/>
              </w:rPr>
            </w:pPr>
            <w:r w:rsidRPr="001309E8">
              <w:rPr>
                <w:rStyle w:val="SpecialBold"/>
              </w:rPr>
              <w:t xml:space="preserve">11) </w:t>
            </w:r>
          </w:p>
        </w:tc>
      </w:tr>
      <w:tr w:rsidTr="008C1CE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309E8" w:rsidP="001309E8">
            <w:pPr>
              <w:pStyle w:val="BodyText"/>
            </w:pPr>
            <w:r w:rsidRPr="001309E8">
              <w:t>Refresher Training Unit</w:t>
            </w:r>
          </w:p>
        </w:tc>
      </w:tr>
    </w:tbl>
    <w:p w:rsidR="00000000" w:rsidRPr="001309E8" w:rsidP="001309E8">
      <w:pPr>
        <w:pStyle w:val="BodyText"/>
      </w:pPr>
    </w:p>
    <w:p w:rsidR="00000000" w:rsidRPr="001309E8" w:rsidP="001309E8"/>
    <w:sectPr w:rsidSect="001309E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09E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09E8" w:rsidRPr="008C1CEC" w:rsidP="008C1CE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09E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1CEC" w:rsidP="001309E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8C1CEC" w:rsidP="001309E8">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E-OZ Training Standards</w:t>
    </w:r>
    <w:r>
      <w:fldChar w:fldCharType="end"/>
    </w:r>
  </w:p>
  <w:p w:rsidR="008C1CEC" w:rsidP="001309E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09E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09E8" w:rsidRPr="008C1CEC" w:rsidP="008C1CE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09E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1CEC" w:rsidRPr="002D2AF8" w:rsidP="001309E8">
    <w:pPr>
      <w:pStyle w:val="Header"/>
      <w:framePr w:wrap="around"/>
    </w:pPr>
    <w:r>
      <w:fldChar w:fldCharType="begin"/>
    </w:r>
    <w:r>
      <w:instrText xml:space="preserve"> TITLE   \* MERGEFORMAT </w:instrText>
    </w:r>
    <w:r>
      <w:fldChar w:fldCharType="separate"/>
    </w:r>
    <w:r>
      <w:t>UETTDRRF05B Perform rescue from switchyard structures at heights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November 2014</w:t>
    </w:r>
    <w:r>
      <w:fldChar w:fldCharType="end"/>
    </w:r>
  </w:p>
  <w:p w:rsidR="008C1CEC" w:rsidP="001309E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92C059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B48A89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A84CE8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09E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309E8"/>
    <w:pPr>
      <w:spacing w:before="360" w:after="60"/>
      <w:outlineLvl w:val="0"/>
    </w:pPr>
    <w:rPr>
      <w:sz w:val="32"/>
    </w:rPr>
  </w:style>
  <w:style w:type="paragraph" w:styleId="Heading2">
    <w:name w:val="heading 2"/>
    <w:basedOn w:val="HeadingBase"/>
    <w:next w:val="BodyText"/>
    <w:link w:val="Heading2Char"/>
    <w:qFormat/>
    <w:rsid w:val="001309E8"/>
    <w:pPr>
      <w:keepLines/>
      <w:spacing w:before="240" w:after="120"/>
      <w:outlineLvl w:val="1"/>
    </w:pPr>
    <w:rPr>
      <w:sz w:val="28"/>
      <w:szCs w:val="40"/>
    </w:rPr>
  </w:style>
  <w:style w:type="paragraph" w:styleId="Heading3">
    <w:name w:val="heading 3"/>
    <w:basedOn w:val="HeadingBase"/>
    <w:next w:val="BodyText"/>
    <w:link w:val="Heading3Char"/>
    <w:qFormat/>
    <w:rsid w:val="001309E8"/>
    <w:pPr>
      <w:spacing w:before="180" w:after="120"/>
      <w:outlineLvl w:val="2"/>
    </w:pPr>
    <w:rPr>
      <w:spacing w:val="-10"/>
      <w:kern w:val="32"/>
    </w:rPr>
  </w:style>
  <w:style w:type="paragraph" w:styleId="Heading4">
    <w:name w:val="heading 4"/>
    <w:basedOn w:val="HeadingBase"/>
    <w:next w:val="BodyText"/>
    <w:link w:val="Heading4Char"/>
    <w:qFormat/>
    <w:rsid w:val="001309E8"/>
    <w:pPr>
      <w:spacing w:before="160" w:after="120"/>
      <w:outlineLvl w:val="3"/>
    </w:pPr>
    <w:rPr>
      <w:sz w:val="22"/>
    </w:rPr>
  </w:style>
  <w:style w:type="paragraph" w:styleId="Heading5">
    <w:name w:val="heading 5"/>
    <w:basedOn w:val="HeadingBase"/>
    <w:next w:val="Normal"/>
    <w:link w:val="Heading5Char"/>
    <w:qFormat/>
    <w:rsid w:val="001309E8"/>
    <w:pPr>
      <w:spacing w:before="80"/>
      <w:outlineLvl w:val="4"/>
    </w:pPr>
    <w:rPr>
      <w:color w:val="918585"/>
      <w:sz w:val="20"/>
    </w:rPr>
  </w:style>
  <w:style w:type="paragraph" w:styleId="Heading6">
    <w:name w:val="heading 6"/>
    <w:basedOn w:val="HeadingBase"/>
    <w:next w:val="Normal"/>
    <w:link w:val="Heading6Char"/>
    <w:qFormat/>
    <w:rsid w:val="001309E8"/>
    <w:pPr>
      <w:spacing w:before="60"/>
      <w:outlineLvl w:val="5"/>
    </w:pPr>
    <w:rPr>
      <w:color w:val="918585"/>
      <w:sz w:val="20"/>
    </w:rPr>
  </w:style>
  <w:style w:type="paragraph" w:styleId="Heading7">
    <w:name w:val="heading 7"/>
    <w:basedOn w:val="Normal"/>
    <w:next w:val="Normal"/>
    <w:link w:val="Heading7Char"/>
    <w:qFormat/>
    <w:rsid w:val="001309E8"/>
    <w:pPr>
      <w:ind w:left="720"/>
      <w:outlineLvl w:val="6"/>
    </w:pPr>
    <w:rPr>
      <w:i/>
    </w:rPr>
  </w:style>
  <w:style w:type="paragraph" w:styleId="Heading8">
    <w:name w:val="heading 8"/>
    <w:basedOn w:val="Normal"/>
    <w:next w:val="Normal"/>
    <w:link w:val="Heading8Char"/>
    <w:qFormat/>
    <w:rsid w:val="001309E8"/>
    <w:pPr>
      <w:ind w:left="720"/>
      <w:outlineLvl w:val="7"/>
    </w:pPr>
    <w:rPr>
      <w:i/>
    </w:rPr>
  </w:style>
  <w:style w:type="paragraph" w:styleId="Heading9">
    <w:name w:val="heading 9"/>
    <w:basedOn w:val="Normal"/>
    <w:next w:val="Normal"/>
    <w:link w:val="Heading9Char"/>
    <w:qFormat/>
    <w:rsid w:val="001309E8"/>
    <w:pPr>
      <w:ind w:left="720"/>
      <w:outlineLvl w:val="8"/>
    </w:pPr>
    <w:rPr>
      <w:i/>
    </w:rPr>
  </w:style>
  <w:style w:type="character" w:default="1" w:styleId="DefaultParagraphFont">
    <w:name w:val="Default Paragraph Font"/>
    <w:uiPriority w:val="1"/>
    <w:unhideWhenUsed/>
    <w:rsid w:val="001309E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309E8"/>
  </w:style>
  <w:style w:type="character" w:customStyle="1" w:styleId="Heading1Char">
    <w:name w:val="Heading 1 Char"/>
    <w:basedOn w:val="DefaultParagraphFont"/>
    <w:link w:val="Heading1"/>
    <w:rsid w:val="001309E8"/>
    <w:rPr>
      <w:rFonts w:ascii="Times New Roman" w:eastAsia="Times New Roman" w:hAnsi="Times New Roman" w:cs="Times New Roman"/>
      <w:b/>
      <w:sz w:val="32"/>
      <w:szCs w:val="20"/>
      <w:lang w:eastAsia="en-US"/>
    </w:rPr>
  </w:style>
  <w:style w:type="paragraph" w:styleId="BodyText">
    <w:name w:val="Body Text"/>
    <w:basedOn w:val="Normal"/>
    <w:link w:val="BodyTextChar"/>
    <w:rsid w:val="001309E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309E8"/>
    <w:rPr>
      <w:rFonts w:ascii="Times New Roman" w:eastAsia="Times New Roman" w:hAnsi="Times New Roman" w:cs="Times New Roman"/>
      <w:sz w:val="24"/>
      <w:lang w:eastAsia="en-US"/>
    </w:rPr>
  </w:style>
  <w:style w:type="paragraph" w:styleId="ListBullet">
    <w:name w:val="List Bullet"/>
    <w:basedOn w:val="List"/>
    <w:rsid w:val="001309E8"/>
    <w:pPr>
      <w:numPr>
        <w:numId w:val="14"/>
      </w:numPr>
      <w:tabs>
        <w:tab w:val="clear" w:pos="340"/>
      </w:tabs>
      <w:spacing w:before="40" w:after="40"/>
    </w:pPr>
  </w:style>
  <w:style w:type="character" w:customStyle="1" w:styleId="SpecialBold">
    <w:name w:val="Special Bold"/>
    <w:basedOn w:val="DefaultParagraphFont"/>
    <w:rsid w:val="001309E8"/>
    <w:rPr>
      <w:b/>
      <w:spacing w:val="0"/>
    </w:rPr>
  </w:style>
  <w:style w:type="paragraph" w:styleId="ListBullet2">
    <w:name w:val="List Bullet 2"/>
    <w:basedOn w:val="List2"/>
    <w:rsid w:val="001309E8"/>
    <w:pPr>
      <w:numPr>
        <w:numId w:val="15"/>
      </w:numPr>
      <w:tabs>
        <w:tab w:val="clear" w:pos="680"/>
      </w:tabs>
    </w:pPr>
  </w:style>
  <w:style w:type="paragraph" w:customStyle="1" w:styleId="SuperHeading">
    <w:name w:val="SuperHeading"/>
    <w:basedOn w:val="Normal"/>
    <w:rsid w:val="001309E8"/>
    <w:pPr>
      <w:spacing w:before="240" w:after="120"/>
      <w:outlineLvl w:val="0"/>
    </w:pPr>
    <w:rPr>
      <w:rFonts w:ascii="Times New Roman" w:hAnsi="Times New Roman"/>
      <w:b/>
      <w:sz w:val="32"/>
    </w:rPr>
  </w:style>
  <w:style w:type="paragraph" w:customStyle="1" w:styleId="AllowPageBreak">
    <w:name w:val="AllowPageBreak"/>
    <w:rsid w:val="001309E8"/>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309E8"/>
    <w:pPr>
      <w:numPr>
        <w:numId w:val="3"/>
      </w:numPr>
      <w:tabs>
        <w:tab w:val="clear" w:pos="1021"/>
      </w:tabs>
      <w:ind w:left="1037" w:hanging="357"/>
    </w:pPr>
  </w:style>
  <w:style w:type="character" w:customStyle="1" w:styleId="Heading2Char">
    <w:name w:val="Heading 2 Char"/>
    <w:basedOn w:val="DefaultParagraphFont"/>
    <w:link w:val="Heading2"/>
    <w:rsid w:val="001309E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309E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309E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309E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309E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309E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309E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309E8"/>
    <w:rPr>
      <w:rFonts w:ascii="Courier New" w:eastAsia="Times New Roman" w:hAnsi="Courier New" w:cs="Times New Roman"/>
      <w:i/>
      <w:szCs w:val="20"/>
      <w:lang w:eastAsia="en-US"/>
    </w:rPr>
  </w:style>
  <w:style w:type="paragraph" w:customStyle="1" w:styleId="HeadingBase">
    <w:name w:val="Heading Base"/>
    <w:rsid w:val="001309E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309E8"/>
    <w:pPr>
      <w:tabs>
        <w:tab w:val="right" w:leader="dot" w:pos="9072"/>
      </w:tabs>
      <w:ind w:left="567"/>
    </w:pPr>
    <w:rPr>
      <w:szCs w:val="22"/>
    </w:rPr>
  </w:style>
  <w:style w:type="paragraph" w:customStyle="1" w:styleId="TOCBase">
    <w:name w:val="TOC Base"/>
    <w:rsid w:val="001309E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309E8"/>
    <w:pPr>
      <w:tabs>
        <w:tab w:val="right" w:leader="dot" w:pos="9072"/>
      </w:tabs>
      <w:spacing w:before="40" w:after="40"/>
      <w:ind w:left="284"/>
    </w:pPr>
    <w:rPr>
      <w:rFonts w:ascii="Times New Roman" w:hAnsi="Times New Roman"/>
    </w:rPr>
  </w:style>
  <w:style w:type="paragraph" w:styleId="TOC1">
    <w:name w:val="toc 1"/>
    <w:basedOn w:val="TOCBase"/>
    <w:next w:val="Normal"/>
    <w:rsid w:val="001309E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309E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309E8"/>
    <w:rPr>
      <w:rFonts w:ascii="Times New Roman" w:eastAsia="Times New Roman" w:hAnsi="Times New Roman" w:cs="Times New Roman"/>
      <w:sz w:val="16"/>
      <w:lang w:eastAsia="en-US"/>
    </w:rPr>
  </w:style>
  <w:style w:type="paragraph" w:styleId="Title">
    <w:name w:val="Title"/>
    <w:basedOn w:val="HeadingBase"/>
    <w:link w:val="TitleChar"/>
    <w:qFormat/>
    <w:rsid w:val="001309E8"/>
    <w:pPr>
      <w:spacing w:before="5040"/>
      <w:jc w:val="center"/>
    </w:pPr>
    <w:rPr>
      <w:sz w:val="48"/>
      <w:szCs w:val="72"/>
      <w:lang w:val="en-US"/>
    </w:rPr>
  </w:style>
  <w:style w:type="character" w:customStyle="1" w:styleId="TitleChar">
    <w:name w:val="Title Char"/>
    <w:basedOn w:val="DefaultParagraphFont"/>
    <w:link w:val="Title"/>
    <w:rsid w:val="001309E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309E8"/>
    <w:pPr>
      <w:tabs>
        <w:tab w:val="left" w:pos="3600"/>
        <w:tab w:val="left" w:pos="3958"/>
      </w:tabs>
    </w:pPr>
  </w:style>
  <w:style w:type="paragraph" w:styleId="List">
    <w:name w:val="List"/>
    <w:basedOn w:val="BodyText"/>
    <w:next w:val="BodyText"/>
    <w:rsid w:val="001309E8"/>
    <w:pPr>
      <w:tabs>
        <w:tab w:val="left" w:pos="340"/>
      </w:tabs>
      <w:spacing w:before="60" w:after="60"/>
      <w:ind w:left="340" w:hanging="340"/>
    </w:pPr>
  </w:style>
  <w:style w:type="paragraph" w:customStyle="1" w:styleId="Note">
    <w:name w:val="Note"/>
    <w:basedOn w:val="BodyText"/>
    <w:rsid w:val="001309E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309E8"/>
    <w:pPr>
      <w:framePr w:wrap="auto" w:hAnchor="text" w:y="6049"/>
    </w:pPr>
    <w:rPr>
      <w:color w:val="000000"/>
      <w:sz w:val="40"/>
    </w:rPr>
  </w:style>
  <w:style w:type="paragraph" w:customStyle="1" w:styleId="TOCTitle">
    <w:name w:val="TOCTitle"/>
    <w:basedOn w:val="Heading1"/>
    <w:rsid w:val="001309E8"/>
    <w:pPr>
      <w:spacing w:after="240"/>
      <w:jc w:val="center"/>
      <w:outlineLvl w:val="9"/>
    </w:pPr>
    <w:rPr>
      <w:caps/>
    </w:rPr>
  </w:style>
  <w:style w:type="paragraph" w:customStyle="1" w:styleId="Version">
    <w:name w:val="Version"/>
    <w:rsid w:val="001309E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309E8"/>
    <w:pPr>
      <w:keepNext w:val="0"/>
      <w:tabs>
        <w:tab w:val="right" w:pos="4176"/>
      </w:tabs>
      <w:ind w:left="198" w:hanging="198"/>
    </w:pPr>
    <w:rPr>
      <w:rFonts w:ascii="Garamond" w:hAnsi="Garamond"/>
    </w:rPr>
  </w:style>
  <w:style w:type="paragraph" w:styleId="IndexHeading">
    <w:name w:val="index heading"/>
    <w:basedOn w:val="Normal"/>
    <w:next w:val="Index1"/>
    <w:semiHidden/>
    <w:rsid w:val="001309E8"/>
    <w:pPr>
      <w:spacing w:before="120" w:after="120"/>
    </w:pPr>
    <w:rPr>
      <w:rFonts w:ascii="Arial" w:hAnsi="Arial"/>
      <w:b/>
      <w:color w:val="918585"/>
      <w:sz w:val="24"/>
    </w:rPr>
  </w:style>
  <w:style w:type="paragraph" w:styleId="Header">
    <w:name w:val="header"/>
    <w:basedOn w:val="Normal"/>
    <w:link w:val="HeaderChar"/>
    <w:rsid w:val="001309E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309E8"/>
    <w:rPr>
      <w:rFonts w:ascii="Times New Roman" w:eastAsia="Times New Roman" w:hAnsi="Times New Roman" w:cs="Times New Roman"/>
      <w:sz w:val="16"/>
      <w:szCs w:val="20"/>
      <w:lang w:val="en-GB" w:eastAsia="en-US"/>
    </w:rPr>
  </w:style>
  <w:style w:type="paragraph" w:customStyle="1" w:styleId="Chapter">
    <w:name w:val="Chapter"/>
    <w:basedOn w:val="Normal"/>
    <w:rsid w:val="001309E8"/>
    <w:pPr>
      <w:spacing w:before="240"/>
    </w:pPr>
    <w:rPr>
      <w:rFonts w:ascii="Times New Roman" w:hAnsi="Times New Roman"/>
      <w:smallCaps/>
      <w:spacing w:val="80"/>
      <w:sz w:val="28"/>
    </w:rPr>
  </w:style>
  <w:style w:type="paragraph" w:customStyle="1" w:styleId="InChapter">
    <w:name w:val="InChapter"/>
    <w:basedOn w:val="Heading3"/>
    <w:rsid w:val="001309E8"/>
    <w:pPr>
      <w:spacing w:after="240"/>
      <w:outlineLvl w:val="9"/>
    </w:pPr>
    <w:rPr>
      <w:noProof/>
    </w:rPr>
  </w:style>
  <w:style w:type="paragraph" w:styleId="Index2">
    <w:name w:val="index 2"/>
    <w:basedOn w:val="Normal"/>
    <w:next w:val="Normal"/>
    <w:semiHidden/>
    <w:rsid w:val="001309E8"/>
    <w:pPr>
      <w:tabs>
        <w:tab w:val="right" w:pos="4176"/>
      </w:tabs>
      <w:ind w:left="568" w:hanging="284"/>
    </w:pPr>
    <w:rPr>
      <w:rFonts w:ascii="Garamond" w:hAnsi="Garamond"/>
    </w:rPr>
  </w:style>
  <w:style w:type="paragraph" w:customStyle="1" w:styleId="Byline">
    <w:name w:val="Byline"/>
    <w:rsid w:val="001309E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309E8"/>
    <w:pPr>
      <w:tabs>
        <w:tab w:val="clear" w:pos="3600"/>
        <w:tab w:val="clear" w:pos="3958"/>
      </w:tabs>
      <w:jc w:val="right"/>
    </w:pPr>
  </w:style>
  <w:style w:type="character" w:styleId="Emphasis">
    <w:name w:val="Emphasis"/>
    <w:basedOn w:val="DefaultParagraphFont"/>
    <w:qFormat/>
    <w:rsid w:val="001309E8"/>
    <w:rPr>
      <w:i/>
    </w:rPr>
  </w:style>
  <w:style w:type="paragraph" w:styleId="Caption">
    <w:name w:val="caption"/>
    <w:basedOn w:val="BodyText"/>
    <w:next w:val="Normal"/>
    <w:qFormat/>
    <w:rsid w:val="001309E8"/>
    <w:pPr>
      <w:framePr w:w="2268" w:hSpace="181" w:vSpace="181" w:wrap="around" w:vAnchor="text" w:hAnchor="page" w:x="1135" w:y="285" w:anchorLock="1"/>
    </w:pPr>
    <w:rPr>
      <w:i/>
    </w:rPr>
  </w:style>
  <w:style w:type="paragraph" w:customStyle="1" w:styleId="MiniTOCTitle">
    <w:name w:val="MiniTOCTitle"/>
    <w:basedOn w:val="Heading4"/>
    <w:rsid w:val="001309E8"/>
    <w:pPr>
      <w:spacing w:before="240"/>
      <w:outlineLvl w:val="9"/>
    </w:pPr>
    <w:rPr>
      <w:noProof/>
      <w:sz w:val="24"/>
    </w:rPr>
  </w:style>
  <w:style w:type="paragraph" w:customStyle="1" w:styleId="MiniTOCItem">
    <w:name w:val="MiniTOCItem"/>
    <w:basedOn w:val="ListBullet"/>
    <w:rsid w:val="001309E8"/>
    <w:pPr>
      <w:numPr>
        <w:numId w:val="0"/>
      </w:numPr>
      <w:tabs>
        <w:tab w:val="right" w:leader="dot" w:pos="6521"/>
      </w:tabs>
      <w:spacing w:before="0" w:after="0"/>
    </w:pPr>
  </w:style>
  <w:style w:type="paragraph" w:customStyle="1" w:styleId="TOFTitle">
    <w:name w:val="TOFTitle"/>
    <w:basedOn w:val="TOCTitle"/>
    <w:rsid w:val="001309E8"/>
  </w:style>
  <w:style w:type="paragraph" w:styleId="TableofFigures">
    <w:name w:val="table of figures"/>
    <w:basedOn w:val="Normal"/>
    <w:next w:val="Normal"/>
    <w:semiHidden/>
    <w:rsid w:val="001309E8"/>
    <w:pPr>
      <w:tabs>
        <w:tab w:val="right" w:leader="dot" w:pos="9072"/>
      </w:tabs>
      <w:ind w:left="970" w:hanging="403"/>
    </w:pPr>
    <w:rPr>
      <w:rFonts w:ascii="Times New Roman" w:hAnsi="Times New Roman"/>
      <w:b/>
    </w:rPr>
  </w:style>
  <w:style w:type="paragraph" w:styleId="ListNumber">
    <w:name w:val="List Number"/>
    <w:basedOn w:val="List"/>
    <w:rsid w:val="001309E8"/>
    <w:pPr>
      <w:numPr>
        <w:numId w:val="12"/>
      </w:numPr>
    </w:pPr>
  </w:style>
  <w:style w:type="character" w:customStyle="1" w:styleId="WingdingSymbols">
    <w:name w:val="Wingding Symbols"/>
    <w:rsid w:val="001309E8"/>
    <w:rPr>
      <w:rFonts w:ascii="Wingdings" w:hAnsi="Wingdings"/>
    </w:rPr>
  </w:style>
  <w:style w:type="paragraph" w:customStyle="1" w:styleId="TableHeading">
    <w:name w:val="Table Heading"/>
    <w:basedOn w:val="HeadingBase"/>
    <w:rsid w:val="001309E8"/>
    <w:pPr>
      <w:keepLines/>
      <w:pBdr>
        <w:bottom w:val="single" w:sz="6" w:space="1" w:color="918585"/>
      </w:pBdr>
      <w:spacing w:before="240"/>
    </w:pPr>
  </w:style>
  <w:style w:type="character" w:customStyle="1" w:styleId="HotSpot">
    <w:name w:val="HotSpot"/>
    <w:rsid w:val="001309E8"/>
    <w:rPr>
      <w:color w:val="0033CC"/>
      <w:u w:val="none"/>
    </w:rPr>
  </w:style>
  <w:style w:type="paragraph" w:customStyle="1" w:styleId="BodyTextRight">
    <w:name w:val="Body Text Right"/>
    <w:basedOn w:val="BodyText"/>
    <w:rsid w:val="001309E8"/>
    <w:pPr>
      <w:spacing w:before="0" w:after="0"/>
      <w:jc w:val="right"/>
    </w:pPr>
  </w:style>
  <w:style w:type="paragraph" w:styleId="Index3">
    <w:name w:val="index 3"/>
    <w:basedOn w:val="ListNumber2"/>
    <w:next w:val="Normal"/>
    <w:semiHidden/>
    <w:rsid w:val="001309E8"/>
    <w:pPr>
      <w:numPr>
        <w:numId w:val="0"/>
      </w:numPr>
      <w:tabs>
        <w:tab w:val="right" w:leader="dot" w:pos="4176"/>
      </w:tabs>
    </w:pPr>
  </w:style>
  <w:style w:type="paragraph" w:styleId="ListNumber2">
    <w:name w:val="List Number 2"/>
    <w:basedOn w:val="List2"/>
    <w:rsid w:val="001309E8"/>
    <w:pPr>
      <w:numPr>
        <w:numId w:val="11"/>
      </w:numPr>
      <w:tabs>
        <w:tab w:val="clear" w:pos="1060"/>
      </w:tabs>
    </w:pPr>
  </w:style>
  <w:style w:type="paragraph" w:customStyle="1" w:styleId="MarginNote">
    <w:name w:val="Margin Note"/>
    <w:basedOn w:val="BodyText"/>
    <w:rsid w:val="001309E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309E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309E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309E8"/>
    <w:rPr>
      <w:sz w:val="32"/>
    </w:rPr>
  </w:style>
  <w:style w:type="paragraph" w:customStyle="1" w:styleId="HeadingProcedure">
    <w:name w:val="Heading Procedure"/>
    <w:basedOn w:val="HeadingBase"/>
    <w:next w:val="Normal"/>
    <w:rsid w:val="001309E8"/>
    <w:pPr>
      <w:tabs>
        <w:tab w:val="left" w:pos="0"/>
      </w:tabs>
      <w:spacing w:before="120" w:after="60"/>
    </w:pPr>
    <w:rPr>
      <w:i/>
      <w:color w:val="918585"/>
      <w:sz w:val="22"/>
    </w:rPr>
  </w:style>
  <w:style w:type="paragraph" w:customStyle="1" w:styleId="TableBodyText">
    <w:name w:val="Table Body Text"/>
    <w:basedOn w:val="BodyText"/>
    <w:rsid w:val="001309E8"/>
    <w:pPr>
      <w:spacing w:before="60" w:after="60"/>
    </w:pPr>
  </w:style>
  <w:style w:type="paragraph" w:styleId="ListContinue">
    <w:name w:val="List Continue"/>
    <w:basedOn w:val="List"/>
    <w:rsid w:val="001309E8"/>
    <w:pPr>
      <w:ind w:firstLine="0"/>
    </w:pPr>
  </w:style>
  <w:style w:type="paragraph" w:customStyle="1" w:styleId="ListNote">
    <w:name w:val="List Note"/>
    <w:basedOn w:val="List"/>
    <w:rsid w:val="001309E8"/>
    <w:pPr>
      <w:pBdr>
        <w:top w:val="single" w:sz="6" w:space="2" w:color="918585"/>
        <w:bottom w:val="single" w:sz="6" w:space="2" w:color="918585"/>
      </w:pBdr>
      <w:tabs>
        <w:tab w:val="left" w:pos="1021"/>
      </w:tabs>
      <w:ind w:firstLine="0"/>
    </w:pPr>
  </w:style>
  <w:style w:type="paragraph" w:customStyle="1" w:styleId="Warning">
    <w:name w:val="Warning"/>
    <w:basedOn w:val="BodyText"/>
    <w:rsid w:val="001309E8"/>
    <w:pPr>
      <w:shd w:val="clear" w:color="auto" w:fill="D9D9D9"/>
      <w:tabs>
        <w:tab w:val="left" w:pos="992"/>
      </w:tabs>
      <w:ind w:left="119" w:right="119"/>
    </w:pPr>
    <w:rPr>
      <w:sz w:val="20"/>
    </w:rPr>
  </w:style>
  <w:style w:type="paragraph" w:customStyle="1" w:styleId="MarginIcons">
    <w:name w:val="Margin Icons"/>
    <w:basedOn w:val="BodyText"/>
    <w:rsid w:val="001309E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309E8"/>
    <w:rPr>
      <w:rFonts w:ascii="Courier New" w:hAnsi="Courier New"/>
    </w:rPr>
  </w:style>
  <w:style w:type="paragraph" w:customStyle="1" w:styleId="NoteBullet">
    <w:name w:val="Note Bullet"/>
    <w:basedOn w:val="Note"/>
    <w:rsid w:val="001309E8"/>
    <w:pPr>
      <w:tabs>
        <w:tab w:val="clear" w:pos="680"/>
      </w:tabs>
      <w:spacing w:before="60" w:after="60"/>
    </w:pPr>
  </w:style>
  <w:style w:type="paragraph" w:customStyle="1" w:styleId="SubHeading2">
    <w:name w:val="SubHeading2"/>
    <w:basedOn w:val="HeadingBase"/>
    <w:rsid w:val="001309E8"/>
    <w:pPr>
      <w:spacing w:before="240" w:after="60"/>
    </w:pPr>
    <w:rPr>
      <w:sz w:val="20"/>
    </w:rPr>
  </w:style>
  <w:style w:type="paragraph" w:customStyle="1" w:styleId="SubHeading1">
    <w:name w:val="SubHeading1"/>
    <w:basedOn w:val="HeadingBase"/>
    <w:rsid w:val="001309E8"/>
    <w:pPr>
      <w:spacing w:before="240" w:after="60"/>
    </w:pPr>
    <w:rPr>
      <w:color w:val="918585"/>
      <w:sz w:val="22"/>
    </w:rPr>
  </w:style>
  <w:style w:type="paragraph" w:customStyle="1" w:styleId="SideHeading">
    <w:name w:val="Side Heading"/>
    <w:basedOn w:val="HeadingBase"/>
    <w:rsid w:val="001309E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309E8"/>
    <w:pPr>
      <w:numPr>
        <w:numId w:val="13"/>
      </w:numPr>
    </w:pPr>
  </w:style>
  <w:style w:type="paragraph" w:styleId="PlainText">
    <w:name w:val="Plain Text"/>
    <w:basedOn w:val="Normal"/>
    <w:link w:val="PlainTextChar"/>
    <w:rsid w:val="001309E8"/>
    <w:rPr>
      <w:sz w:val="20"/>
    </w:rPr>
  </w:style>
  <w:style w:type="character" w:customStyle="1" w:styleId="PlainTextChar">
    <w:name w:val="Plain Text Char"/>
    <w:basedOn w:val="DefaultParagraphFont"/>
    <w:link w:val="PlainText"/>
    <w:rsid w:val="001309E8"/>
    <w:rPr>
      <w:rFonts w:ascii="Courier New" w:eastAsia="Times New Roman" w:hAnsi="Courier New" w:cs="Times New Roman"/>
      <w:sz w:val="20"/>
      <w:szCs w:val="20"/>
      <w:lang w:eastAsia="en-US"/>
    </w:rPr>
  </w:style>
  <w:style w:type="character" w:customStyle="1" w:styleId="MenuOption">
    <w:name w:val="Menu Option"/>
    <w:basedOn w:val="DefaultParagraphFont"/>
    <w:rsid w:val="001309E8"/>
    <w:rPr>
      <w:b/>
      <w:smallCaps/>
    </w:rPr>
  </w:style>
  <w:style w:type="paragraph" w:customStyle="1" w:styleId="TableListNumber">
    <w:name w:val="Table List Number"/>
    <w:basedOn w:val="ListNumber"/>
    <w:rsid w:val="001309E8"/>
    <w:pPr>
      <w:numPr>
        <w:numId w:val="0"/>
      </w:numPr>
    </w:pPr>
  </w:style>
  <w:style w:type="paragraph" w:styleId="TOC4">
    <w:name w:val="toc 4"/>
    <w:basedOn w:val="TOCBase"/>
    <w:next w:val="Normal"/>
    <w:semiHidden/>
    <w:rsid w:val="001309E8"/>
    <w:pPr>
      <w:tabs>
        <w:tab w:val="right" w:leader="dot" w:pos="9071"/>
      </w:tabs>
      <w:ind w:left="1701"/>
    </w:pPr>
  </w:style>
  <w:style w:type="paragraph" w:customStyle="1" w:styleId="ListAlpha">
    <w:name w:val="List Alpha"/>
    <w:basedOn w:val="List"/>
    <w:rsid w:val="001309E8"/>
    <w:pPr>
      <w:numPr>
        <w:numId w:val="10"/>
      </w:numPr>
    </w:pPr>
  </w:style>
  <w:style w:type="paragraph" w:customStyle="1" w:styleId="ListAlpha2">
    <w:name w:val="List Alpha 2"/>
    <w:basedOn w:val="List2"/>
    <w:rsid w:val="001309E8"/>
    <w:pPr>
      <w:numPr>
        <w:numId w:val="9"/>
      </w:numPr>
    </w:pPr>
  </w:style>
  <w:style w:type="paragraph" w:styleId="List2">
    <w:name w:val="List 2"/>
    <w:basedOn w:val="BodyText"/>
    <w:rsid w:val="001309E8"/>
    <w:pPr>
      <w:tabs>
        <w:tab w:val="left" w:pos="680"/>
      </w:tabs>
      <w:spacing w:before="60" w:after="60"/>
      <w:ind w:left="680" w:hanging="340"/>
    </w:pPr>
  </w:style>
  <w:style w:type="paragraph" w:styleId="List3">
    <w:name w:val="List 3"/>
    <w:basedOn w:val="BodyText"/>
    <w:rsid w:val="001309E8"/>
    <w:pPr>
      <w:tabs>
        <w:tab w:val="left" w:pos="1021"/>
      </w:tabs>
      <w:spacing w:before="60" w:after="60"/>
      <w:ind w:left="1020" w:hanging="340"/>
    </w:pPr>
  </w:style>
  <w:style w:type="paragraph" w:styleId="List4">
    <w:name w:val="List 4"/>
    <w:basedOn w:val="BodyText"/>
    <w:rsid w:val="001309E8"/>
    <w:pPr>
      <w:tabs>
        <w:tab w:val="left" w:pos="1361"/>
      </w:tabs>
      <w:spacing w:before="60" w:after="60"/>
      <w:ind w:left="1361" w:hanging="340"/>
    </w:pPr>
  </w:style>
  <w:style w:type="paragraph" w:styleId="List5">
    <w:name w:val="List 5"/>
    <w:basedOn w:val="BodyText"/>
    <w:rsid w:val="001309E8"/>
    <w:pPr>
      <w:tabs>
        <w:tab w:val="left" w:pos="1701"/>
      </w:tabs>
      <w:spacing w:before="60" w:after="60"/>
      <w:ind w:left="1701" w:hanging="340"/>
    </w:pPr>
  </w:style>
  <w:style w:type="paragraph" w:styleId="ListBullet4">
    <w:name w:val="List Bullet 4"/>
    <w:basedOn w:val="List4"/>
    <w:rsid w:val="001309E8"/>
    <w:pPr>
      <w:numPr>
        <w:numId w:val="4"/>
      </w:numPr>
    </w:pPr>
  </w:style>
  <w:style w:type="paragraph" w:styleId="ListBullet5">
    <w:name w:val="List Bullet 5"/>
    <w:basedOn w:val="List5"/>
    <w:rsid w:val="001309E8"/>
    <w:pPr>
      <w:numPr>
        <w:numId w:val="5"/>
      </w:numPr>
    </w:pPr>
  </w:style>
  <w:style w:type="paragraph" w:styleId="ListContinue2">
    <w:name w:val="List Continue 2"/>
    <w:basedOn w:val="List2"/>
    <w:rsid w:val="001309E8"/>
    <w:pPr>
      <w:ind w:firstLine="0"/>
    </w:pPr>
  </w:style>
  <w:style w:type="paragraph" w:styleId="ListContinue3">
    <w:name w:val="List Continue 3"/>
    <w:basedOn w:val="List3"/>
    <w:rsid w:val="001309E8"/>
    <w:pPr>
      <w:ind w:left="1021" w:firstLine="0"/>
    </w:pPr>
  </w:style>
  <w:style w:type="paragraph" w:styleId="ListContinue4">
    <w:name w:val="List Continue 4"/>
    <w:basedOn w:val="List4"/>
    <w:rsid w:val="001309E8"/>
    <w:pPr>
      <w:ind w:firstLine="0"/>
    </w:pPr>
  </w:style>
  <w:style w:type="paragraph" w:styleId="ListContinue5">
    <w:name w:val="List Continue 5"/>
    <w:basedOn w:val="List5"/>
    <w:rsid w:val="001309E8"/>
    <w:pPr>
      <w:ind w:firstLine="0"/>
    </w:pPr>
  </w:style>
  <w:style w:type="paragraph" w:styleId="ListNumber3">
    <w:name w:val="List Number 3"/>
    <w:basedOn w:val="List3"/>
    <w:rsid w:val="001309E8"/>
    <w:pPr>
      <w:numPr>
        <w:numId w:val="6"/>
      </w:numPr>
    </w:pPr>
  </w:style>
  <w:style w:type="paragraph" w:styleId="ListNumber4">
    <w:name w:val="List Number 4"/>
    <w:basedOn w:val="List4"/>
    <w:rsid w:val="001309E8"/>
    <w:pPr>
      <w:numPr>
        <w:numId w:val="7"/>
      </w:numPr>
    </w:pPr>
  </w:style>
  <w:style w:type="paragraph" w:styleId="ListNumber5">
    <w:name w:val="List Number 5"/>
    <w:basedOn w:val="List5"/>
    <w:rsid w:val="001309E8"/>
    <w:pPr>
      <w:numPr>
        <w:numId w:val="8"/>
      </w:numPr>
    </w:pPr>
  </w:style>
  <w:style w:type="paragraph" w:styleId="BlockText">
    <w:name w:val="Block Text"/>
    <w:basedOn w:val="Normal"/>
    <w:rsid w:val="001309E8"/>
    <w:pPr>
      <w:spacing w:after="120"/>
      <w:ind w:left="1440" w:right="1440"/>
    </w:pPr>
  </w:style>
  <w:style w:type="character" w:customStyle="1" w:styleId="Subscript">
    <w:name w:val="Subscript"/>
    <w:basedOn w:val="DefaultParagraphFont"/>
    <w:rsid w:val="001309E8"/>
    <w:rPr>
      <w:sz w:val="16"/>
      <w:vertAlign w:val="subscript"/>
    </w:rPr>
  </w:style>
  <w:style w:type="character" w:customStyle="1" w:styleId="Superscript">
    <w:name w:val="Superscript"/>
    <w:basedOn w:val="DefaultParagraphFont"/>
    <w:rsid w:val="001309E8"/>
    <w:rPr>
      <w:sz w:val="16"/>
      <w:vertAlign w:val="superscript"/>
    </w:rPr>
  </w:style>
  <w:style w:type="character" w:customStyle="1" w:styleId="Symbols">
    <w:name w:val="Symbols"/>
    <w:basedOn w:val="DefaultParagraphFont"/>
    <w:rsid w:val="001309E8"/>
    <w:rPr>
      <w:rFonts w:ascii="Symbol" w:hAnsi="Symbol"/>
    </w:rPr>
  </w:style>
  <w:style w:type="character" w:customStyle="1" w:styleId="MenuOptions">
    <w:name w:val="Menu Options"/>
    <w:basedOn w:val="DefaultParagraphFont"/>
    <w:rsid w:val="001309E8"/>
    <w:rPr>
      <w:rFonts w:ascii="Arial Narrow" w:hAnsi="Arial Narrow"/>
      <w:smallCaps/>
    </w:rPr>
  </w:style>
  <w:style w:type="character" w:customStyle="1" w:styleId="Buttons">
    <w:name w:val="Buttons"/>
    <w:basedOn w:val="DefaultParagraphFont"/>
    <w:rsid w:val="001309E8"/>
    <w:rPr>
      <w:b/>
    </w:rPr>
  </w:style>
  <w:style w:type="character" w:customStyle="1" w:styleId="Underlined">
    <w:name w:val="Underlined"/>
    <w:basedOn w:val="DefaultParagraphFont"/>
    <w:rsid w:val="001309E8"/>
    <w:rPr>
      <w:u w:val="single"/>
    </w:rPr>
  </w:style>
  <w:style w:type="paragraph" w:customStyle="1" w:styleId="TableBodyTextRight">
    <w:name w:val="Table Body Text Right"/>
    <w:basedOn w:val="TableBodyText"/>
    <w:rsid w:val="001309E8"/>
    <w:pPr>
      <w:widowControl w:val="0"/>
      <w:autoSpaceDE w:val="0"/>
      <w:autoSpaceDN w:val="0"/>
      <w:adjustRightInd w:val="0"/>
      <w:jc w:val="right"/>
    </w:pPr>
    <w:rPr>
      <w:rFonts w:cs="Arial"/>
      <w:szCs w:val="18"/>
    </w:rPr>
  </w:style>
  <w:style w:type="paragraph" w:customStyle="1" w:styleId="CopyrightText">
    <w:name w:val="Copyright Text"/>
    <w:basedOn w:val="BodyText"/>
    <w:rsid w:val="001309E8"/>
    <w:rPr>
      <w:sz w:val="18"/>
    </w:rPr>
  </w:style>
  <w:style w:type="paragraph" w:customStyle="1" w:styleId="BodySmallRight">
    <w:name w:val="Body Small Right"/>
    <w:basedOn w:val="BodyTextRight"/>
    <w:rsid w:val="001309E8"/>
    <w:rPr>
      <w:sz w:val="18"/>
      <w:szCs w:val="18"/>
    </w:rPr>
  </w:style>
  <w:style w:type="paragraph" w:customStyle="1" w:styleId="MarginEdition">
    <w:name w:val="Margin Edition"/>
    <w:basedOn w:val="MarginNote"/>
    <w:rsid w:val="001309E8"/>
    <w:pPr>
      <w:spacing w:before="0" w:after="0"/>
    </w:pPr>
    <w:rPr>
      <w:rFonts w:ascii="Times New Roman" w:hAnsi="Times New Roman"/>
      <w:color w:val="999999"/>
    </w:rPr>
  </w:style>
  <w:style w:type="paragraph" w:customStyle="1" w:styleId="Spacer">
    <w:name w:val="Spacer"/>
    <w:basedOn w:val="Normal"/>
    <w:rsid w:val="001309E8"/>
    <w:rPr>
      <w:sz w:val="2"/>
      <w:szCs w:val="2"/>
    </w:rPr>
  </w:style>
  <w:style w:type="character" w:customStyle="1" w:styleId="Small">
    <w:name w:val="Small"/>
    <w:basedOn w:val="DefaultParagraphFont"/>
    <w:rsid w:val="001309E8"/>
    <w:rPr>
      <w:sz w:val="16"/>
    </w:rPr>
  </w:style>
  <w:style w:type="paragraph" w:customStyle="1" w:styleId="WideTable">
    <w:name w:val="Wide Table"/>
    <w:basedOn w:val="Normal"/>
    <w:rsid w:val="001309E8"/>
    <w:pPr>
      <w:ind w:left="-1418"/>
    </w:pPr>
    <w:rPr>
      <w:sz w:val="2"/>
      <w:szCs w:val="2"/>
    </w:rPr>
  </w:style>
  <w:style w:type="character" w:styleId="PageNumber">
    <w:name w:val="page number"/>
    <w:basedOn w:val="DefaultParagraphFont"/>
    <w:rsid w:val="001309E8"/>
  </w:style>
  <w:style w:type="paragraph" w:styleId="Quote">
    <w:name w:val="Quote"/>
    <w:basedOn w:val="Heading1"/>
    <w:link w:val="QuoteChar"/>
    <w:qFormat/>
    <w:rsid w:val="001309E8"/>
    <w:rPr>
      <w:b w:val="0"/>
      <w:sz w:val="72"/>
      <w:szCs w:val="72"/>
      <w:lang w:val="en-NZ"/>
    </w:rPr>
  </w:style>
  <w:style w:type="character" w:customStyle="1" w:styleId="QuoteChar">
    <w:name w:val="Quote Char"/>
    <w:basedOn w:val="DefaultParagraphFont"/>
    <w:link w:val="Quote"/>
    <w:rsid w:val="001309E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309E8"/>
    <w:pPr>
      <w:pageBreakBefore/>
    </w:pPr>
  </w:style>
  <w:style w:type="paragraph" w:customStyle="1" w:styleId="Border">
    <w:name w:val="Border"/>
    <w:basedOn w:val="Normal"/>
    <w:qFormat/>
    <w:rsid w:val="001309E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309E8"/>
    <w:rPr>
      <w:b/>
      <w:bCs/>
      <w:i/>
      <w:iCs/>
      <w:color w:val="auto"/>
    </w:rPr>
  </w:style>
  <w:style w:type="paragraph" w:styleId="IntenseQuote">
    <w:name w:val="Intense Quote"/>
    <w:basedOn w:val="Normal"/>
    <w:next w:val="Normal"/>
    <w:link w:val="IntenseQuoteChar"/>
    <w:uiPriority w:val="30"/>
    <w:qFormat/>
    <w:rsid w:val="001309E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309E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309E8"/>
    <w:rPr>
      <w:smallCaps/>
      <w:color w:val="auto"/>
      <w:u w:val="single"/>
    </w:rPr>
  </w:style>
  <w:style w:type="character" w:styleId="IntenseReference">
    <w:name w:val="Intense Reference"/>
    <w:basedOn w:val="DefaultParagraphFont"/>
    <w:uiPriority w:val="32"/>
    <w:qFormat/>
    <w:rsid w:val="001309E8"/>
    <w:rPr>
      <w:b/>
      <w:bCs/>
      <w:smallCaps/>
      <w:color w:val="auto"/>
      <w:spacing w:val="5"/>
      <w:u w:val="single"/>
    </w:rPr>
  </w:style>
  <w:style w:type="paragraph" w:customStyle="1" w:styleId="2ColumnHeading">
    <w:name w:val="2Column Heading"/>
    <w:basedOn w:val="BodyText"/>
    <w:qFormat/>
    <w:rsid w:val="001309E8"/>
    <w:pPr>
      <w:spacing w:after="60"/>
      <w:ind w:left="-2268"/>
    </w:pPr>
    <w:rPr>
      <w:b/>
    </w:rPr>
  </w:style>
  <w:style w:type="paragraph" w:customStyle="1" w:styleId="Heading1TOC">
    <w:name w:val="Heading1 TOC"/>
    <w:basedOn w:val="Normal"/>
    <w:qFormat/>
    <w:rsid w:val="001309E8"/>
    <w:pPr>
      <w:spacing w:before="240" w:after="120"/>
    </w:pPr>
    <w:rPr>
      <w:rFonts w:ascii="Times New Roman" w:hAnsi="Times New Roman"/>
      <w:b/>
      <w:sz w:val="32"/>
    </w:rPr>
  </w:style>
  <w:style w:type="paragraph" w:customStyle="1" w:styleId="Heading2TOC">
    <w:name w:val="Heading2 TOC"/>
    <w:basedOn w:val="Normal"/>
    <w:qFormat/>
    <w:rsid w:val="001309E8"/>
    <w:pPr>
      <w:spacing w:before="240" w:after="60"/>
    </w:pPr>
    <w:rPr>
      <w:rFonts w:ascii="Times New Roman" w:hAnsi="Times New Roman"/>
      <w:b/>
      <w:sz w:val="28"/>
    </w:rPr>
  </w:style>
  <w:style w:type="character" w:customStyle="1" w:styleId="Underline">
    <w:name w:val="Underline"/>
    <w:basedOn w:val="DefaultParagraphFont"/>
    <w:qFormat/>
    <w:rsid w:val="001309E8"/>
    <w:rPr>
      <w:u w:val="single"/>
    </w:rPr>
  </w:style>
  <w:style w:type="character" w:customStyle="1" w:styleId="BoldandItalics">
    <w:name w:val="Bold and Italics"/>
    <w:qFormat/>
    <w:rsid w:val="001309E8"/>
    <w:rPr>
      <w:b/>
      <w:i/>
      <w:u w:val="none"/>
    </w:rPr>
  </w:style>
  <w:style w:type="paragraph" w:styleId="BalloonText">
    <w:name w:val="Balloon Text"/>
    <w:basedOn w:val="Normal"/>
    <w:link w:val="BalloonTextChar"/>
    <w:rsid w:val="001309E8"/>
    <w:rPr>
      <w:rFonts w:ascii="Tahoma" w:hAnsi="Tahoma" w:cs="Tahoma"/>
      <w:sz w:val="16"/>
      <w:szCs w:val="16"/>
    </w:rPr>
  </w:style>
  <w:style w:type="character" w:customStyle="1" w:styleId="BalloonTextChar">
    <w:name w:val="Balloon Text Char"/>
    <w:basedOn w:val="DefaultParagraphFont"/>
    <w:link w:val="BalloonText"/>
    <w:rsid w:val="001309E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309E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309E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309E8"/>
    <w:rPr>
      <w:b/>
      <w:color w:val="660033"/>
      <w:spacing w:val="0"/>
    </w:rPr>
  </w:style>
  <w:style w:type="paragraph" w:customStyle="1" w:styleId="Nameditemlist">
    <w:name w:val="Named item list"/>
    <w:basedOn w:val="BodyText"/>
    <w:qFormat/>
    <w:rsid w:val="001309E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1967</Words>
  <Characters>12029</Characters>
  <Application>Microsoft Office Word</Application>
  <DocSecurity>0</DocSecurity>
  <Lines>447</Lines>
  <Paragraphs>188</Paragraphs>
  <ScaleCrop>false</ScaleCrop>
  <Company>Author-it Software Corporation Ltd.</Company>
  <LinksUpToDate>false</LinksUpToDate>
  <CharactersWithSpaces>13860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UETTDRRF05B Perform rescue from switchyard structures at heights</dc:title>
  <dc:subject>Approved</dc:subject>
  <dc:creator>E-OZ Training Standards</dc:creator>
  <cp:keywords>Release 2</cp:keywords>
  <dc:description>Review Date: 12 April 2008</dc:description>
  <cp:lastModifiedBy>HSD_TPCMSd.prod</cp:lastModifiedBy>
  <cp:revision>3</cp:revision>
  <dcterms:created xsi:type="dcterms:W3CDTF">2014-11-05T10:10:09Z</dcterms:created>
  <dcterms:modified xsi:type="dcterms:W3CDTF">2014-10-31T04:21:00Z</dcterms:modified>
</cp:coreProperties>
</file>