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45B" w:rsidP="00DA245B">
      <w:pPr>
        <w:pStyle w:val="Title"/>
      </w:pPr>
      <w:bookmarkStart w:id="0" w:name="_GoBack"/>
      <w:bookmarkEnd w:id="0"/>
      <w:r>
        <w:fldChar w:fldCharType="begin"/>
      </w:r>
      <w:r>
        <w:instrText xml:space="preserve"> TITLE   \* MERGEFORMAT </w:instrText>
      </w:r>
      <w:r>
        <w:fldChar w:fldCharType="separate"/>
      </w:r>
      <w:r>
        <w:t>UETTDRIS74A Develop engineering solutions for energy supply system protection problems</w:t>
      </w:r>
      <w:r>
        <w:fldChar w:fldCharType="end"/>
      </w:r>
    </w:p>
    <w:p w:rsidR="00DA245B" w:rsidP="00DA245B">
      <w:pPr>
        <w:pStyle w:val="Version"/>
        <w:sectPr w:rsidSect="00216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564" w:rsidP="00216564">
      <w:pPr>
        <w:pStyle w:val="SuperHeading"/>
      </w:pPr>
      <w:r w:rsidRPr="00216564">
        <w:t>UETTDRIS74A Develop engineering solutions for energy supply system protection problems</w:t>
      </w:r>
    </w:p>
    <w:p w:rsidR="00000000" w:rsidRPr="00216564" w:rsidP="00216564">
      <w:pPr>
        <w:pStyle w:val="Heading1"/>
      </w:pPr>
      <w:bookmarkStart w:id="1" w:name="O_463221"/>
      <w:bookmarkEnd w:id="1"/>
      <w:r w:rsidRPr="00216564">
        <w:t>Modification History</w:t>
      </w:r>
    </w:p>
    <w:p w:rsidR="00000000" w:rsidRPr="00216564" w:rsidP="00216564">
      <w:pPr>
        <w:pStyle w:val="BodyText"/>
      </w:pPr>
      <w:r w:rsidRPr="00216564">
        <w:t>Not applicable.</w:t>
      </w:r>
    </w:p>
    <w:p w:rsidR="00000000" w:rsidRPr="00216564" w:rsidP="00216564">
      <w:pPr>
        <w:pStyle w:val="AllowPageBreak"/>
      </w:pPr>
    </w:p>
    <w:p w:rsidR="00000000" w:rsidRPr="00216564" w:rsidP="00216564">
      <w:pPr>
        <w:pStyle w:val="Heading1"/>
      </w:pPr>
      <w:bookmarkStart w:id="2" w:name="O_463219"/>
      <w:bookmarkEnd w:id="2"/>
      <w:r w:rsidRPr="00216564">
        <w:t>Unit Descriptor</w:t>
      </w:r>
    </w:p>
    <w:tbl>
      <w:tblPr>
        <w:tblW w:w="0" w:type="auto"/>
        <w:tblLayout w:type="fixed"/>
        <w:tblCellMar>
          <w:left w:w="62" w:type="dxa"/>
          <w:right w:w="62" w:type="dxa"/>
        </w:tblCellMar>
        <w:tblLook w:val="0000"/>
      </w:tblPr>
      <w:tblGrid>
        <w:gridCol w:w="2700"/>
        <w:gridCol w:w="5760"/>
      </w:tblGrid>
      <w:tr w:rsidTr="00DA24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1)</w:t>
            </w:r>
            <w:r w:rsidRPr="00216564">
              <w:t xml:space="preserve"> </w:t>
            </w:r>
            <w:r w:rsidRPr="00216564">
              <w:rPr>
                <w:rStyle w:val="SpecialBold"/>
              </w:rPr>
              <w:t>Scope:</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656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1.1) Descriptor</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This unit covers developing engineering solutions to resolve problems with energy supply system protection. It encompasses working safely, apply extensive knowledge of energy supply system protection operation, protection devices and their application, gat</w:t>
            </w:r>
            <w:r w:rsidRPr="00216564">
              <w:t>hering and analysing data, applying problem solving techniques, developing and documenting solutions and alternatives.</w:t>
            </w:r>
          </w:p>
          <w:p w:rsidR="00000000" w:rsidRPr="00216564" w:rsidP="00216564">
            <w:pPr>
              <w:pStyle w:val="BodyText"/>
            </w:pPr>
            <w:r w:rsidRPr="00216564">
              <w:t>Note:</w:t>
            </w:r>
          </w:p>
          <w:p w:rsidR="00000000" w:rsidRPr="00216564" w:rsidP="00216564">
            <w:pPr>
              <w:pStyle w:val="BodyText"/>
            </w:pPr>
            <w:r w:rsidRPr="00216564">
              <w:t>Typical protection problems are those encountered in meeting performance requirements and compliance standards, revising a protecti</w:t>
            </w:r>
            <w:r w:rsidRPr="00216564">
              <w:t>on operating parameters and dealing with protection malfunctions.</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3" w:name="O_463208"/>
      <w:bookmarkEnd w:id="3"/>
      <w:r w:rsidRPr="00216564">
        <w:t>Application of the Unit</w:t>
      </w:r>
    </w:p>
    <w:tbl>
      <w:tblPr>
        <w:tblW w:w="0" w:type="auto"/>
        <w:tblLayout w:type="fixed"/>
        <w:tblCellMar>
          <w:left w:w="62" w:type="dxa"/>
          <w:right w:w="62" w:type="dxa"/>
        </w:tblCellMar>
        <w:tblLook w:val="0000"/>
      </w:tblPr>
      <w:tblGrid>
        <w:gridCol w:w="2672"/>
        <w:gridCol w:w="5699"/>
      </w:tblGrid>
      <w:tr w:rsidTr="00DA24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2)</w:t>
            </w:r>
          </w:p>
        </w:tc>
      </w:tr>
      <w:tr w:rsidTr="00DA24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This unit applies to any recognised development program that leads to the acquisition of a formal award at AQF level 6 or higher.</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4" w:name="O_463215"/>
      <w:bookmarkEnd w:id="4"/>
      <w:r w:rsidRPr="00216564">
        <w:t>Licensing/Regulatory Information</w:t>
      </w:r>
    </w:p>
    <w:tbl>
      <w:tblPr>
        <w:tblW w:w="0" w:type="auto"/>
        <w:tblLayout w:type="fixed"/>
        <w:tblCellMar>
          <w:left w:w="62" w:type="dxa"/>
          <w:right w:w="62" w:type="dxa"/>
        </w:tblCellMar>
        <w:tblLook w:val="0000"/>
      </w:tblPr>
      <w:tblGrid>
        <w:gridCol w:w="2700"/>
        <w:gridCol w:w="5760"/>
      </w:tblGrid>
      <w:tr w:rsidTr="00DA24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 xml:space="preserve">3) </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 xml:space="preserve">The skills and knowledge described in this unit </w:t>
            </w:r>
            <w:r w:rsidRPr="00216564">
              <w:t xml:space="preserve">require a license to practice in the workplace for work involving direct access to plant and equipment connected to </w:t>
            </w:r>
            <w:r w:rsidRPr="00216564">
              <w:t>installation wiring at voltage above 50 V a.c. or 120 V d.c. However other conditions may apply in some jurisdictions subject to regulations</w:t>
            </w:r>
            <w:r w:rsidRPr="00216564">
              <w:t xml:space="preserve"> related to electrical work. Practice in the workplace and during training is also subject to regulations directly related to occupational health and safety and where applicable contracts of training such as apprenticeships.</w:t>
            </w:r>
          </w:p>
          <w:p w:rsidR="00000000" w:rsidRPr="00216564" w:rsidP="00216564">
            <w:pPr>
              <w:pStyle w:val="BodyText"/>
            </w:pPr>
            <w:r w:rsidRPr="00216564">
              <w:t>Note:</w:t>
            </w:r>
          </w:p>
          <w:p w:rsidR="00000000" w:rsidRPr="00216564" w:rsidP="00216564">
            <w:pPr>
              <w:pStyle w:val="BodyText"/>
            </w:pPr>
            <w:r w:rsidRPr="00216564">
              <w:t>1. Compliance with permit</w:t>
            </w:r>
            <w:r w:rsidRPr="00216564">
              <w:t>s may be required in various jurisdictions and typically relates to the operation of plant, machinery and equipment such as elevating work platforms, powder operated fixing tools, power operated tools, vehicles, road signage and traffic control and lifting</w:t>
            </w:r>
            <w:r w:rsidRPr="00216564">
              <w:t xml:space="preserve"> equipment. Permits may also be required for some work environments such as confined spaces, working aloft, near live electrical apparatus and site rehabilitation.</w:t>
            </w:r>
          </w:p>
          <w:p w:rsidR="00000000" w:rsidRPr="00216564" w:rsidP="00216564">
            <w:pPr>
              <w:pStyle w:val="BodyText"/>
            </w:pPr>
            <w:r w:rsidRPr="00216564">
              <w:t>2. Compliance may be required in various jurisdictions relating to currency in First Aid, co</w:t>
            </w:r>
            <w:r w:rsidRPr="00216564">
              <w:t>nfined space, lifting and risk safety measures.</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5" w:name="O_463216"/>
      <w:bookmarkEnd w:id="5"/>
      <w:r w:rsidRPr="00216564">
        <w:t>Pre-Requisites</w:t>
      </w:r>
    </w:p>
    <w:tbl>
      <w:tblPr>
        <w:tblW w:w="0" w:type="auto"/>
        <w:tblLayout w:type="fixed"/>
        <w:tblCellMar>
          <w:left w:w="62" w:type="dxa"/>
          <w:right w:w="62" w:type="dxa"/>
        </w:tblCellMar>
        <w:tblLook w:val="0000"/>
      </w:tblPr>
      <w:tblGrid>
        <w:gridCol w:w="2700"/>
        <w:gridCol w:w="2070"/>
        <w:gridCol w:w="3690"/>
      </w:tblGrid>
      <w:tr w:rsidTr="00DA24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 xml:space="preserve">4) </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4.1)</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Granting of competency in this unit shall be made only after competency in the following unit(s) has/have been confirmed.</w:t>
            </w:r>
          </w:p>
          <w:p w:rsidR="00000000" w:rsidRPr="00216564" w:rsidP="00216564">
            <w:pPr>
              <w:pStyle w:val="BodyText"/>
            </w:pPr>
            <w:r w:rsidRPr="00216564">
              <w:t>Where pre-requisite pathways have been identified. All competencies in the Common Unit Group must be have been completed plus all the competencies in one (1) of the identified Pathway Unit Group(s):</w:t>
            </w:r>
          </w:p>
          <w:p w:rsidR="00000000" w:rsidP="00216564">
            <w:pPr>
              <w:pStyle w:val="BodyText"/>
              <w:rPr>
                <w:lang w:val="en-NZ"/>
              </w:rPr>
            </w:pPr>
            <w:r w:rsidRPr="00216564">
              <w:t>Common Unit Group</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Unit Code</w:t>
            </w:r>
          </w:p>
        </w:tc>
        <w:tc>
          <w:tcPr>
            <w:tcW w:w="369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Unit Title</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A</w:t>
            </w:r>
            <w:r w:rsidRPr="00216564">
              <w:t>pply Occupational Health and Safety regulations, codes and practices in the workplace</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 xml:space="preserve">Fabricate, assemble and dismantle </w:t>
            </w:r>
            <w:r w:rsidRPr="00216564">
              <w:t>utilities industry components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Solve problems in d.c. Circuits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UEENEEE105A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Fix and secure electrotechnology equipment</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Use drawings, diagrams, schedules, standards, codes and specifications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Provide engineering solutions for problems in complex multiple path circuits problems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Provide solutions to basic engineering computational problems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Solve problems in electromagnetic devices and related circuits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Solve problems in low voltage a.c. Circuits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 xml:space="preserve">Solve problems in single and three phase low </w:t>
            </w:r>
            <w:r w:rsidRPr="00216564">
              <w:t>voltage machines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Terminate cables, cords and accessories for low voltage circuits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Provide engineering solutions to problems in complex polyphase power circuits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Solve problems in energy supply network equipment</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UETTDRIS68A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Solve problems in energy supply network protection equipment and systems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UETTDRIS69A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Diagnose and rectify faults in energy supply apparatus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Distribution Pathway Unit Group</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UETTDRIS70A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Diagnose and rectify faults in electrical energy distribution systems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Transmission Pathway Unit Group</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UETTDRIS71A</w:t>
            </w:r>
          </w:p>
        </w:tc>
        <w:tc>
          <w:tcPr>
            <w:tcW w:w="369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Diagnose and rectify faults in electrical energy supply transmission systems</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Distributed Generation Pathway Unit Group</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6564">
            <w:pPr>
              <w:pStyle w:val="BodyText"/>
              <w:rPr>
                <w:lang w:val="en-NZ"/>
              </w:rPr>
            </w:pPr>
            <w:r w:rsidRPr="00216564">
              <w:t>UETTDRIS72A</w:t>
            </w:r>
          </w:p>
        </w:tc>
        <w:tc>
          <w:tcPr>
            <w:tcW w:w="3690" w:type="dxa"/>
            <w:tcBorders>
              <w:top w:val="nil"/>
              <w:left w:val="nil"/>
              <w:bottom w:val="nil"/>
              <w:right w:val="nil"/>
            </w:tcBorders>
            <w:tcMar>
              <w:top w:w="0" w:type="dxa"/>
              <w:left w:w="62" w:type="dxa"/>
              <w:bottom w:w="0" w:type="dxa"/>
              <w:right w:w="62" w:type="dxa"/>
            </w:tcMar>
            <w:vAlign w:val="center"/>
          </w:tcPr>
          <w:p w:rsidR="00000000" w:rsidRPr="00216564" w:rsidP="00216564">
            <w:pPr>
              <w:pStyle w:val="BodyText"/>
            </w:pPr>
            <w:r w:rsidRPr="00216564">
              <w:t>Diagnose and rectify faults in distributed generation systems</w:t>
            </w:r>
          </w:p>
        </w:tc>
      </w:tr>
    </w:tbl>
    <w:p w:rsidR="00000000" w:rsidRPr="00216564" w:rsidP="0021656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A245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 xml:space="preserve">4.2) </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 xml:space="preserve">Participants are best equipped to achieve competency in this unit if they have reading, writing and numeracy skills indicated by the following </w:t>
            </w:r>
            <w:r w:rsidRPr="00216564">
              <w:t>scales. Description of each scale is given in Volume 2, Part 3 ‘Literacy and Numeracy’</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Reading</w:t>
            </w:r>
          </w:p>
        </w:tc>
        <w:tc>
          <w:tcPr>
            <w:tcW w:w="81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5</w:t>
            </w:r>
          </w:p>
        </w:tc>
        <w:tc>
          <w:tcPr>
            <w:tcW w:w="99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Writing</w:t>
            </w: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5</w:t>
            </w:r>
          </w:p>
        </w:tc>
        <w:tc>
          <w:tcPr>
            <w:tcW w:w="12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Numeracy</w:t>
            </w:r>
          </w:p>
        </w:tc>
        <w:tc>
          <w:tcPr>
            <w:tcW w:w="72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5</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6" w:name="O_463212"/>
      <w:bookmarkEnd w:id="6"/>
      <w:r w:rsidRPr="00216564">
        <w:t>Employability Skills Information</w:t>
      </w:r>
    </w:p>
    <w:tbl>
      <w:tblPr>
        <w:tblW w:w="0" w:type="auto"/>
        <w:tblLayout w:type="fixed"/>
        <w:tblCellMar>
          <w:left w:w="62" w:type="dxa"/>
          <w:right w:w="62" w:type="dxa"/>
        </w:tblCellMar>
        <w:tblLook w:val="0000"/>
      </w:tblPr>
      <w:tblGrid>
        <w:gridCol w:w="2700"/>
        <w:gridCol w:w="5760"/>
      </w:tblGrid>
      <w:tr w:rsidTr="00DA24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 xml:space="preserve">5) </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16564">
              <w:t>requirements.</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7" w:name="O_463211"/>
      <w:bookmarkEnd w:id="7"/>
      <w:r w:rsidRPr="00216564">
        <w:t>Elements and Performance Criteria Pre-Content</w:t>
      </w:r>
    </w:p>
    <w:tbl>
      <w:tblPr>
        <w:tblW w:w="0" w:type="auto"/>
        <w:tblLayout w:type="fixed"/>
        <w:tblCellMar>
          <w:left w:w="62" w:type="dxa"/>
          <w:right w:w="62" w:type="dxa"/>
        </w:tblCellMar>
        <w:tblLook w:val="0000"/>
      </w:tblPr>
      <w:tblGrid>
        <w:gridCol w:w="2700"/>
        <w:gridCol w:w="5760"/>
      </w:tblGrid>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6)</w:t>
            </w:r>
            <w:r w:rsidRPr="0021656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Performance Criteria describe the required performance needed to demonstrate achievement of the element. Assessment of performance is to be consistent with the Evidence Guide.</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8" w:name="O_463210"/>
      <w:bookmarkEnd w:id="8"/>
      <w:r w:rsidRPr="00216564">
        <w:t>Elements and Performance Criteria</w:t>
      </w:r>
    </w:p>
    <w:tbl>
      <w:tblPr>
        <w:tblW w:w="0" w:type="auto"/>
        <w:tblLayout w:type="fixed"/>
        <w:tblCellMar>
          <w:left w:w="62" w:type="dxa"/>
          <w:right w:w="62" w:type="dxa"/>
        </w:tblCellMar>
        <w:tblLook w:val="0000"/>
      </w:tblPr>
      <w:tblGrid>
        <w:gridCol w:w="404"/>
        <w:gridCol w:w="245"/>
        <w:gridCol w:w="2051"/>
        <w:gridCol w:w="900"/>
        <w:gridCol w:w="4860"/>
      </w:tblGrid>
      <w:tr w:rsidTr="00DA245B">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PERFORMANCE CRITE</w:t>
            </w:r>
            <w:r w:rsidRPr="00216564">
              <w:rPr>
                <w:rStyle w:val="SpecialBold"/>
              </w:rPr>
              <w:t>RIA</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1</w:t>
            </w:r>
          </w:p>
        </w:tc>
        <w:tc>
          <w:tcPr>
            <w:tcW w:w="2296" w:type="dxa"/>
            <w:gridSpan w:val="2"/>
            <w:vMerge w:val="restart"/>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Prepare to develop engineering solution for energy supply system protection problems.</w:t>
            </w: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1.1</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 xml:space="preserve">OHS processes and procedures for a given work area are identified, obtained and understood. </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1.2</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Established OHS risk control measures and procedures in preparation for the work are followed.</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1.3</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The extent of the protection problem is determined from performance specifications and situation reports and in consultations with relevant persons.</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1.4</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Activities are planned to meet scheduled timelines in consultation with others involved in the work.</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1.5</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Effective strategies are formed to ensure solution development and implementation is carried out efficiently.</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2</w:t>
            </w:r>
          </w:p>
        </w:tc>
        <w:tc>
          <w:tcPr>
            <w:tcW w:w="2296" w:type="dxa"/>
            <w:gridSpan w:val="2"/>
            <w:vMerge w:val="restart"/>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Develop engineering solution for energy supply system protection.</w:t>
            </w: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2.1</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OHS risk control measures and procedures for carrying out the work are followed.</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2.2</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Knowledge of supply system protection arrangements, operation, device characteristics and applications are applied to developing solutions to supply system protection problems.</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2.3</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 xml:space="preserve">Parameters, specifications and performance requirements in relation to </w:t>
            </w:r>
            <w:r w:rsidRPr="00216564">
              <w:t xml:space="preserve">each protection problem are obtained in accordance with established procedures. </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2.4</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Approaches to resolving supply system protection problems are analysed to provide most effective solutions.</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2.5</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Unplanned events are dealt with safely and effectively consistent with regulatory requirements and enterprise policy.</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2.6</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Quality of work is monitored against personal performance agreement and/or established organizational or professional standards.</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3</w:t>
            </w:r>
          </w:p>
        </w:tc>
        <w:tc>
          <w:tcPr>
            <w:tcW w:w="2296" w:type="dxa"/>
            <w:gridSpan w:val="2"/>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Test, document and implement engineering solution for energy supply system protection problems.</w:t>
            </w: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3.1</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Solutions to protection problems are tested to determine their effectiveness and modified where necessary.</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3.2</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Adopted solutions are documented including instruction for their implementation that incorporates risk control measure to be followed.</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3.3</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Appropriately competent and qualified person(s) required to implement solutions to supply system protection probl</w:t>
            </w:r>
            <w:r w:rsidRPr="00216564">
              <w:t>ems are coordinated in accordance with regulatory requirements and enterprise policy. (Note)</w:t>
            </w:r>
          </w:p>
        </w:tc>
      </w:tr>
      <w:tr w:rsidTr="00DA24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3.4</w:t>
            </w:r>
          </w:p>
        </w:tc>
        <w:tc>
          <w:tcPr>
            <w:tcW w:w="48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 xml:space="preserve">Justification for solutions used to solve supply system protection problems is documented for inclusion in work/project development records </w:t>
            </w:r>
            <w:r w:rsidRPr="00216564">
              <w:t>in accordance with professional standards.</w:t>
            </w:r>
          </w:p>
        </w:tc>
      </w:tr>
      <w:tr w:rsidTr="00DA245B">
        <w:tblPrEx>
          <w:tblW w:w="0" w:type="auto"/>
          <w:tblLayout w:type="fixed"/>
          <w:tblCellMar>
            <w:left w:w="62" w:type="dxa"/>
            <w:right w:w="62" w:type="dxa"/>
          </w:tblCellMar>
          <w:tblLook w:val="0000"/>
        </w:tblPrEx>
        <w:tc>
          <w:tcPr>
            <w:tcW w:w="64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11" w:type="dxa"/>
            <w:gridSpan w:val="3"/>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Note:</w:t>
            </w:r>
          </w:p>
          <w:p w:rsidR="00000000" w:rsidRPr="00216564" w:rsidP="00216564">
            <w:pPr>
              <w:pStyle w:val="BodyText"/>
            </w:pPr>
            <w:r w:rsidRPr="00216564">
              <w:t>A license to practice in the workplace is required for work involving direct access to plant and equipment connected to installation wiring at voltages above 50 V a.c. or 120 V d.c.</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9" w:name="O_463218"/>
      <w:bookmarkEnd w:id="9"/>
      <w:r w:rsidRPr="00216564">
        <w:t>Required Skills and Knowledge</w:t>
      </w:r>
    </w:p>
    <w:tbl>
      <w:tblPr>
        <w:tblW w:w="0" w:type="auto"/>
        <w:tblLayout w:type="fixed"/>
        <w:tblCellMar>
          <w:left w:w="62" w:type="dxa"/>
          <w:right w:w="62" w:type="dxa"/>
        </w:tblCellMar>
        <w:tblLook w:val="0000"/>
      </w:tblPr>
      <w:tblGrid>
        <w:gridCol w:w="8460"/>
      </w:tblGrid>
      <w:tr w:rsidTr="00DA24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REQUIRED SKILLS AND KNOWLEDGE</w:t>
            </w:r>
          </w:p>
        </w:tc>
      </w:tr>
      <w:tr w:rsidTr="00DA245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8)</w:t>
            </w:r>
            <w:r w:rsidRPr="00216564">
              <w:t xml:space="preserve"> This describes the essential skills and knowledge and their level, required for this unit.</w:t>
            </w:r>
          </w:p>
          <w:p w:rsidR="00000000" w:rsidRPr="00216564" w:rsidP="00216564">
            <w:pPr>
              <w:pStyle w:val="BodyText"/>
            </w:pPr>
            <w:r w:rsidRPr="00216564">
              <w:t>Evidence shall show that knowledge has been acquired of safe working practices and developing enginee</w:t>
            </w:r>
            <w:r w:rsidRPr="00216564">
              <w:t>ring solutions for energy supply system protection problems.</w:t>
            </w:r>
          </w:p>
          <w:p w:rsidR="00000000" w:rsidRPr="00216564" w:rsidP="00216564">
            <w:pPr>
              <w:pStyle w:val="BodyText"/>
            </w:pPr>
            <w:r w:rsidRPr="00216564">
              <w:t>All knowledge and skills detailed in this unit should be contextualised to current industry practices and technologies.</w:t>
            </w:r>
          </w:p>
          <w:p w:rsidR="00000000" w:rsidRPr="00216564" w:rsidP="00216564">
            <w:pPr>
              <w:pStyle w:val="BodyText"/>
            </w:pPr>
            <w:r w:rsidRPr="00216564">
              <w:t>KS01-TIS74A</w:t>
            </w:r>
            <w:r w:rsidRPr="00216564">
              <w:tab/>
              <w:t>Electrical power system protection diagnostic</w:t>
            </w:r>
          </w:p>
          <w:p w:rsidR="00000000" w:rsidRPr="00216564" w:rsidP="00216564">
            <w:pPr>
              <w:pStyle w:val="BodyText"/>
            </w:pPr>
            <w:r w:rsidRPr="00216564">
              <w:t>Evidence shall sh</w:t>
            </w:r>
            <w:r w:rsidRPr="00216564">
              <w:t>ow an understanding of diagnosing faults in electrical power system protection to an extent indicated by the following aspects:</w:t>
            </w:r>
          </w:p>
          <w:p w:rsidR="00000000" w:rsidRPr="00216564" w:rsidP="00216564">
            <w:pPr>
              <w:pStyle w:val="BodyText"/>
            </w:pPr>
            <w:r w:rsidRPr="00216564">
              <w:t>T1</w:t>
            </w:r>
            <w:r w:rsidRPr="00216564">
              <w:tab/>
              <w:t>Protection scheme requirements encompassing:</w:t>
            </w:r>
          </w:p>
          <w:p w:rsidR="00000000" w:rsidRPr="00216564" w:rsidP="00216564">
            <w:pPr>
              <w:pStyle w:val="ListBullet"/>
            </w:pPr>
            <w:r w:rsidRPr="00216564">
              <w:t>Requirements of a protection scheme - relationship to primary system design, pur</w:t>
            </w:r>
            <w:r w:rsidRPr="00216564">
              <w:t>pose of protection, safety of persons, protection of plant, system instability, system break up, loss of customers, loss of revenue, protection zones, restricted schemes, unrestricted schemes, duplicate protection, local backup protection, remote backup pr</w:t>
            </w:r>
            <w:r w:rsidRPr="00216564">
              <w:t>otection, selectivity, discrimination, stability, sensitivity, reliability</w:t>
            </w:r>
          </w:p>
          <w:p w:rsidR="00000000" w:rsidRPr="00216564" w:rsidP="00216564">
            <w:pPr>
              <w:pStyle w:val="ListBullet"/>
            </w:pPr>
            <w:r w:rsidRPr="00216564">
              <w:t>Components of a protection scheme - current transformers, potential transformers, summation current transformers, interposing transformers, multi-tapped transformers, all-or-nothing</w:t>
            </w:r>
            <w:r w:rsidRPr="00216564">
              <w:t xml:space="preserve"> relays, induction relays, balanced beam relays, directional relays, biased relays, solid state relays, microprocessor based relays, gas relays, thermal sensors, hardwired communication, powerline carriers systems, microwave systems, fibre optic systems, n</w:t>
            </w:r>
            <w:r w:rsidRPr="00216564">
              <w:t>eed for isolation, need for interfacing</w:t>
            </w:r>
          </w:p>
          <w:p w:rsidR="00000000" w:rsidRPr="00216564" w:rsidP="00216564">
            <w:pPr>
              <w:pStyle w:val="ListBullet"/>
            </w:pPr>
            <w:r w:rsidRPr="00216564">
              <w:t>Protection applied to buses - overload, differential, earth leakage, structure leakage, combined schemes, protection overlap</w:t>
            </w:r>
          </w:p>
          <w:p w:rsidR="00000000" w:rsidRPr="00216564" w:rsidP="00216564">
            <w:pPr>
              <w:pStyle w:val="ListBullet"/>
            </w:pPr>
            <w:r w:rsidRPr="00216564">
              <w:t>Protection applied to transformers - biased differential, gas, winding temperature, oil tem</w:t>
            </w:r>
            <w:r w:rsidRPr="00216564">
              <w:t>perature</w:t>
            </w:r>
          </w:p>
          <w:p w:rsidR="00000000" w:rsidRPr="00216564" w:rsidP="00216564">
            <w:pPr>
              <w:pStyle w:val="ListBullet"/>
            </w:pPr>
            <w:r w:rsidRPr="00216564">
              <w:t>Protection applied to single/radial lines - overcurrent, earth leakage, slow earth leakage, distance, auto reclose, sectionalising, over voltage</w:t>
            </w:r>
          </w:p>
          <w:p w:rsidR="00000000" w:rsidRPr="00216564" w:rsidP="00216564">
            <w:pPr>
              <w:pStyle w:val="ListBullet"/>
            </w:pPr>
            <w:r w:rsidRPr="00216564">
              <w:t>Protection applied to interconnected lines - overcurrent, pilot wire, directional, directional overcur</w:t>
            </w:r>
            <w:r w:rsidRPr="00216564">
              <w:t>rent, current differential, phase comparison, current comparison, distance, impedance, admittance, offset</w:t>
            </w:r>
          </w:p>
          <w:p w:rsidR="00000000" w:rsidRPr="00216564" w:rsidP="00216564">
            <w:pPr>
              <w:pStyle w:val="BodyText"/>
            </w:pPr>
            <w:r w:rsidRPr="00216564">
              <w:t>T2</w:t>
            </w:r>
            <w:r w:rsidRPr="00216564">
              <w:tab/>
              <w:t>Discrete protection systems encompassing:</w:t>
            </w:r>
          </w:p>
          <w:p w:rsidR="00000000" w:rsidRPr="00216564" w:rsidP="00216564">
            <w:pPr>
              <w:pStyle w:val="ListBullet"/>
            </w:pPr>
            <w:r w:rsidRPr="00216564">
              <w:t>Earth fault protection - master earth leakage schemes, sensitive earth fault relays and schemes, residual</w:t>
            </w:r>
            <w:r w:rsidRPr="00216564">
              <w:t xml:space="preserve"> earth fault scheme, core balance earth fault scheme, frame/structure earth leakage scheme, time graded discrimination, backup protection</w:t>
            </w:r>
          </w:p>
          <w:p w:rsidR="00000000" w:rsidRPr="00216564" w:rsidP="00216564">
            <w:pPr>
              <w:pStyle w:val="ListBullet"/>
            </w:pPr>
            <w:r w:rsidRPr="00216564">
              <w:t>Overcurrent protection - feeder overcurrent protection, instantaneous overcurrent schemes, inverse timed overcurrent s</w:t>
            </w:r>
            <w:r w:rsidRPr="00216564">
              <w:t>chemes, types and location of components of an overcurrent scheme, CT summation, time graded discrimination, backup protection</w:t>
            </w:r>
          </w:p>
          <w:p w:rsidR="00000000" w:rsidRPr="00216564" w:rsidP="00216564">
            <w:pPr>
              <w:pStyle w:val="ListBullet"/>
            </w:pPr>
            <w:r w:rsidRPr="00216564">
              <w:t>Alarms and controls - auxiliary relays, voltage regulating relays, line drop compensation, gas relay types, gas relay scheme oper</w:t>
            </w:r>
            <w:r w:rsidRPr="00216564">
              <w:t>ation and setting, over temperature schemes</w:t>
            </w:r>
          </w:p>
          <w:p w:rsidR="00000000" w:rsidRPr="00216564" w:rsidP="00216564">
            <w:pPr>
              <w:pStyle w:val="BodyText"/>
            </w:pPr>
            <w:r w:rsidRPr="00216564">
              <w:t>T3</w:t>
            </w:r>
            <w:r w:rsidRPr="00216564">
              <w:tab/>
              <w:t>Interdependent protection systems encompassing:</w:t>
            </w:r>
          </w:p>
          <w:p w:rsidR="00000000" w:rsidRPr="00216564" w:rsidP="00216564">
            <w:pPr>
              <w:pStyle w:val="ListBullet"/>
            </w:pPr>
            <w:r w:rsidRPr="00216564">
              <w:t>Overcurrent and earth leakage intertripping, interlocking and blocking - logic mapping, master control, electromechanical, electronic, shading coils</w:t>
            </w:r>
          </w:p>
          <w:p w:rsidR="00000000" w:rsidRPr="00216564" w:rsidP="00216564">
            <w:pPr>
              <w:pStyle w:val="ListBullet"/>
            </w:pPr>
            <w:r w:rsidRPr="00216564">
              <w:t xml:space="preserve">Pilot wire, phase comparison - opposed voltage schemes, circulating current schemes, location of components of a scheme, pilot supervisory techniques, </w:t>
            </w:r>
          </w:p>
          <w:p w:rsidR="00000000" w:rsidRPr="00216564" w:rsidP="00216564">
            <w:pPr>
              <w:pStyle w:val="ListBullet"/>
            </w:pPr>
            <w:r w:rsidRPr="00216564">
              <w:t>Load shedding, voltage control, parallel operation, load rejection</w:t>
            </w:r>
          </w:p>
          <w:p w:rsidR="00000000" w:rsidRPr="00216564" w:rsidP="00216564">
            <w:pPr>
              <w:pStyle w:val="ListBullet"/>
            </w:pPr>
            <w:r w:rsidRPr="00216564">
              <w:t>CB failure protection</w:t>
            </w:r>
          </w:p>
          <w:p w:rsidR="00000000" w:rsidRPr="00216564" w:rsidP="00216564">
            <w:pPr>
              <w:pStyle w:val="ListBullet"/>
            </w:pPr>
            <w:r w:rsidRPr="00216564">
              <w:t>Reclose systems</w:t>
            </w:r>
            <w:r w:rsidRPr="00216564">
              <w:t xml:space="preserve"> - applications, single shot, multishot, blocking schemes, synchronisation checking</w:t>
            </w:r>
          </w:p>
          <w:p w:rsidR="00000000" w:rsidRPr="00216564" w:rsidP="00216564">
            <w:pPr>
              <w:pStyle w:val="BodyText"/>
            </w:pPr>
            <w:r w:rsidRPr="00216564">
              <w:t>T4</w:t>
            </w:r>
            <w:r w:rsidRPr="00216564">
              <w:tab/>
              <w:t>Complex protection systems encompassing:</w:t>
            </w:r>
          </w:p>
          <w:p w:rsidR="00000000" w:rsidRPr="00216564" w:rsidP="00216564">
            <w:pPr>
              <w:pStyle w:val="ListBullet"/>
            </w:pPr>
            <w:r w:rsidRPr="00216564">
              <w:t>Distance - characteristics, electromechanical, electronic, impedance, mho, offset mho, switched schemes, non-switched schemes, b</w:t>
            </w:r>
            <w:r w:rsidRPr="00216564">
              <w:t>locking schemes, bus zone</w:t>
            </w:r>
          </w:p>
          <w:p w:rsidR="00000000" w:rsidRPr="00216564" w:rsidP="00216564">
            <w:pPr>
              <w:pStyle w:val="ListBullet"/>
            </w:pPr>
            <w:r w:rsidRPr="00216564">
              <w:t xml:space="preserve">Differential, transformer differential, bus overcurrent - principles, feeder protection, transformer protection, bias systems, harmonic restraint, CT connections, bus protection, low impedance schemes, high impedance schemes, bus </w:t>
            </w:r>
            <w:r w:rsidRPr="00216564">
              <w:t>overcurrent schemes, generator protection, CT connections, special considerations, digital systems</w:t>
            </w:r>
          </w:p>
          <w:p w:rsidR="00000000" w:rsidRPr="00216564" w:rsidP="00216564">
            <w:pPr>
              <w:pStyle w:val="ListBullet"/>
            </w:pPr>
            <w:r w:rsidRPr="00216564">
              <w:t>Types of revenue metering</w:t>
            </w:r>
          </w:p>
          <w:p w:rsidR="00000000" w:rsidRPr="00216564" w:rsidP="00216564">
            <w:pPr>
              <w:pStyle w:val="ListBullet"/>
            </w:pPr>
            <w:r w:rsidRPr="00216564">
              <w:t>Applications of SCADA</w:t>
            </w:r>
          </w:p>
          <w:p w:rsidR="00000000" w:rsidRPr="00216564" w:rsidP="00216564">
            <w:pPr>
              <w:pStyle w:val="ListBullet"/>
            </w:pPr>
            <w:r w:rsidRPr="00216564">
              <w:t>Complex protection systems for communications</w:t>
            </w:r>
          </w:p>
          <w:p w:rsidR="00000000" w:rsidRPr="00216564" w:rsidP="00216564">
            <w:pPr>
              <w:pStyle w:val="ListBullet"/>
            </w:pPr>
            <w:r w:rsidRPr="00216564">
              <w:t>Harmonic control</w:t>
            </w:r>
          </w:p>
          <w:p w:rsidR="00000000" w:rsidRPr="00216564" w:rsidP="00216564">
            <w:pPr>
              <w:pStyle w:val="ListBullet"/>
            </w:pPr>
            <w:r w:rsidRPr="00216564">
              <w:t>Point on wave switching</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10" w:name="O_463213"/>
      <w:bookmarkEnd w:id="10"/>
      <w:r w:rsidRPr="00216564">
        <w:t>Evi</w:t>
      </w:r>
      <w:r w:rsidRPr="00216564">
        <w:t>dence Guide</w:t>
      </w:r>
    </w:p>
    <w:tbl>
      <w:tblPr>
        <w:tblW w:w="0" w:type="auto"/>
        <w:tblLayout w:type="fixed"/>
        <w:tblCellMar>
          <w:left w:w="62" w:type="dxa"/>
          <w:right w:w="62" w:type="dxa"/>
        </w:tblCellMar>
        <w:tblLook w:val="0000"/>
      </w:tblPr>
      <w:tblGrid>
        <w:gridCol w:w="8460"/>
      </w:tblGrid>
      <w:tr w:rsidTr="00DA24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EVIDENCE GUIDE</w:t>
            </w:r>
          </w:p>
        </w:tc>
      </w:tr>
      <w:tr w:rsidTr="00DA24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9)</w:t>
            </w:r>
            <w:r w:rsidRPr="00216564">
              <w:t xml:space="preserve"> This provides essential advice for assessment of the unit. It must be read in conjunction with the performance criteria and the range statement of the unit and the Training Package Assessment Guidelines.</w:t>
            </w:r>
          </w:p>
          <w:p w:rsidR="00000000" w:rsidRPr="00216564" w:rsidP="00216564">
            <w:pPr>
              <w:pStyle w:val="BodyText"/>
            </w:pPr>
            <w:r w:rsidRPr="00216564">
              <w:t>The Evidence Guide forms an integral part of this unit. It must be used in conjunction with all parts of this unit and performed in accordance with the Assessment Guidelines of this Training Package.</w:t>
            </w:r>
          </w:p>
        </w:tc>
      </w:tr>
    </w:tbl>
    <w:p w:rsidR="00000000" w:rsidRPr="00216564" w:rsidP="00216564">
      <w:pPr>
        <w:pStyle w:val="BodyText"/>
      </w:pPr>
    </w:p>
    <w:tbl>
      <w:tblPr>
        <w:tblW w:w="0" w:type="auto"/>
        <w:tblLayout w:type="fixed"/>
        <w:tblCellMar>
          <w:left w:w="62" w:type="dxa"/>
          <w:right w:w="62" w:type="dxa"/>
        </w:tblCellMar>
        <w:tblLook w:val="0000"/>
      </w:tblPr>
      <w:tblGrid>
        <w:gridCol w:w="1890"/>
        <w:gridCol w:w="6570"/>
      </w:tblGrid>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9.1)</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 xml:space="preserve">Longitudinal competency </w:t>
            </w:r>
            <w:r w:rsidRPr="00216564">
              <w:t>development approaches to assessment, such as Profiling, require data to be reliably gathered in a form that can be consistently interpreted over time. This approach is best utilised in Apprenticeship programs and reduces assessment intervention. It is the</w:t>
            </w:r>
            <w:r w:rsidRPr="00216564">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216564">
              <w:t xml:space="preserve"> simulated work environment. It is recognised that, in some circumstances, assessment in part or full can occur outside the workplace. However, it must be in accordance with industry and regulatory policy.</w:t>
            </w:r>
          </w:p>
          <w:p w:rsidR="00000000" w:rsidRPr="00216564" w:rsidP="00216564">
            <w:pPr>
              <w:pStyle w:val="BodyText"/>
            </w:pPr>
            <w:r w:rsidRPr="00216564">
              <w:t>Methods chosen for a particular assessment will be influenced by various factors. These include the extent of the assessment, the most effective locations for the assessment activities to take place, access to physical resources, additional safety measures</w:t>
            </w:r>
            <w:r w:rsidRPr="00216564">
              <w:t xml:space="preserve"> that may be required and the critical nature of the competencies being assessed.</w:t>
            </w:r>
          </w:p>
          <w:p w:rsidR="00000000" w:rsidRPr="00216564" w:rsidP="00216564">
            <w:pPr>
              <w:pStyle w:val="BodyText"/>
            </w:pPr>
            <w:r w:rsidRPr="00216564">
              <w:t>The critical safety nature of working with electricity, electrical equipment, gas or any other hazardous substance/material carries risk in deeming a person competent. Source</w:t>
            </w:r>
            <w:r w:rsidRPr="00216564">
              <w:t>s of evidence need to be ‘rich’ in nature to minimise error in judgment.</w:t>
            </w:r>
          </w:p>
          <w:p w:rsidR="00000000" w:rsidRPr="00216564" w:rsidP="00216564">
            <w:pPr>
              <w:pStyle w:val="BodyText"/>
            </w:pPr>
            <w:r w:rsidRPr="00216564">
              <w:t>Activities associated with normal every day work have a bearing on the decision as to how much and how detailed the data gathered will contribute to its ‘richness’. Some skills are mo</w:t>
            </w:r>
            <w:r w:rsidRPr="00216564">
              <w:t>re critical to safety and operational requirements while the same skills may be more or less frequently practised. These points are raised for the assessors to consider when choosing an assessment method and developing assessment instruments. Sample assess</w:t>
            </w:r>
            <w:r w:rsidRPr="00216564">
              <w:t>ment instruments are included for Assessors in the Assessment Guidelines of this Training Package.</w:t>
            </w:r>
          </w:p>
        </w:tc>
      </w:tr>
    </w:tbl>
    <w:p w:rsidR="00000000" w:rsidRPr="00216564" w:rsidP="00216564">
      <w:pPr>
        <w:pStyle w:val="BodyText"/>
      </w:pPr>
    </w:p>
    <w:tbl>
      <w:tblPr>
        <w:tblW w:w="0" w:type="auto"/>
        <w:tblLayout w:type="fixed"/>
        <w:tblCellMar>
          <w:left w:w="62" w:type="dxa"/>
          <w:right w:w="62" w:type="dxa"/>
        </w:tblCellMar>
        <w:tblLook w:val="0000"/>
      </w:tblPr>
      <w:tblGrid>
        <w:gridCol w:w="1890"/>
        <w:gridCol w:w="894"/>
        <w:gridCol w:w="522"/>
        <w:gridCol w:w="5154"/>
      </w:tblGrid>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9.2)</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Before the critical aspects of evidence are considered all prerequisi</w:t>
            </w:r>
            <w:r w:rsidRPr="00216564">
              <w:t>tes shall be met.</w:t>
            </w:r>
          </w:p>
          <w:p w:rsidR="00000000" w:rsidRPr="00216564" w:rsidP="00216564">
            <w:pPr>
              <w:pStyle w:val="BodyText"/>
            </w:pPr>
            <w:r w:rsidRPr="00216564">
              <w:t>Evidence for competence in this unit shall be considered holistically.  Each element and associated performance criteria shall be demonstrated on at least two occasions in accordance with the ‘Assessment Guidelines – UET12’.  Evidence sha</w:t>
            </w:r>
            <w:r w:rsidRPr="00216564">
              <w:t>ll also comprise:</w:t>
            </w:r>
          </w:p>
          <w:p w:rsidR="00000000" w:rsidRPr="00216564" w:rsidP="00216564">
            <w:pPr>
              <w:pStyle w:val="ListBullet"/>
            </w:pPr>
            <w:r w:rsidRPr="00216564">
              <w:t>A representative body of work performance demonstrated within the timeframes typically expected of the discipline, work function and industrial environment. In particular this shall incorporate evidence that shows a candidate is able to:</w:t>
            </w:r>
          </w:p>
          <w:p w:rsidR="00000000" w:rsidRPr="00216564" w:rsidP="00216564">
            <w:pPr>
              <w:pStyle w:val="ListBullet2"/>
            </w:pPr>
            <w:r w:rsidRPr="00216564">
              <w:t>Implement Occupational Health and Safety workplace procedures and practices including the use of risk control measures as specified in the performance criteria and range statement</w:t>
            </w:r>
          </w:p>
          <w:p w:rsidR="00000000" w:rsidRPr="00216564" w:rsidP="00216564">
            <w:pPr>
              <w:pStyle w:val="ListBullet2"/>
            </w:pPr>
            <w:r w:rsidRPr="00216564">
              <w:t>Apply sustainable energy principles and practices as specified in the perfo</w:t>
            </w:r>
            <w:r w:rsidRPr="00216564">
              <w:t>rmance criteria and range statement</w:t>
            </w:r>
          </w:p>
          <w:p w:rsidR="00000000" w:rsidRPr="00216564" w:rsidP="00216564">
            <w:pPr>
              <w:pStyle w:val="ListBullet2"/>
            </w:pPr>
            <w:r w:rsidRPr="00216564">
              <w:t>Demonstrate an understanding of the essential knowledge and associated skills as described in this unit.  It may be required by some jurisdictions that RTOs provide a percentile graded result for the purpose of regulator</w:t>
            </w:r>
            <w:r w:rsidRPr="00216564">
              <w:t xml:space="preserve">y or licensing requirements.   </w:t>
            </w:r>
          </w:p>
          <w:p w:rsidR="00000000" w:rsidRPr="00216564" w:rsidP="00216564">
            <w:pPr>
              <w:pStyle w:val="ListBullet2"/>
            </w:pPr>
            <w:r w:rsidRPr="00216564">
              <w:t>Demonstrate an appropriate level of skills enabling employment</w:t>
            </w:r>
          </w:p>
          <w:p w:rsidR="00000000" w:rsidRPr="00216564" w:rsidP="00216564">
            <w:pPr>
              <w:pStyle w:val="ListBullet2"/>
            </w:pPr>
            <w:r w:rsidRPr="00216564">
              <w:t>Conduct work observing the relevant Anti Discrimination legislation, regulations, polices and workplace procedures</w:t>
            </w:r>
          </w:p>
          <w:p w:rsidR="00000000" w:rsidRPr="00216564" w:rsidP="00216564">
            <w:pPr>
              <w:pStyle w:val="ListBullet"/>
            </w:pPr>
            <w:r w:rsidRPr="00216564">
              <w:t>Demonstrated consistent performance across a r</w:t>
            </w:r>
            <w:r w:rsidRPr="00216564">
              <w:t>epresentative range of contexts from the prescribed items below:</w:t>
            </w:r>
          </w:p>
          <w:p w:rsidR="00000000" w:rsidP="00216564">
            <w:pPr>
              <w:pStyle w:val="ListBullet2"/>
              <w:rPr>
                <w:lang w:val="en-NZ"/>
              </w:rPr>
            </w:pPr>
            <w:r w:rsidRPr="00216564">
              <w:t>Develop engineering solutions for energy supply system protection problems as described in 8) and including:</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A</w:t>
            </w:r>
          </w:p>
        </w:tc>
        <w:tc>
          <w:tcPr>
            <w:tcW w:w="515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Understanding the extent of the protection problem.</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B</w:t>
            </w:r>
          </w:p>
        </w:tc>
        <w:tc>
          <w:tcPr>
            <w:tcW w:w="515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Forming effective strategies for solution development and implementation.</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C</w:t>
            </w:r>
          </w:p>
        </w:tc>
        <w:tc>
          <w:tcPr>
            <w:tcW w:w="515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Obtaining protection parameters, specifications and performance requirements appropriate to each problem.</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w:t>
            </w:r>
          </w:p>
        </w:tc>
        <w:tc>
          <w:tcPr>
            <w:tcW w:w="515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Testing and solutions to protection problems.</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E</w:t>
            </w:r>
          </w:p>
        </w:tc>
        <w:tc>
          <w:tcPr>
            <w:tcW w:w="515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Documenting instruction for implementation of solutions that incorporate risk control measure to be followed.</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F</w:t>
            </w:r>
          </w:p>
        </w:tc>
        <w:tc>
          <w:tcPr>
            <w:tcW w:w="515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Documenting justification of solutions implemented in accordance with professional standards.</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G</w:t>
            </w:r>
          </w:p>
        </w:tc>
        <w:tc>
          <w:tcPr>
            <w:tcW w:w="515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Dealing with unplanned events by drawing o</w:t>
            </w:r>
            <w:r w:rsidRPr="00216564">
              <w:t>n essential knowledge and skills to provide appropriate solutions incorporated in the holistic assessment with the above listed items.</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Note:</w:t>
            </w:r>
            <w:r w:rsidRPr="00216564">
              <w:br/>
              <w:t>Successful completion of relevant vendor training may be used to contribute to evidence on which competency is de</w:t>
            </w:r>
            <w:r w:rsidRPr="00216564">
              <w:t>emed. In these cases the alignment of outcomes of vendor training with performance criteria and critical aspects of evidence shall be clearly identified.</w:t>
            </w:r>
          </w:p>
        </w:tc>
      </w:tr>
    </w:tbl>
    <w:p w:rsidR="00000000" w:rsidRPr="00216564" w:rsidP="00216564">
      <w:pPr>
        <w:pStyle w:val="BodyText"/>
      </w:pPr>
    </w:p>
    <w:tbl>
      <w:tblPr>
        <w:tblW w:w="0" w:type="auto"/>
        <w:tblLayout w:type="fixed"/>
        <w:tblCellMar>
          <w:left w:w="62" w:type="dxa"/>
          <w:right w:w="62" w:type="dxa"/>
        </w:tblCellMar>
        <w:tblLook w:val="0000"/>
      </w:tblPr>
      <w:tblGrid>
        <w:gridCol w:w="1890"/>
        <w:gridCol w:w="6570"/>
      </w:tblGrid>
      <w:tr w:rsidTr="00DA245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9.3)</w:t>
            </w:r>
          </w:p>
        </w:tc>
      </w:tr>
      <w:tr w:rsidTr="00DA245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This u</w:t>
            </w:r>
            <w:r w:rsidRPr="00216564">
              <w:t>nit should be assessed as it relates to normal work practice using procedures, information and resources typical of a workplace. This should include:</w:t>
            </w:r>
          </w:p>
          <w:p w:rsidR="00000000" w:rsidRPr="00216564" w:rsidP="00216564">
            <w:pPr>
              <w:pStyle w:val="ListBullet"/>
            </w:pPr>
            <w:r w:rsidRPr="00216564">
              <w:t>OHS policy and work procedures and instructions.</w:t>
            </w:r>
          </w:p>
          <w:p w:rsidR="00000000" w:rsidRPr="00216564" w:rsidP="00216564">
            <w:pPr>
              <w:pStyle w:val="ListBullet"/>
            </w:pPr>
            <w:r w:rsidRPr="00216564">
              <w:t>Suitable work environment, facilities, equipment and mate</w:t>
            </w:r>
            <w:r w:rsidRPr="00216564">
              <w:t>rials to undertake actual work as prescribed by this unit.</w:t>
            </w:r>
          </w:p>
          <w:p w:rsidR="00000000" w:rsidRPr="00216564" w:rsidP="00216564">
            <w:pPr>
              <w:pStyle w:val="BodyText"/>
            </w:pPr>
            <w:r w:rsidRPr="00216564">
              <w:t>These should be part of the formal learning/assessment environment.</w:t>
            </w:r>
          </w:p>
          <w:p w:rsidR="00000000" w:rsidRPr="00216564" w:rsidP="00216564">
            <w:pPr>
              <w:pStyle w:val="BodyText"/>
            </w:pPr>
            <w:r w:rsidRPr="00216564">
              <w:t>Note:</w:t>
            </w:r>
          </w:p>
          <w:p w:rsidR="00000000" w:rsidRPr="00216564" w:rsidP="00216564">
            <w:pPr>
              <w:pStyle w:val="BodyText"/>
            </w:pPr>
            <w:r w:rsidRPr="00216564">
              <w:t>Where simulation is considered a suitable strategy for assessment, conditions must be authentic and as far as possible repr</w:t>
            </w:r>
            <w:r w:rsidRPr="00216564">
              <w:t>oduce and replicate the workplace and be consistent with the approved industry simulation policy.</w:t>
            </w:r>
          </w:p>
          <w:p w:rsidR="00000000" w:rsidRPr="00216564" w:rsidP="00216564">
            <w:pPr>
              <w:pStyle w:val="BodyText"/>
            </w:pPr>
            <w:r w:rsidRPr="00216564">
              <w:t>The resources used for assessment should reflect current industry practices in relation to developing engineering solutions for energy supply system protectio</w:t>
            </w:r>
            <w:r w:rsidRPr="00216564">
              <w:t>n problems.</w:t>
            </w:r>
          </w:p>
        </w:tc>
      </w:tr>
    </w:tbl>
    <w:p w:rsidR="00000000" w:rsidRPr="00216564" w:rsidP="00216564">
      <w:pPr>
        <w:pStyle w:val="BodyText"/>
      </w:pPr>
    </w:p>
    <w:tbl>
      <w:tblPr>
        <w:tblW w:w="0" w:type="auto"/>
        <w:tblLayout w:type="fixed"/>
        <w:tblCellMar>
          <w:left w:w="62" w:type="dxa"/>
          <w:right w:w="62" w:type="dxa"/>
        </w:tblCellMar>
        <w:tblLook w:val="0000"/>
      </w:tblPr>
      <w:tblGrid>
        <w:gridCol w:w="1890"/>
        <w:gridCol w:w="6570"/>
      </w:tblGrid>
      <w:tr w:rsidTr="00DA245B">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9.4)</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This unit shall be assessed by methods given in Volume 1, Part 3 ‘Assessment Guidelines’.</w:t>
            </w:r>
          </w:p>
          <w:p w:rsidR="00000000" w:rsidRPr="00216564" w:rsidP="00216564">
            <w:pPr>
              <w:pStyle w:val="BodyText"/>
            </w:pPr>
            <w:r w:rsidRPr="00216564">
              <w:t>Note:</w:t>
            </w:r>
          </w:p>
          <w:p w:rsidR="00000000" w:rsidRPr="00216564" w:rsidP="00216564">
            <w:pPr>
              <w:pStyle w:val="BodyText"/>
            </w:pPr>
            <w:r w:rsidRPr="00216564">
              <w:t>Competent performance with inherent safe working practices is expected in th</w:t>
            </w:r>
            <w:r w:rsidRPr="00216564">
              <w:t>e industry to which this unit applies. This requires assessment in a structured environment which is primarily intended for learning/assessment and incorporates all necessary equipment and facilities for learners to develop and demonstrate the essential kn</w:t>
            </w:r>
            <w:r w:rsidRPr="00216564">
              <w:t>owledge and skills described in this unit.</w:t>
            </w:r>
          </w:p>
        </w:tc>
      </w:tr>
    </w:tbl>
    <w:p w:rsidR="00000000" w:rsidRPr="00216564" w:rsidP="00216564">
      <w:pPr>
        <w:pStyle w:val="BodyText"/>
      </w:pPr>
    </w:p>
    <w:tbl>
      <w:tblPr>
        <w:tblW w:w="0" w:type="auto"/>
        <w:tblLayout w:type="fixed"/>
        <w:tblCellMar>
          <w:left w:w="62" w:type="dxa"/>
          <w:right w:w="62" w:type="dxa"/>
        </w:tblCellMar>
        <w:tblLook w:val="0000"/>
      </w:tblPr>
      <w:tblGrid>
        <w:gridCol w:w="1890"/>
        <w:gridCol w:w="1944"/>
        <w:gridCol w:w="4626"/>
      </w:tblGrid>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9.5)</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For optimisation of training and assessment effort, competency development in this unit may be arranged concurrently with unit:</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4"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UETTDRIS70A</w:t>
            </w:r>
          </w:p>
          <w:p w:rsidR="00000000" w:rsidP="00216564">
            <w:pPr>
              <w:pStyle w:val="BodyText"/>
              <w:rPr>
                <w:lang w:val="en-NZ"/>
              </w:rPr>
            </w:pPr>
            <w:r w:rsidRPr="00216564">
              <w:t>OR</w:t>
            </w:r>
          </w:p>
        </w:tc>
        <w:tc>
          <w:tcPr>
            <w:tcW w:w="4626"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Diagnose and rectify faults in electrical energy  distribution system</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4"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UETTDRIS72A</w:t>
            </w:r>
          </w:p>
          <w:p w:rsidR="00000000" w:rsidP="00216564">
            <w:pPr>
              <w:pStyle w:val="BodyText"/>
              <w:rPr>
                <w:lang w:val="en-NZ"/>
              </w:rPr>
            </w:pPr>
            <w:r w:rsidRPr="00216564">
              <w:t>OR</w:t>
            </w:r>
          </w:p>
        </w:tc>
        <w:tc>
          <w:tcPr>
            <w:tcW w:w="4626"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Diagnose and rectify faults in distributed generation systems</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4"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UETTDRIS71A</w:t>
            </w:r>
          </w:p>
          <w:p w:rsidR="00000000" w:rsidP="00216564">
            <w:pPr>
              <w:pStyle w:val="BodyText"/>
              <w:rPr>
                <w:lang w:val="en-NZ"/>
              </w:rPr>
            </w:pPr>
            <w:r w:rsidRPr="00216564">
              <w:t>OR</w:t>
            </w:r>
          </w:p>
        </w:tc>
        <w:tc>
          <w:tcPr>
            <w:tcW w:w="4626"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Diagnose and rectify faults in electrical energy supply transmission system</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4"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UEENEEG149A</w:t>
            </w:r>
          </w:p>
        </w:tc>
        <w:tc>
          <w:tcPr>
            <w:tcW w:w="4626"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t>Solve problems in complex polyphase power circuits</w:t>
            </w:r>
          </w:p>
        </w:tc>
      </w:tr>
      <w:tr w:rsidTr="00DA24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The critical aspects of occupational health and safety covered in Unit UEENEEE101A and other discipline specific occupational health and safety unit(s) shall be reassessed in relation to this unit.</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11" w:name="O_463217"/>
      <w:bookmarkEnd w:id="11"/>
      <w:r w:rsidRPr="00216564">
        <w:t>Range Statement</w:t>
      </w:r>
    </w:p>
    <w:tbl>
      <w:tblPr>
        <w:tblW w:w="0" w:type="auto"/>
        <w:tblLayout w:type="fixed"/>
        <w:tblCellMar>
          <w:left w:w="62" w:type="dxa"/>
          <w:right w:w="62" w:type="dxa"/>
        </w:tblCellMar>
        <w:tblLook w:val="0000"/>
      </w:tblPr>
      <w:tblGrid>
        <w:gridCol w:w="8460"/>
      </w:tblGrid>
      <w:tr w:rsidTr="00DA24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RANGE STATEMENT</w:t>
            </w:r>
          </w:p>
        </w:tc>
      </w:tr>
      <w:tr w:rsidTr="00DA24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10)</w:t>
            </w:r>
            <w:r w:rsidRPr="00216564">
              <w:t xml:space="preserve"> This relates to the unit as a whole providing the range of contexts and conditions to which the performance criteria apply. It allows for different work environments and situations that will affect perfo</w:t>
            </w:r>
            <w:r w:rsidRPr="00216564">
              <w:t>rmance.</w:t>
            </w:r>
          </w:p>
          <w:p w:rsidR="00000000" w:rsidRPr="00216564" w:rsidP="00216564">
            <w:pPr>
              <w:pStyle w:val="BodyText"/>
            </w:pPr>
            <w:r w:rsidRPr="00216564">
              <w:t>This unit shall be demonstrated in relation to developing engineering solution for at least four supply system protection problems.</w:t>
            </w:r>
          </w:p>
          <w:p w:rsidR="00000000" w:rsidRPr="00216564" w:rsidP="00216564">
            <w:pPr>
              <w:pStyle w:val="BodyText"/>
            </w:pPr>
            <w:r w:rsidRPr="00216564">
              <w:t>Note.</w:t>
            </w:r>
          </w:p>
          <w:p w:rsidR="00000000" w:rsidRPr="00216564" w:rsidP="00216564">
            <w:pPr>
              <w:pStyle w:val="BodyText"/>
            </w:pPr>
            <w:r w:rsidRPr="00216564">
              <w:t>Typical protection problems are those encountered in meeting performance requirements and compliance standards</w:t>
            </w:r>
            <w:r w:rsidRPr="00216564">
              <w:t>, revising a protection operating parameters and dealing with protection malfunctions.</w:t>
            </w:r>
          </w:p>
          <w:p w:rsidR="00000000" w:rsidRPr="00216564" w:rsidP="00216564">
            <w:pPr>
              <w:pStyle w:val="BodyText"/>
            </w:pPr>
            <w:r w:rsidRPr="00216564">
              <w:t xml:space="preserve">Generic terms used throughout this Vocational Standard shall be regarded as part of the Range Statement in which competency is demonstrated. The definition of these and </w:t>
            </w:r>
            <w:r w:rsidRPr="00216564">
              <w:t>other terms that apply are given in Volume 2, Part 2.1.</w:t>
            </w:r>
          </w:p>
        </w:tc>
      </w:tr>
    </w:tbl>
    <w:p w:rsidR="00000000" w:rsidRPr="00216564" w:rsidP="00216564">
      <w:pPr>
        <w:pStyle w:val="BodyText"/>
      </w:pPr>
    </w:p>
    <w:p w:rsidR="00000000" w:rsidRPr="00216564" w:rsidP="00216564">
      <w:pPr>
        <w:pStyle w:val="AllowPageBreak"/>
      </w:pPr>
    </w:p>
    <w:p w:rsidR="00000000" w:rsidRPr="00216564" w:rsidP="00216564">
      <w:pPr>
        <w:pStyle w:val="Heading1"/>
      </w:pPr>
      <w:bookmarkStart w:id="12" w:name="O_463220"/>
      <w:bookmarkEnd w:id="12"/>
      <w:r w:rsidRPr="00216564">
        <w:t>Unit Sector(s)</w:t>
      </w:r>
    </w:p>
    <w:p w:rsidR="00000000" w:rsidRPr="00216564" w:rsidP="00216564">
      <w:pPr>
        <w:pStyle w:val="BodyText"/>
      </w:pPr>
      <w:r w:rsidRPr="00216564">
        <w:t>Not applicable.</w:t>
      </w:r>
    </w:p>
    <w:p w:rsidR="00000000" w:rsidRPr="00216564" w:rsidP="00216564">
      <w:pPr>
        <w:pStyle w:val="AllowPageBreak"/>
      </w:pPr>
    </w:p>
    <w:p w:rsidR="00000000" w:rsidRPr="00216564" w:rsidP="00216564">
      <w:pPr>
        <w:pStyle w:val="Heading1"/>
      </w:pPr>
      <w:bookmarkStart w:id="13" w:name="O_463209"/>
      <w:bookmarkEnd w:id="13"/>
      <w:r w:rsidRPr="00216564">
        <w:t>Competency Field</w:t>
      </w:r>
    </w:p>
    <w:tbl>
      <w:tblPr>
        <w:tblW w:w="0" w:type="auto"/>
        <w:tblLayout w:type="fixed"/>
        <w:tblCellMar>
          <w:left w:w="62" w:type="dxa"/>
          <w:right w:w="62" w:type="dxa"/>
        </w:tblCellMar>
        <w:tblLook w:val="0000"/>
      </w:tblPr>
      <w:tblGrid>
        <w:gridCol w:w="2700"/>
        <w:gridCol w:w="5760"/>
      </w:tblGrid>
      <w:tr w:rsidTr="00DA24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6564">
            <w:pPr>
              <w:pStyle w:val="BodyText"/>
              <w:rPr>
                <w:lang w:val="en-NZ"/>
              </w:rPr>
            </w:pPr>
            <w:r w:rsidRPr="00216564">
              <w:rPr>
                <w:rStyle w:val="SpecialBold"/>
              </w:rPr>
              <w:t xml:space="preserve">11) </w:t>
            </w:r>
          </w:p>
        </w:tc>
      </w:tr>
      <w:tr w:rsidTr="00DA24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564" w:rsidP="00216564">
            <w:pPr>
              <w:pStyle w:val="BodyText"/>
            </w:pPr>
            <w:r w:rsidRPr="00216564">
              <w:t>Electrical</w:t>
            </w:r>
          </w:p>
        </w:tc>
      </w:tr>
    </w:tbl>
    <w:p w:rsidR="00000000" w:rsidRPr="00216564" w:rsidP="00216564">
      <w:pPr>
        <w:pStyle w:val="BodyText"/>
      </w:pPr>
    </w:p>
    <w:p w:rsidR="00000000" w:rsidRPr="00216564" w:rsidP="00216564"/>
    <w:sectPr w:rsidSect="00216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45B" w:rsidP="00DA24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5B" w:rsidP="002165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A245B" w:rsidP="002165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245B" w:rsidP="002165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64" w:rsidRPr="00DA245B" w:rsidP="00DA24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5B" w:rsidRPr="002D2AF8" w:rsidP="00216564">
    <w:pPr>
      <w:pStyle w:val="Header"/>
      <w:framePr w:wrap="around"/>
    </w:pPr>
    <w:r>
      <w:fldChar w:fldCharType="begin"/>
    </w:r>
    <w:r>
      <w:instrText xml:space="preserve"> TITLE   \* MERGEFORMAT </w:instrText>
    </w:r>
    <w:r>
      <w:fldChar w:fldCharType="separate"/>
    </w:r>
    <w:r>
      <w:t>UETTDRIS74A Develop engineering solutions for energy supply system protection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A245B" w:rsidP="00216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985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96A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0C8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564"/>
    <w:pPr>
      <w:spacing w:before="360" w:after="60"/>
      <w:outlineLvl w:val="0"/>
    </w:pPr>
    <w:rPr>
      <w:sz w:val="32"/>
    </w:rPr>
  </w:style>
  <w:style w:type="paragraph" w:styleId="Heading2">
    <w:name w:val="heading 2"/>
    <w:basedOn w:val="HeadingBase"/>
    <w:next w:val="BodyText"/>
    <w:link w:val="Heading2Char"/>
    <w:qFormat/>
    <w:rsid w:val="00216564"/>
    <w:pPr>
      <w:keepLines/>
      <w:spacing w:before="240" w:after="120"/>
      <w:outlineLvl w:val="1"/>
    </w:pPr>
    <w:rPr>
      <w:sz w:val="28"/>
      <w:szCs w:val="40"/>
    </w:rPr>
  </w:style>
  <w:style w:type="paragraph" w:styleId="Heading3">
    <w:name w:val="heading 3"/>
    <w:basedOn w:val="HeadingBase"/>
    <w:next w:val="BodyText"/>
    <w:link w:val="Heading3Char"/>
    <w:qFormat/>
    <w:rsid w:val="00216564"/>
    <w:pPr>
      <w:spacing w:before="180" w:after="120"/>
      <w:outlineLvl w:val="2"/>
    </w:pPr>
    <w:rPr>
      <w:spacing w:val="-10"/>
      <w:kern w:val="32"/>
    </w:rPr>
  </w:style>
  <w:style w:type="paragraph" w:styleId="Heading4">
    <w:name w:val="heading 4"/>
    <w:basedOn w:val="HeadingBase"/>
    <w:next w:val="BodyText"/>
    <w:link w:val="Heading4Char"/>
    <w:qFormat/>
    <w:rsid w:val="00216564"/>
    <w:pPr>
      <w:spacing w:before="160" w:after="120"/>
      <w:outlineLvl w:val="3"/>
    </w:pPr>
    <w:rPr>
      <w:sz w:val="22"/>
    </w:rPr>
  </w:style>
  <w:style w:type="paragraph" w:styleId="Heading5">
    <w:name w:val="heading 5"/>
    <w:basedOn w:val="HeadingBase"/>
    <w:next w:val="Normal"/>
    <w:link w:val="Heading5Char"/>
    <w:qFormat/>
    <w:rsid w:val="00216564"/>
    <w:pPr>
      <w:spacing w:before="80"/>
      <w:outlineLvl w:val="4"/>
    </w:pPr>
    <w:rPr>
      <w:color w:val="918585"/>
      <w:sz w:val="20"/>
    </w:rPr>
  </w:style>
  <w:style w:type="paragraph" w:styleId="Heading6">
    <w:name w:val="heading 6"/>
    <w:basedOn w:val="HeadingBase"/>
    <w:next w:val="Normal"/>
    <w:link w:val="Heading6Char"/>
    <w:qFormat/>
    <w:rsid w:val="00216564"/>
    <w:pPr>
      <w:spacing w:before="60"/>
      <w:outlineLvl w:val="5"/>
    </w:pPr>
    <w:rPr>
      <w:color w:val="918585"/>
      <w:sz w:val="20"/>
    </w:rPr>
  </w:style>
  <w:style w:type="paragraph" w:styleId="Heading7">
    <w:name w:val="heading 7"/>
    <w:basedOn w:val="Normal"/>
    <w:next w:val="Normal"/>
    <w:link w:val="Heading7Char"/>
    <w:qFormat/>
    <w:rsid w:val="00216564"/>
    <w:pPr>
      <w:ind w:left="720"/>
      <w:outlineLvl w:val="6"/>
    </w:pPr>
    <w:rPr>
      <w:i/>
    </w:rPr>
  </w:style>
  <w:style w:type="paragraph" w:styleId="Heading8">
    <w:name w:val="heading 8"/>
    <w:basedOn w:val="Normal"/>
    <w:next w:val="Normal"/>
    <w:link w:val="Heading8Char"/>
    <w:qFormat/>
    <w:rsid w:val="00216564"/>
    <w:pPr>
      <w:ind w:left="720"/>
      <w:outlineLvl w:val="7"/>
    </w:pPr>
    <w:rPr>
      <w:i/>
    </w:rPr>
  </w:style>
  <w:style w:type="paragraph" w:styleId="Heading9">
    <w:name w:val="heading 9"/>
    <w:basedOn w:val="Normal"/>
    <w:next w:val="Normal"/>
    <w:link w:val="Heading9Char"/>
    <w:qFormat/>
    <w:rsid w:val="00216564"/>
    <w:pPr>
      <w:ind w:left="720"/>
      <w:outlineLvl w:val="8"/>
    </w:pPr>
    <w:rPr>
      <w:i/>
    </w:rPr>
  </w:style>
  <w:style w:type="character" w:default="1" w:styleId="DefaultParagraphFont">
    <w:name w:val="Default Paragraph Font"/>
    <w:uiPriority w:val="1"/>
    <w:unhideWhenUsed/>
    <w:rsid w:val="00216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564"/>
  </w:style>
  <w:style w:type="character" w:customStyle="1" w:styleId="Heading1Char">
    <w:name w:val="Heading 1 Char"/>
    <w:basedOn w:val="DefaultParagraphFont"/>
    <w:link w:val="Heading1"/>
    <w:rsid w:val="00216564"/>
    <w:rPr>
      <w:rFonts w:ascii="Times New Roman" w:eastAsia="Times New Roman" w:hAnsi="Times New Roman" w:cs="Times New Roman"/>
      <w:b/>
      <w:sz w:val="32"/>
      <w:szCs w:val="20"/>
      <w:lang w:eastAsia="en-US"/>
    </w:rPr>
  </w:style>
  <w:style w:type="paragraph" w:styleId="BodyText">
    <w:name w:val="Body Text"/>
    <w:basedOn w:val="Normal"/>
    <w:link w:val="BodyTextChar"/>
    <w:rsid w:val="002165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564"/>
    <w:rPr>
      <w:rFonts w:ascii="Times New Roman" w:eastAsia="Times New Roman" w:hAnsi="Times New Roman" w:cs="Times New Roman"/>
      <w:sz w:val="24"/>
      <w:lang w:eastAsia="en-US"/>
    </w:rPr>
  </w:style>
  <w:style w:type="paragraph" w:styleId="Footer">
    <w:name w:val="footer"/>
    <w:basedOn w:val="Normal"/>
    <w:link w:val="FooterChar"/>
    <w:rsid w:val="00216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564"/>
    <w:rPr>
      <w:rFonts w:ascii="Times New Roman" w:eastAsia="Times New Roman" w:hAnsi="Times New Roman" w:cs="Times New Roman"/>
      <w:sz w:val="16"/>
      <w:lang w:eastAsia="en-US"/>
    </w:rPr>
  </w:style>
  <w:style w:type="paragraph" w:styleId="ListBullet">
    <w:name w:val="List Bullet"/>
    <w:basedOn w:val="List"/>
    <w:rsid w:val="00216564"/>
    <w:pPr>
      <w:numPr>
        <w:numId w:val="13"/>
      </w:numPr>
      <w:tabs>
        <w:tab w:val="clear" w:pos="340"/>
      </w:tabs>
      <w:spacing w:before="40" w:after="40"/>
    </w:pPr>
  </w:style>
  <w:style w:type="character" w:customStyle="1" w:styleId="SpecialBold">
    <w:name w:val="Special Bold"/>
    <w:basedOn w:val="DefaultParagraphFont"/>
    <w:rsid w:val="00216564"/>
    <w:rPr>
      <w:b/>
      <w:spacing w:val="0"/>
    </w:rPr>
  </w:style>
  <w:style w:type="paragraph" w:styleId="ListBullet2">
    <w:name w:val="List Bullet 2"/>
    <w:basedOn w:val="List2"/>
    <w:rsid w:val="00216564"/>
    <w:pPr>
      <w:numPr>
        <w:numId w:val="14"/>
      </w:numPr>
      <w:tabs>
        <w:tab w:val="clear" w:pos="680"/>
      </w:tabs>
    </w:pPr>
  </w:style>
  <w:style w:type="paragraph" w:customStyle="1" w:styleId="SuperHeading">
    <w:name w:val="SuperHeading"/>
    <w:basedOn w:val="Normal"/>
    <w:rsid w:val="00216564"/>
    <w:pPr>
      <w:spacing w:before="240" w:after="120"/>
      <w:outlineLvl w:val="0"/>
    </w:pPr>
    <w:rPr>
      <w:rFonts w:ascii="Times New Roman" w:hAnsi="Times New Roman"/>
      <w:b/>
      <w:sz w:val="28"/>
    </w:rPr>
  </w:style>
  <w:style w:type="paragraph" w:customStyle="1" w:styleId="AllowPageBreak">
    <w:name w:val="AllowPageBreak"/>
    <w:rsid w:val="00216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564"/>
    <w:rPr>
      <w:rFonts w:ascii="Courier New" w:eastAsia="Times New Roman" w:hAnsi="Courier New" w:cs="Times New Roman"/>
      <w:i/>
      <w:szCs w:val="20"/>
      <w:lang w:eastAsia="en-US"/>
    </w:rPr>
  </w:style>
  <w:style w:type="paragraph" w:customStyle="1" w:styleId="HeadingBase">
    <w:name w:val="Heading Base"/>
    <w:rsid w:val="00216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564"/>
    <w:pPr>
      <w:tabs>
        <w:tab w:val="right" w:leader="dot" w:pos="9072"/>
      </w:tabs>
      <w:ind w:left="567"/>
    </w:pPr>
    <w:rPr>
      <w:szCs w:val="22"/>
    </w:rPr>
  </w:style>
  <w:style w:type="paragraph" w:customStyle="1" w:styleId="TOCBase">
    <w:name w:val="TOC Base"/>
    <w:rsid w:val="00216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564"/>
    <w:pPr>
      <w:tabs>
        <w:tab w:val="right" w:leader="dot" w:pos="9072"/>
      </w:tabs>
      <w:spacing w:before="40" w:after="40"/>
      <w:ind w:left="284"/>
    </w:pPr>
    <w:rPr>
      <w:rFonts w:ascii="Times New Roman" w:hAnsi="Times New Roman"/>
    </w:rPr>
  </w:style>
  <w:style w:type="paragraph" w:styleId="TOC1">
    <w:name w:val="toc 1"/>
    <w:basedOn w:val="TOCBase"/>
    <w:next w:val="Normal"/>
    <w:rsid w:val="002165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564"/>
    <w:pPr>
      <w:spacing w:before="5040"/>
      <w:jc w:val="center"/>
    </w:pPr>
    <w:rPr>
      <w:sz w:val="48"/>
      <w:szCs w:val="72"/>
      <w:lang w:val="en-US"/>
    </w:rPr>
  </w:style>
  <w:style w:type="character" w:customStyle="1" w:styleId="TitleChar">
    <w:name w:val="Title Char"/>
    <w:basedOn w:val="DefaultParagraphFont"/>
    <w:link w:val="Title"/>
    <w:rsid w:val="00216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564"/>
    <w:pPr>
      <w:tabs>
        <w:tab w:val="left" w:pos="3600"/>
        <w:tab w:val="left" w:pos="3958"/>
      </w:tabs>
    </w:pPr>
  </w:style>
  <w:style w:type="paragraph" w:styleId="List">
    <w:name w:val="List"/>
    <w:basedOn w:val="BodyText"/>
    <w:next w:val="BodyText"/>
    <w:rsid w:val="00216564"/>
    <w:pPr>
      <w:tabs>
        <w:tab w:val="left" w:pos="340"/>
      </w:tabs>
      <w:spacing w:before="60" w:after="60"/>
      <w:ind w:left="340" w:hanging="340"/>
    </w:pPr>
  </w:style>
  <w:style w:type="paragraph" w:customStyle="1" w:styleId="Note">
    <w:name w:val="Note"/>
    <w:basedOn w:val="BodyText"/>
    <w:rsid w:val="00216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564"/>
    <w:pPr>
      <w:framePr w:wrap="auto" w:hAnchor="text" w:y="6049"/>
    </w:pPr>
    <w:rPr>
      <w:color w:val="000000"/>
      <w:sz w:val="40"/>
    </w:rPr>
  </w:style>
  <w:style w:type="paragraph" w:customStyle="1" w:styleId="TOCTitle">
    <w:name w:val="TOCTitle"/>
    <w:basedOn w:val="Heading1"/>
    <w:rsid w:val="00216564"/>
    <w:pPr>
      <w:spacing w:after="240"/>
      <w:jc w:val="center"/>
      <w:outlineLvl w:val="9"/>
    </w:pPr>
    <w:rPr>
      <w:caps/>
    </w:rPr>
  </w:style>
  <w:style w:type="paragraph" w:customStyle="1" w:styleId="Version">
    <w:name w:val="Version"/>
    <w:rsid w:val="00216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564"/>
    <w:pPr>
      <w:keepNext w:val="0"/>
      <w:tabs>
        <w:tab w:val="right" w:pos="4176"/>
      </w:tabs>
      <w:ind w:left="198" w:hanging="198"/>
    </w:pPr>
    <w:rPr>
      <w:rFonts w:ascii="Garamond" w:hAnsi="Garamond"/>
    </w:rPr>
  </w:style>
  <w:style w:type="paragraph" w:styleId="IndexHeading">
    <w:name w:val="index heading"/>
    <w:basedOn w:val="Normal"/>
    <w:next w:val="Index1"/>
    <w:semiHidden/>
    <w:rsid w:val="00216564"/>
    <w:pPr>
      <w:spacing w:before="120" w:after="120"/>
    </w:pPr>
    <w:rPr>
      <w:rFonts w:ascii="Arial" w:hAnsi="Arial"/>
      <w:b/>
      <w:color w:val="918585"/>
      <w:sz w:val="24"/>
    </w:rPr>
  </w:style>
  <w:style w:type="paragraph" w:styleId="Header">
    <w:name w:val="header"/>
    <w:basedOn w:val="Normal"/>
    <w:link w:val="HeaderChar"/>
    <w:rsid w:val="00216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564"/>
    <w:rPr>
      <w:rFonts w:ascii="Times New Roman" w:eastAsia="Times New Roman" w:hAnsi="Times New Roman" w:cs="Times New Roman"/>
      <w:sz w:val="16"/>
      <w:szCs w:val="20"/>
      <w:lang w:val="en-GB" w:eastAsia="en-US"/>
    </w:rPr>
  </w:style>
  <w:style w:type="paragraph" w:customStyle="1" w:styleId="Chapter">
    <w:name w:val="Chapter"/>
    <w:basedOn w:val="Normal"/>
    <w:rsid w:val="00216564"/>
    <w:pPr>
      <w:spacing w:before="240"/>
    </w:pPr>
    <w:rPr>
      <w:rFonts w:ascii="Times New Roman" w:hAnsi="Times New Roman"/>
      <w:smallCaps/>
      <w:spacing w:val="80"/>
      <w:sz w:val="28"/>
    </w:rPr>
  </w:style>
  <w:style w:type="paragraph" w:customStyle="1" w:styleId="InChapter">
    <w:name w:val="InChapter"/>
    <w:basedOn w:val="Heading3"/>
    <w:rsid w:val="00216564"/>
    <w:pPr>
      <w:spacing w:after="240"/>
      <w:outlineLvl w:val="9"/>
    </w:pPr>
    <w:rPr>
      <w:noProof/>
    </w:rPr>
  </w:style>
  <w:style w:type="paragraph" w:styleId="Index2">
    <w:name w:val="index 2"/>
    <w:basedOn w:val="Normal"/>
    <w:next w:val="Normal"/>
    <w:semiHidden/>
    <w:rsid w:val="00216564"/>
    <w:pPr>
      <w:tabs>
        <w:tab w:val="right" w:pos="4176"/>
      </w:tabs>
      <w:ind w:left="568" w:hanging="284"/>
    </w:pPr>
    <w:rPr>
      <w:rFonts w:ascii="Garamond" w:hAnsi="Garamond"/>
    </w:rPr>
  </w:style>
  <w:style w:type="paragraph" w:customStyle="1" w:styleId="Byline">
    <w:name w:val="Byline"/>
    <w:rsid w:val="00216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564"/>
    <w:pPr>
      <w:tabs>
        <w:tab w:val="clear" w:pos="3600"/>
        <w:tab w:val="clear" w:pos="3958"/>
      </w:tabs>
      <w:jc w:val="right"/>
    </w:pPr>
  </w:style>
  <w:style w:type="character" w:styleId="Emphasis">
    <w:name w:val="Emphasis"/>
    <w:basedOn w:val="DefaultParagraphFont"/>
    <w:qFormat/>
    <w:rsid w:val="00216564"/>
    <w:rPr>
      <w:i/>
    </w:rPr>
  </w:style>
  <w:style w:type="paragraph" w:styleId="Caption">
    <w:name w:val="caption"/>
    <w:basedOn w:val="BodyText"/>
    <w:next w:val="Normal"/>
    <w:qFormat/>
    <w:rsid w:val="00216564"/>
    <w:pPr>
      <w:framePr w:w="2268" w:hSpace="181" w:vSpace="181" w:wrap="around" w:vAnchor="text" w:hAnchor="page" w:x="1135" w:y="285" w:anchorLock="1"/>
    </w:pPr>
    <w:rPr>
      <w:i/>
    </w:rPr>
  </w:style>
  <w:style w:type="paragraph" w:customStyle="1" w:styleId="MiniTOCTitle">
    <w:name w:val="MiniTOCTitle"/>
    <w:basedOn w:val="Heading4"/>
    <w:rsid w:val="00216564"/>
    <w:pPr>
      <w:spacing w:before="240"/>
      <w:outlineLvl w:val="9"/>
    </w:pPr>
    <w:rPr>
      <w:noProof/>
      <w:sz w:val="24"/>
    </w:rPr>
  </w:style>
  <w:style w:type="paragraph" w:customStyle="1" w:styleId="MiniTOCItem">
    <w:name w:val="MiniTOCItem"/>
    <w:basedOn w:val="ListBullet"/>
    <w:rsid w:val="00216564"/>
    <w:pPr>
      <w:numPr>
        <w:numId w:val="0"/>
      </w:numPr>
      <w:tabs>
        <w:tab w:val="right" w:leader="dot" w:pos="6521"/>
      </w:tabs>
      <w:spacing w:before="0" w:after="0"/>
    </w:pPr>
  </w:style>
  <w:style w:type="paragraph" w:customStyle="1" w:styleId="TOFTitle">
    <w:name w:val="TOFTitle"/>
    <w:basedOn w:val="TOCTitle"/>
    <w:rsid w:val="00216564"/>
  </w:style>
  <w:style w:type="paragraph" w:styleId="TableofFigures">
    <w:name w:val="table of figures"/>
    <w:basedOn w:val="Normal"/>
    <w:next w:val="Normal"/>
    <w:semiHidden/>
    <w:rsid w:val="00216564"/>
    <w:pPr>
      <w:tabs>
        <w:tab w:val="right" w:leader="dot" w:pos="9072"/>
      </w:tabs>
      <w:ind w:left="970" w:hanging="403"/>
    </w:pPr>
    <w:rPr>
      <w:rFonts w:ascii="Times New Roman" w:hAnsi="Times New Roman"/>
      <w:b/>
    </w:rPr>
  </w:style>
  <w:style w:type="paragraph" w:styleId="ListNumber">
    <w:name w:val="List Number"/>
    <w:basedOn w:val="List"/>
    <w:rsid w:val="00216564"/>
    <w:pPr>
      <w:numPr>
        <w:numId w:val="11"/>
      </w:numPr>
    </w:pPr>
  </w:style>
  <w:style w:type="character" w:customStyle="1" w:styleId="WingdingSymbols">
    <w:name w:val="Wingding Symbols"/>
    <w:rsid w:val="00216564"/>
    <w:rPr>
      <w:rFonts w:ascii="Wingdings" w:hAnsi="Wingdings"/>
    </w:rPr>
  </w:style>
  <w:style w:type="paragraph" w:customStyle="1" w:styleId="TableHeading">
    <w:name w:val="Table Heading"/>
    <w:basedOn w:val="HeadingBase"/>
    <w:rsid w:val="00216564"/>
    <w:pPr>
      <w:keepLines/>
      <w:pBdr>
        <w:bottom w:val="single" w:sz="6" w:space="1" w:color="918585"/>
      </w:pBdr>
      <w:spacing w:before="240"/>
    </w:pPr>
  </w:style>
  <w:style w:type="character" w:customStyle="1" w:styleId="HotSpot">
    <w:name w:val="HotSpot"/>
    <w:rsid w:val="00216564"/>
    <w:rPr>
      <w:color w:val="0033CC"/>
      <w:u w:val="none"/>
    </w:rPr>
  </w:style>
  <w:style w:type="paragraph" w:customStyle="1" w:styleId="BodyTextRight">
    <w:name w:val="Body Text Right"/>
    <w:basedOn w:val="BodyText"/>
    <w:rsid w:val="00216564"/>
    <w:pPr>
      <w:spacing w:before="0" w:after="0"/>
      <w:jc w:val="right"/>
    </w:pPr>
  </w:style>
  <w:style w:type="paragraph" w:styleId="Index3">
    <w:name w:val="index 3"/>
    <w:basedOn w:val="ListNumber2"/>
    <w:next w:val="Normal"/>
    <w:semiHidden/>
    <w:rsid w:val="00216564"/>
    <w:pPr>
      <w:numPr>
        <w:numId w:val="0"/>
      </w:numPr>
      <w:tabs>
        <w:tab w:val="right" w:leader="dot" w:pos="4176"/>
      </w:tabs>
    </w:pPr>
  </w:style>
  <w:style w:type="paragraph" w:styleId="ListNumber2">
    <w:name w:val="List Number 2"/>
    <w:basedOn w:val="List2"/>
    <w:rsid w:val="00216564"/>
    <w:pPr>
      <w:numPr>
        <w:numId w:val="10"/>
      </w:numPr>
      <w:tabs>
        <w:tab w:val="clear" w:pos="1060"/>
      </w:tabs>
    </w:pPr>
  </w:style>
  <w:style w:type="paragraph" w:customStyle="1" w:styleId="MarginNote">
    <w:name w:val="Margin Note"/>
    <w:basedOn w:val="BodyText"/>
    <w:rsid w:val="00216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564"/>
    <w:rPr>
      <w:sz w:val="32"/>
    </w:rPr>
  </w:style>
  <w:style w:type="paragraph" w:customStyle="1" w:styleId="HeadingProcedure">
    <w:name w:val="Heading Procedure"/>
    <w:basedOn w:val="HeadingBase"/>
    <w:next w:val="Normal"/>
    <w:rsid w:val="00216564"/>
    <w:pPr>
      <w:tabs>
        <w:tab w:val="left" w:pos="0"/>
      </w:tabs>
      <w:spacing w:before="120" w:after="60"/>
    </w:pPr>
    <w:rPr>
      <w:i/>
      <w:color w:val="918585"/>
      <w:sz w:val="22"/>
    </w:rPr>
  </w:style>
  <w:style w:type="paragraph" w:customStyle="1" w:styleId="TableBodyText">
    <w:name w:val="Table Body Text"/>
    <w:basedOn w:val="BodyText"/>
    <w:rsid w:val="00216564"/>
    <w:pPr>
      <w:spacing w:before="60" w:after="60"/>
    </w:pPr>
  </w:style>
  <w:style w:type="paragraph" w:styleId="ListContinue">
    <w:name w:val="List Continue"/>
    <w:basedOn w:val="List"/>
    <w:rsid w:val="00216564"/>
    <w:pPr>
      <w:ind w:firstLine="0"/>
    </w:pPr>
  </w:style>
  <w:style w:type="paragraph" w:customStyle="1" w:styleId="ListNote">
    <w:name w:val="List Note"/>
    <w:basedOn w:val="List"/>
    <w:rsid w:val="00216564"/>
    <w:pPr>
      <w:pBdr>
        <w:top w:val="single" w:sz="6" w:space="2" w:color="918585"/>
        <w:bottom w:val="single" w:sz="6" w:space="2" w:color="918585"/>
      </w:pBdr>
      <w:tabs>
        <w:tab w:val="left" w:pos="1021"/>
      </w:tabs>
      <w:ind w:firstLine="0"/>
    </w:pPr>
  </w:style>
  <w:style w:type="paragraph" w:customStyle="1" w:styleId="Warning">
    <w:name w:val="Warning"/>
    <w:basedOn w:val="BodyText"/>
    <w:rsid w:val="00216564"/>
    <w:pPr>
      <w:shd w:val="clear" w:color="auto" w:fill="D9D9D9"/>
      <w:tabs>
        <w:tab w:val="left" w:pos="992"/>
      </w:tabs>
      <w:ind w:left="119" w:right="119"/>
    </w:pPr>
    <w:rPr>
      <w:sz w:val="20"/>
    </w:rPr>
  </w:style>
  <w:style w:type="paragraph" w:customStyle="1" w:styleId="MarginIcons">
    <w:name w:val="Margin Icons"/>
    <w:basedOn w:val="BodyText"/>
    <w:rsid w:val="00216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564"/>
    <w:rPr>
      <w:rFonts w:ascii="Courier New" w:hAnsi="Courier New"/>
    </w:rPr>
  </w:style>
  <w:style w:type="paragraph" w:customStyle="1" w:styleId="NoteBullet">
    <w:name w:val="Note Bullet"/>
    <w:basedOn w:val="Note"/>
    <w:rsid w:val="00216564"/>
    <w:pPr>
      <w:tabs>
        <w:tab w:val="clear" w:pos="680"/>
      </w:tabs>
      <w:spacing w:before="60" w:after="60"/>
    </w:pPr>
  </w:style>
  <w:style w:type="paragraph" w:customStyle="1" w:styleId="SubHeading2">
    <w:name w:val="SubHeading2"/>
    <w:basedOn w:val="HeadingBase"/>
    <w:rsid w:val="00216564"/>
    <w:pPr>
      <w:spacing w:before="240" w:after="60"/>
    </w:pPr>
    <w:rPr>
      <w:sz w:val="20"/>
    </w:rPr>
  </w:style>
  <w:style w:type="paragraph" w:customStyle="1" w:styleId="SubHeading1">
    <w:name w:val="SubHeading1"/>
    <w:basedOn w:val="HeadingBase"/>
    <w:rsid w:val="00216564"/>
    <w:pPr>
      <w:spacing w:before="240" w:after="60"/>
    </w:pPr>
    <w:rPr>
      <w:color w:val="918585"/>
      <w:sz w:val="22"/>
    </w:rPr>
  </w:style>
  <w:style w:type="paragraph" w:customStyle="1" w:styleId="SideHeading">
    <w:name w:val="Side Heading"/>
    <w:basedOn w:val="HeadingBase"/>
    <w:rsid w:val="00216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564"/>
    <w:pPr>
      <w:numPr>
        <w:numId w:val="12"/>
      </w:numPr>
    </w:pPr>
  </w:style>
  <w:style w:type="paragraph" w:styleId="PlainText">
    <w:name w:val="Plain Text"/>
    <w:basedOn w:val="Normal"/>
    <w:link w:val="PlainTextChar"/>
    <w:rsid w:val="00216564"/>
    <w:rPr>
      <w:sz w:val="20"/>
    </w:rPr>
  </w:style>
  <w:style w:type="character" w:customStyle="1" w:styleId="PlainTextChar">
    <w:name w:val="Plain Text Char"/>
    <w:basedOn w:val="DefaultParagraphFont"/>
    <w:link w:val="PlainText"/>
    <w:rsid w:val="00216564"/>
    <w:rPr>
      <w:rFonts w:ascii="Courier New" w:eastAsia="Times New Roman" w:hAnsi="Courier New" w:cs="Times New Roman"/>
      <w:sz w:val="20"/>
      <w:szCs w:val="20"/>
      <w:lang w:eastAsia="en-US"/>
    </w:rPr>
  </w:style>
  <w:style w:type="character" w:customStyle="1" w:styleId="MenuOption">
    <w:name w:val="Menu Option"/>
    <w:basedOn w:val="DefaultParagraphFont"/>
    <w:rsid w:val="00216564"/>
    <w:rPr>
      <w:b/>
      <w:smallCaps/>
    </w:rPr>
  </w:style>
  <w:style w:type="paragraph" w:customStyle="1" w:styleId="TableListNumber">
    <w:name w:val="Table List Number"/>
    <w:basedOn w:val="ListNumber"/>
    <w:rsid w:val="00216564"/>
    <w:pPr>
      <w:numPr>
        <w:numId w:val="0"/>
      </w:numPr>
    </w:pPr>
  </w:style>
  <w:style w:type="paragraph" w:styleId="TOC4">
    <w:name w:val="toc 4"/>
    <w:basedOn w:val="TOCBase"/>
    <w:next w:val="Normal"/>
    <w:semiHidden/>
    <w:rsid w:val="00216564"/>
    <w:pPr>
      <w:tabs>
        <w:tab w:val="right" w:leader="dot" w:pos="9071"/>
      </w:tabs>
      <w:ind w:left="1701"/>
    </w:pPr>
  </w:style>
  <w:style w:type="paragraph" w:customStyle="1" w:styleId="ListAlpha">
    <w:name w:val="List Alpha"/>
    <w:basedOn w:val="List"/>
    <w:rsid w:val="00216564"/>
    <w:pPr>
      <w:numPr>
        <w:numId w:val="9"/>
      </w:numPr>
    </w:pPr>
  </w:style>
  <w:style w:type="paragraph" w:customStyle="1" w:styleId="ListAlpha2">
    <w:name w:val="List Alpha 2"/>
    <w:basedOn w:val="List2"/>
    <w:rsid w:val="00216564"/>
    <w:pPr>
      <w:numPr>
        <w:numId w:val="8"/>
      </w:numPr>
    </w:pPr>
  </w:style>
  <w:style w:type="paragraph" w:styleId="List2">
    <w:name w:val="List 2"/>
    <w:basedOn w:val="BodyText"/>
    <w:rsid w:val="00216564"/>
    <w:pPr>
      <w:tabs>
        <w:tab w:val="left" w:pos="680"/>
      </w:tabs>
      <w:spacing w:before="60" w:after="60"/>
      <w:ind w:left="680" w:hanging="340"/>
    </w:pPr>
  </w:style>
  <w:style w:type="paragraph" w:styleId="List3">
    <w:name w:val="List 3"/>
    <w:basedOn w:val="BodyText"/>
    <w:rsid w:val="00216564"/>
    <w:pPr>
      <w:tabs>
        <w:tab w:val="left" w:pos="1021"/>
      </w:tabs>
      <w:spacing w:before="60" w:after="60"/>
      <w:ind w:left="1020" w:hanging="340"/>
    </w:pPr>
  </w:style>
  <w:style w:type="paragraph" w:styleId="List4">
    <w:name w:val="List 4"/>
    <w:basedOn w:val="BodyText"/>
    <w:rsid w:val="00216564"/>
    <w:pPr>
      <w:tabs>
        <w:tab w:val="left" w:pos="1361"/>
      </w:tabs>
      <w:spacing w:before="60" w:after="60"/>
      <w:ind w:left="1361" w:hanging="340"/>
    </w:pPr>
  </w:style>
  <w:style w:type="paragraph" w:styleId="List5">
    <w:name w:val="List 5"/>
    <w:basedOn w:val="BodyText"/>
    <w:rsid w:val="00216564"/>
    <w:pPr>
      <w:tabs>
        <w:tab w:val="left" w:pos="1701"/>
      </w:tabs>
      <w:spacing w:before="60" w:after="60"/>
      <w:ind w:left="1701" w:hanging="340"/>
    </w:pPr>
  </w:style>
  <w:style w:type="paragraph" w:styleId="ListBullet3">
    <w:name w:val="List Bullet 3"/>
    <w:basedOn w:val="List3"/>
    <w:rsid w:val="00216564"/>
    <w:pPr>
      <w:numPr>
        <w:numId w:val="15"/>
      </w:numPr>
      <w:tabs>
        <w:tab w:val="clear" w:pos="1021"/>
      </w:tabs>
      <w:ind w:left="1037" w:hanging="357"/>
    </w:pPr>
  </w:style>
  <w:style w:type="paragraph" w:styleId="ListBullet4">
    <w:name w:val="List Bullet 4"/>
    <w:basedOn w:val="List4"/>
    <w:rsid w:val="00216564"/>
    <w:pPr>
      <w:numPr>
        <w:numId w:val="3"/>
      </w:numPr>
    </w:pPr>
  </w:style>
  <w:style w:type="paragraph" w:styleId="ListBullet5">
    <w:name w:val="List Bullet 5"/>
    <w:basedOn w:val="List5"/>
    <w:rsid w:val="00216564"/>
    <w:pPr>
      <w:numPr>
        <w:numId w:val="4"/>
      </w:numPr>
    </w:pPr>
  </w:style>
  <w:style w:type="paragraph" w:styleId="ListContinue2">
    <w:name w:val="List Continue 2"/>
    <w:basedOn w:val="List2"/>
    <w:rsid w:val="00216564"/>
    <w:pPr>
      <w:ind w:firstLine="0"/>
    </w:pPr>
  </w:style>
  <w:style w:type="paragraph" w:styleId="ListContinue3">
    <w:name w:val="List Continue 3"/>
    <w:basedOn w:val="List3"/>
    <w:rsid w:val="00216564"/>
    <w:pPr>
      <w:ind w:left="1021" w:firstLine="0"/>
    </w:pPr>
  </w:style>
  <w:style w:type="paragraph" w:styleId="ListContinue4">
    <w:name w:val="List Continue 4"/>
    <w:basedOn w:val="List4"/>
    <w:rsid w:val="00216564"/>
    <w:pPr>
      <w:ind w:firstLine="0"/>
    </w:pPr>
  </w:style>
  <w:style w:type="paragraph" w:styleId="ListContinue5">
    <w:name w:val="List Continue 5"/>
    <w:basedOn w:val="List5"/>
    <w:rsid w:val="00216564"/>
    <w:pPr>
      <w:ind w:firstLine="0"/>
    </w:pPr>
  </w:style>
  <w:style w:type="paragraph" w:styleId="ListNumber3">
    <w:name w:val="List Number 3"/>
    <w:basedOn w:val="List3"/>
    <w:rsid w:val="00216564"/>
    <w:pPr>
      <w:numPr>
        <w:numId w:val="5"/>
      </w:numPr>
    </w:pPr>
  </w:style>
  <w:style w:type="paragraph" w:styleId="ListNumber4">
    <w:name w:val="List Number 4"/>
    <w:basedOn w:val="List4"/>
    <w:rsid w:val="00216564"/>
    <w:pPr>
      <w:numPr>
        <w:numId w:val="6"/>
      </w:numPr>
    </w:pPr>
  </w:style>
  <w:style w:type="paragraph" w:styleId="ListNumber5">
    <w:name w:val="List Number 5"/>
    <w:basedOn w:val="List5"/>
    <w:rsid w:val="00216564"/>
    <w:pPr>
      <w:numPr>
        <w:numId w:val="7"/>
      </w:numPr>
    </w:pPr>
  </w:style>
  <w:style w:type="paragraph" w:styleId="BlockText">
    <w:name w:val="Block Text"/>
    <w:basedOn w:val="Normal"/>
    <w:rsid w:val="00216564"/>
    <w:pPr>
      <w:spacing w:after="120"/>
      <w:ind w:left="1440" w:right="1440"/>
    </w:pPr>
  </w:style>
  <w:style w:type="character" w:customStyle="1" w:styleId="Subscript">
    <w:name w:val="Subscript"/>
    <w:basedOn w:val="DefaultParagraphFont"/>
    <w:rsid w:val="00216564"/>
    <w:rPr>
      <w:sz w:val="16"/>
      <w:vertAlign w:val="subscript"/>
    </w:rPr>
  </w:style>
  <w:style w:type="character" w:customStyle="1" w:styleId="Superscript">
    <w:name w:val="Superscript"/>
    <w:basedOn w:val="DefaultParagraphFont"/>
    <w:rsid w:val="00216564"/>
    <w:rPr>
      <w:sz w:val="16"/>
      <w:vertAlign w:val="superscript"/>
    </w:rPr>
  </w:style>
  <w:style w:type="character" w:customStyle="1" w:styleId="Symbols">
    <w:name w:val="Symbols"/>
    <w:basedOn w:val="DefaultParagraphFont"/>
    <w:rsid w:val="00216564"/>
    <w:rPr>
      <w:rFonts w:ascii="Symbol" w:hAnsi="Symbol"/>
    </w:rPr>
  </w:style>
  <w:style w:type="character" w:customStyle="1" w:styleId="MenuOptions">
    <w:name w:val="Menu Options"/>
    <w:basedOn w:val="DefaultParagraphFont"/>
    <w:rsid w:val="00216564"/>
    <w:rPr>
      <w:rFonts w:ascii="Arial Narrow" w:hAnsi="Arial Narrow"/>
      <w:smallCaps/>
    </w:rPr>
  </w:style>
  <w:style w:type="character" w:customStyle="1" w:styleId="Buttons">
    <w:name w:val="Buttons"/>
    <w:basedOn w:val="DefaultParagraphFont"/>
    <w:rsid w:val="00216564"/>
    <w:rPr>
      <w:b/>
    </w:rPr>
  </w:style>
  <w:style w:type="character" w:customStyle="1" w:styleId="Underlined">
    <w:name w:val="Underlined"/>
    <w:basedOn w:val="DefaultParagraphFont"/>
    <w:rsid w:val="00216564"/>
    <w:rPr>
      <w:u w:val="single"/>
    </w:rPr>
  </w:style>
  <w:style w:type="paragraph" w:customStyle="1" w:styleId="TableBodyTextRight">
    <w:name w:val="Table Body Text Right"/>
    <w:basedOn w:val="TableBodyText"/>
    <w:rsid w:val="00216564"/>
    <w:pPr>
      <w:widowControl w:val="0"/>
      <w:autoSpaceDE w:val="0"/>
      <w:autoSpaceDN w:val="0"/>
      <w:adjustRightInd w:val="0"/>
      <w:jc w:val="right"/>
    </w:pPr>
    <w:rPr>
      <w:rFonts w:cs="Arial"/>
      <w:szCs w:val="18"/>
    </w:rPr>
  </w:style>
  <w:style w:type="paragraph" w:customStyle="1" w:styleId="CopyrightText">
    <w:name w:val="Copyright Text"/>
    <w:basedOn w:val="BodyText"/>
    <w:rsid w:val="00216564"/>
    <w:rPr>
      <w:sz w:val="18"/>
    </w:rPr>
  </w:style>
  <w:style w:type="paragraph" w:customStyle="1" w:styleId="BodySmallRight">
    <w:name w:val="Body Small Right"/>
    <w:basedOn w:val="BodyTextRight"/>
    <w:rsid w:val="00216564"/>
    <w:rPr>
      <w:sz w:val="18"/>
      <w:szCs w:val="18"/>
    </w:rPr>
  </w:style>
  <w:style w:type="paragraph" w:customStyle="1" w:styleId="MarginEdition">
    <w:name w:val="Margin Edition"/>
    <w:basedOn w:val="MarginNote"/>
    <w:rsid w:val="00216564"/>
    <w:pPr>
      <w:spacing w:before="0" w:after="0"/>
    </w:pPr>
    <w:rPr>
      <w:rFonts w:ascii="Times New Roman" w:hAnsi="Times New Roman"/>
      <w:color w:val="999999"/>
    </w:rPr>
  </w:style>
  <w:style w:type="paragraph" w:customStyle="1" w:styleId="Spacer">
    <w:name w:val="Spacer"/>
    <w:basedOn w:val="Normal"/>
    <w:rsid w:val="00216564"/>
    <w:rPr>
      <w:sz w:val="2"/>
      <w:szCs w:val="2"/>
    </w:rPr>
  </w:style>
  <w:style w:type="character" w:customStyle="1" w:styleId="Small">
    <w:name w:val="Small"/>
    <w:basedOn w:val="DefaultParagraphFont"/>
    <w:rsid w:val="00216564"/>
    <w:rPr>
      <w:sz w:val="16"/>
    </w:rPr>
  </w:style>
  <w:style w:type="paragraph" w:customStyle="1" w:styleId="WideTable">
    <w:name w:val="Wide Table"/>
    <w:basedOn w:val="Normal"/>
    <w:rsid w:val="00216564"/>
    <w:pPr>
      <w:ind w:left="-1418"/>
    </w:pPr>
    <w:rPr>
      <w:sz w:val="2"/>
      <w:szCs w:val="2"/>
    </w:rPr>
  </w:style>
  <w:style w:type="character" w:styleId="PageNumber">
    <w:name w:val="page number"/>
    <w:basedOn w:val="DefaultParagraphFont"/>
    <w:rsid w:val="00216564"/>
  </w:style>
  <w:style w:type="paragraph" w:styleId="Quote">
    <w:name w:val="Quote"/>
    <w:basedOn w:val="Heading1"/>
    <w:link w:val="QuoteChar"/>
    <w:qFormat/>
    <w:rsid w:val="00216564"/>
    <w:rPr>
      <w:b w:val="0"/>
      <w:sz w:val="72"/>
      <w:szCs w:val="72"/>
      <w:lang w:val="en-NZ"/>
    </w:rPr>
  </w:style>
  <w:style w:type="character" w:customStyle="1" w:styleId="QuoteChar">
    <w:name w:val="Quote Char"/>
    <w:basedOn w:val="DefaultParagraphFont"/>
    <w:link w:val="Quote"/>
    <w:rsid w:val="00216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564"/>
    <w:pPr>
      <w:pageBreakBefore/>
    </w:pPr>
  </w:style>
  <w:style w:type="paragraph" w:customStyle="1" w:styleId="Border">
    <w:name w:val="Border"/>
    <w:basedOn w:val="Normal"/>
    <w:qFormat/>
    <w:rsid w:val="00216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564"/>
    <w:rPr>
      <w:b/>
      <w:bCs/>
      <w:i/>
      <w:iCs/>
      <w:color w:val="auto"/>
    </w:rPr>
  </w:style>
  <w:style w:type="paragraph" w:styleId="IntenseQuote">
    <w:name w:val="Intense Quote"/>
    <w:basedOn w:val="Normal"/>
    <w:next w:val="Normal"/>
    <w:link w:val="IntenseQuoteChar"/>
    <w:uiPriority w:val="30"/>
    <w:qFormat/>
    <w:rsid w:val="00216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564"/>
    <w:rPr>
      <w:smallCaps/>
      <w:color w:val="auto"/>
      <w:u w:val="single"/>
    </w:rPr>
  </w:style>
  <w:style w:type="character" w:styleId="IntenseReference">
    <w:name w:val="Intense Reference"/>
    <w:basedOn w:val="DefaultParagraphFont"/>
    <w:uiPriority w:val="32"/>
    <w:qFormat/>
    <w:rsid w:val="00216564"/>
    <w:rPr>
      <w:b/>
      <w:bCs/>
      <w:smallCaps/>
      <w:color w:val="auto"/>
      <w:spacing w:val="5"/>
      <w:u w:val="single"/>
    </w:rPr>
  </w:style>
  <w:style w:type="paragraph" w:customStyle="1" w:styleId="2ColumnHeading">
    <w:name w:val="2Column Heading"/>
    <w:basedOn w:val="BodyText"/>
    <w:qFormat/>
    <w:rsid w:val="00216564"/>
    <w:pPr>
      <w:spacing w:after="60"/>
      <w:ind w:left="-2268"/>
    </w:pPr>
    <w:rPr>
      <w:b/>
    </w:rPr>
  </w:style>
  <w:style w:type="paragraph" w:customStyle="1" w:styleId="Heading1TOC">
    <w:name w:val="Heading1 TOC"/>
    <w:basedOn w:val="Normal"/>
    <w:qFormat/>
    <w:rsid w:val="00216564"/>
    <w:pPr>
      <w:spacing w:before="240" w:after="120"/>
    </w:pPr>
    <w:rPr>
      <w:rFonts w:ascii="Times New Roman" w:hAnsi="Times New Roman"/>
      <w:b/>
      <w:sz w:val="32"/>
    </w:rPr>
  </w:style>
  <w:style w:type="paragraph" w:customStyle="1" w:styleId="Heading2TOC">
    <w:name w:val="Heading2 TOC"/>
    <w:basedOn w:val="Normal"/>
    <w:qFormat/>
    <w:rsid w:val="00216564"/>
    <w:pPr>
      <w:spacing w:before="240" w:after="60"/>
    </w:pPr>
    <w:rPr>
      <w:rFonts w:ascii="Times New Roman" w:hAnsi="Times New Roman"/>
      <w:b/>
      <w:sz w:val="28"/>
    </w:rPr>
  </w:style>
  <w:style w:type="character" w:customStyle="1" w:styleId="Underline">
    <w:name w:val="Underline"/>
    <w:basedOn w:val="DefaultParagraphFont"/>
    <w:qFormat/>
    <w:rsid w:val="00216564"/>
    <w:rPr>
      <w:u w:val="single"/>
    </w:rPr>
  </w:style>
  <w:style w:type="character" w:customStyle="1" w:styleId="BoldandItalics">
    <w:name w:val="Bold and Italics"/>
    <w:qFormat/>
    <w:rsid w:val="00216564"/>
    <w:rPr>
      <w:b/>
      <w:i/>
      <w:u w:val="none"/>
    </w:rPr>
  </w:style>
  <w:style w:type="paragraph" w:styleId="BalloonText">
    <w:name w:val="Balloon Text"/>
    <w:basedOn w:val="Normal"/>
    <w:link w:val="BalloonTextChar"/>
    <w:rsid w:val="00216564"/>
    <w:rPr>
      <w:rFonts w:ascii="Tahoma" w:hAnsi="Tahoma" w:cs="Tahoma"/>
      <w:sz w:val="16"/>
      <w:szCs w:val="16"/>
    </w:rPr>
  </w:style>
  <w:style w:type="character" w:customStyle="1" w:styleId="BalloonTextChar">
    <w:name w:val="Balloon Text Char"/>
    <w:basedOn w:val="DefaultParagraphFont"/>
    <w:link w:val="BalloonText"/>
    <w:rsid w:val="00216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5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564"/>
    <w:rPr>
      <w:b/>
      <w:color w:val="660033"/>
      <w:spacing w:val="0"/>
    </w:rPr>
  </w:style>
  <w:style w:type="paragraph" w:customStyle="1" w:styleId="Nameditemlist">
    <w:name w:val="Named item list"/>
    <w:basedOn w:val="BodyText"/>
    <w:qFormat/>
    <w:rsid w:val="002165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2640</Words>
  <Characters>16773</Characters>
  <Application>Microsoft Office Word</Application>
  <DocSecurity>0</DocSecurity>
  <Lines>615</Lines>
  <Paragraphs>240</Paragraphs>
  <ScaleCrop>false</ScaleCrop>
  <Company>Author-it Software Corporation Ltd.</Company>
  <LinksUpToDate>false</LinksUpToDate>
  <CharactersWithSpaces>19219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UETTDRIS74A Develop engineering solutions for energy supply system protection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2012-10-11T20:28:00Z</dcterms:created>
  <dcterms:modified xsi:type="dcterms:W3CDTF">2012-10-11T20:28:00Z</dcterms:modified>
</cp:coreProperties>
</file>