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D78" w:rsidP="00126D78">
      <w:pPr>
        <w:pStyle w:val="Title"/>
      </w:pPr>
      <w:bookmarkStart w:id="0" w:name="_GoBack"/>
      <w:bookmarkEnd w:id="0"/>
      <w:r>
        <w:fldChar w:fldCharType="begin"/>
      </w:r>
      <w:r>
        <w:instrText xml:space="preserve"> TITLE   \* MERGEFORMAT </w:instrText>
      </w:r>
      <w:r>
        <w:fldChar w:fldCharType="separate"/>
      </w:r>
      <w:r>
        <w:t>UETTDRIS73A Develop engineering solutions for energy supply power transformer problems</w:t>
      </w:r>
      <w:r>
        <w:fldChar w:fldCharType="end"/>
      </w:r>
    </w:p>
    <w:p w:rsidR="00126D78" w:rsidP="00126D78">
      <w:pPr>
        <w:pStyle w:val="Version"/>
        <w:sectPr w:rsidSect="00AA3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CEE" w:rsidP="00AA3CEE">
      <w:pPr>
        <w:pStyle w:val="SuperHeading"/>
      </w:pPr>
      <w:r w:rsidRPr="00AA3CEE">
        <w:t>UETTDRIS73A Develop engineering solutions for energy supply power transformer problems</w:t>
      </w:r>
    </w:p>
    <w:p w:rsidR="00000000" w:rsidRPr="00AA3CEE" w:rsidP="00AA3CEE">
      <w:pPr>
        <w:pStyle w:val="Heading1"/>
      </w:pPr>
      <w:bookmarkStart w:id="1" w:name="O_463206"/>
      <w:bookmarkEnd w:id="1"/>
      <w:r w:rsidRPr="00AA3CEE">
        <w:t>Modification History</w:t>
      </w:r>
    </w:p>
    <w:p w:rsidR="00000000" w:rsidRPr="00AA3CEE" w:rsidP="00AA3CEE">
      <w:pPr>
        <w:pStyle w:val="BodyText"/>
      </w:pPr>
      <w:r w:rsidRPr="00AA3CEE">
        <w:t>Not applicable.</w:t>
      </w:r>
    </w:p>
    <w:p w:rsidR="00000000" w:rsidRPr="00AA3CEE" w:rsidP="00AA3CEE">
      <w:pPr>
        <w:pStyle w:val="AllowPageBreak"/>
      </w:pPr>
    </w:p>
    <w:p w:rsidR="00000000" w:rsidRPr="00AA3CEE" w:rsidP="00AA3CEE">
      <w:pPr>
        <w:pStyle w:val="Heading1"/>
      </w:pPr>
      <w:bookmarkStart w:id="2" w:name="O_463204"/>
      <w:bookmarkEnd w:id="2"/>
      <w:r w:rsidRPr="00AA3CEE">
        <w:t>Unit Descriptor</w:t>
      </w:r>
    </w:p>
    <w:tbl>
      <w:tblPr>
        <w:tblW w:w="0" w:type="auto"/>
        <w:tblLayout w:type="fixed"/>
        <w:tblCellMar>
          <w:left w:w="62" w:type="dxa"/>
          <w:right w:w="62" w:type="dxa"/>
        </w:tblCellMar>
        <w:tblLook w:val="0000"/>
      </w:tblPr>
      <w:tblGrid>
        <w:gridCol w:w="2700"/>
        <w:gridCol w:w="5760"/>
      </w:tblGrid>
      <w:tr w:rsidTr="00126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1)</w:t>
            </w:r>
            <w:r w:rsidRPr="00AA3CEE">
              <w:t xml:space="preserve"> </w:t>
            </w:r>
            <w:r w:rsidRPr="00AA3CEE">
              <w:rPr>
                <w:rStyle w:val="SpecialBold"/>
              </w:rPr>
              <w:t>Scope:</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3CE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1.1) Descriptor</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This unit covers developing engineering solutions to resolve problems with energy supply system protection. It encompasses working safely, apply extensive knowledge of energy supply power transformer operation and their application, gathering and analysing</w:t>
            </w:r>
            <w:r w:rsidRPr="00AA3CEE">
              <w:t xml:space="preserve"> data, applying problem solving techniques, developing and documenting solutions and alternatives.</w:t>
            </w:r>
          </w:p>
          <w:p w:rsidR="00000000" w:rsidRPr="00AA3CEE" w:rsidP="00AA3CEE">
            <w:pPr>
              <w:pStyle w:val="BodyText"/>
            </w:pPr>
            <w:r w:rsidRPr="00AA3CEE">
              <w:t>Note.</w:t>
            </w:r>
          </w:p>
          <w:p w:rsidR="00000000" w:rsidRPr="00AA3CEE" w:rsidP="00AA3CEE">
            <w:pPr>
              <w:pStyle w:val="BodyText"/>
            </w:pPr>
            <w:r w:rsidRPr="00AA3CEE">
              <w:t>Typical transformer problems are those encountered in meeting performance requirements and compliance standards, revising a transformer operating param</w:t>
            </w:r>
            <w:r w:rsidRPr="00AA3CEE">
              <w:t>eters and dealing with transformer malfunctions</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3" w:name="O_463193"/>
      <w:bookmarkEnd w:id="3"/>
      <w:r w:rsidRPr="00AA3CEE">
        <w:t>Application of the Unit</w:t>
      </w:r>
    </w:p>
    <w:tbl>
      <w:tblPr>
        <w:tblW w:w="0" w:type="auto"/>
        <w:tblLayout w:type="fixed"/>
        <w:tblCellMar>
          <w:left w:w="62" w:type="dxa"/>
          <w:right w:w="62" w:type="dxa"/>
        </w:tblCellMar>
        <w:tblLook w:val="0000"/>
      </w:tblPr>
      <w:tblGrid>
        <w:gridCol w:w="2672"/>
        <w:gridCol w:w="5699"/>
      </w:tblGrid>
      <w:tr w:rsidTr="00126D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2)</w:t>
            </w:r>
          </w:p>
        </w:tc>
      </w:tr>
      <w:tr w:rsidTr="00126D7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This unit applies to any recognised development program that leads to the acquisition of a formal award at AQF level 6 or higher.</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4" w:name="O_463200"/>
      <w:bookmarkEnd w:id="4"/>
      <w:r w:rsidRPr="00AA3CEE">
        <w:t>Licensing/Regulatory Information</w:t>
      </w:r>
    </w:p>
    <w:tbl>
      <w:tblPr>
        <w:tblW w:w="0" w:type="auto"/>
        <w:tblLayout w:type="fixed"/>
        <w:tblCellMar>
          <w:left w:w="62" w:type="dxa"/>
          <w:right w:w="62" w:type="dxa"/>
        </w:tblCellMar>
        <w:tblLook w:val="0000"/>
      </w:tblPr>
      <w:tblGrid>
        <w:gridCol w:w="2700"/>
        <w:gridCol w:w="5760"/>
      </w:tblGrid>
      <w:tr w:rsidTr="00126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 xml:space="preserve">3) </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 xml:space="preserve">The skills and knowledge described in this unit require a license to practice in the workplace for work involving direct access to plant and equipment connected to </w:t>
            </w:r>
            <w:r w:rsidRPr="00AA3CEE">
              <w:t>installation wiri</w:t>
            </w:r>
            <w:r w:rsidRPr="00AA3CEE">
              <w:t>ng at voltage above 50 V a.c. or 120 V d.c. However other conditions may apply in some jurisdictions subject to regulations related to electrical work. Practice in the workplace and during training is also subject to regulations directly related to occupat</w:t>
            </w:r>
            <w:r w:rsidRPr="00AA3CEE">
              <w:t>ional health and safety and where applicable contracts of training such as apprenticeships.</w:t>
            </w:r>
          </w:p>
          <w:p w:rsidR="00000000" w:rsidRPr="00AA3CEE" w:rsidP="00AA3CEE">
            <w:pPr>
              <w:pStyle w:val="BodyText"/>
            </w:pPr>
            <w:r w:rsidRPr="00AA3CEE">
              <w:t>Note:</w:t>
            </w:r>
          </w:p>
          <w:p w:rsidR="00000000" w:rsidRPr="00AA3CEE" w:rsidP="00AA3CEE">
            <w:pPr>
              <w:pStyle w:val="BodyText"/>
            </w:pPr>
            <w:r w:rsidRPr="00AA3CEE">
              <w:t>1. Compliance with permits may be required in various jurisdictions and typically relates to the operation of plant, machinery and equipment such as elevating</w:t>
            </w:r>
            <w:r w:rsidRPr="00AA3CEE">
              <w:t xml:space="preserve"> work platforms, powder operated fixing tools, power operated tools, vehicles, road signage and traffic control and lifting equipment. Permits may also be required for some work environments such as confined spaces, working aloft, near live electrical appa</w:t>
            </w:r>
            <w:r w:rsidRPr="00AA3CEE">
              <w:t>ratus and site rehabilitation.</w:t>
            </w:r>
          </w:p>
          <w:p w:rsidR="00000000" w:rsidRPr="00AA3CEE" w:rsidP="00AA3CEE">
            <w:pPr>
              <w:pStyle w:val="BodyText"/>
            </w:pPr>
            <w:r w:rsidRPr="00AA3CEE">
              <w:t>2. Compliance may be required in various jurisdictions relating to currency in First Aid, confined space, lifting and risk safety measures.</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5" w:name="O_463201"/>
      <w:bookmarkEnd w:id="5"/>
      <w:r w:rsidRPr="00AA3CEE">
        <w:t>Pre-Requisites</w:t>
      </w:r>
    </w:p>
    <w:tbl>
      <w:tblPr>
        <w:tblW w:w="0" w:type="auto"/>
        <w:tblLayout w:type="fixed"/>
        <w:tblCellMar>
          <w:left w:w="62" w:type="dxa"/>
          <w:right w:w="62" w:type="dxa"/>
        </w:tblCellMar>
        <w:tblLook w:val="0000"/>
      </w:tblPr>
      <w:tblGrid>
        <w:gridCol w:w="2700"/>
        <w:gridCol w:w="1980"/>
        <w:gridCol w:w="3780"/>
      </w:tblGrid>
      <w:tr w:rsidTr="00126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 xml:space="preserve">4) </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4.1)</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Granting of competency in this unit shall be made only after competency in the following unit(s) has/have been confirmed.</w:t>
            </w:r>
          </w:p>
          <w:p w:rsidR="00000000" w:rsidRPr="00AA3CEE" w:rsidP="00AA3CEE">
            <w:pPr>
              <w:pStyle w:val="BodyText"/>
            </w:pPr>
            <w:r w:rsidRPr="00AA3CEE">
              <w:t xml:space="preserve">Where pre-requisite pathways have been identified. All competencies in the Common Unit Group must be have been completed plus all the </w:t>
            </w:r>
            <w:r w:rsidRPr="00AA3CEE">
              <w:t>competencies in one (1) of the identified Pathway Unit Group(s):</w:t>
            </w:r>
          </w:p>
          <w:p w:rsidR="00000000" w:rsidP="00AA3CEE">
            <w:pPr>
              <w:pStyle w:val="BodyText"/>
              <w:rPr>
                <w:lang w:val="en-NZ"/>
              </w:rPr>
            </w:pPr>
            <w:r w:rsidRPr="00AA3CEE">
              <w:t>Common Unit Group</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Unit Code</w:t>
            </w:r>
          </w:p>
        </w:tc>
        <w:tc>
          <w:tcPr>
            <w:tcW w:w="378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Unit Title</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Apply Occupational Health and Safety regulations, codes and practices in the workplace</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Fabricate, assemble and dismant</w:t>
            </w:r>
            <w:r w:rsidRPr="00AA3CEE">
              <w:t xml:space="preserve">le </w:t>
            </w:r>
            <w:r w:rsidRPr="00AA3CEE">
              <w:t>utilities industry components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Solve problems in d.c. Circuits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Fix and secure electrotechnology equipment</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Use drawings, diagrams, schedules, standards, codes and specifications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Provide engineering s</w:t>
            </w:r>
            <w:r w:rsidRPr="00AA3CEE">
              <w:t>olutions for problems in complex multiple path circuits problems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Provide solutions to basic engineering computational problems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Solve problems in electromagnetic devices and related circuits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Solve problems in low voltage a.c. Circuits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Solve problems in single and three phase low voltage machines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Terminate cables, cords and accessories for low voltage circuits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Provide engineering solutions to problems i</w:t>
            </w:r>
            <w:r w:rsidRPr="00AA3CEE">
              <w:t>n complex polyphase power circuits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Solve problems in energy supply network equipment</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UETTDRIS68A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Solve problems in energy supply network protection equipment and systems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UETTDRIS69A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Diagnose and rectify faults in energy supply apparatus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Distribution Pathway Unit Group</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UETTDRIS70A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Diagnose and rectify faults in electrical energy distribution systems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Transmission Pathway Unit Group</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UETTDRIS71A</w:t>
            </w:r>
          </w:p>
        </w:tc>
        <w:tc>
          <w:tcPr>
            <w:tcW w:w="37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Diagnose and rectify faults in electrical energy supply transmission systems</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Distributed Generation Pathway Unit Group</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CEE">
            <w:pPr>
              <w:pStyle w:val="BodyText"/>
              <w:rPr>
                <w:lang w:val="en-NZ"/>
              </w:rPr>
            </w:pPr>
            <w:r w:rsidRPr="00AA3CEE">
              <w:t>UETTDRIS72A</w:t>
            </w:r>
          </w:p>
        </w:tc>
        <w:tc>
          <w:tcPr>
            <w:tcW w:w="3780" w:type="dxa"/>
            <w:tcBorders>
              <w:top w:val="nil"/>
              <w:left w:val="nil"/>
              <w:bottom w:val="nil"/>
              <w:right w:val="nil"/>
            </w:tcBorders>
            <w:tcMar>
              <w:top w:w="0" w:type="dxa"/>
              <w:left w:w="62" w:type="dxa"/>
              <w:bottom w:w="0" w:type="dxa"/>
              <w:right w:w="62" w:type="dxa"/>
            </w:tcMar>
            <w:vAlign w:val="center"/>
          </w:tcPr>
          <w:p w:rsidR="00000000" w:rsidRPr="00AA3CEE" w:rsidP="00AA3CEE">
            <w:pPr>
              <w:pStyle w:val="BodyText"/>
            </w:pPr>
            <w:r w:rsidRPr="00AA3CEE">
              <w:t>Diagnose and rectify faults in distributed generation systems</w:t>
            </w:r>
          </w:p>
        </w:tc>
      </w:tr>
    </w:tbl>
    <w:p w:rsidR="00000000" w:rsidRPr="00AA3CEE" w:rsidP="00AA3CE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26D7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 xml:space="preserve">4.2) </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Participants are best equipped to achieve competency in this unit if they have reading, writing and numeracy skills indicated by the following scales. Description of each scale is given in Volume 2, Part 3 ‘Literacy and Numeracy’</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Reading</w:t>
            </w:r>
          </w:p>
        </w:tc>
        <w:tc>
          <w:tcPr>
            <w:tcW w:w="81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5</w:t>
            </w:r>
          </w:p>
        </w:tc>
        <w:tc>
          <w:tcPr>
            <w:tcW w:w="99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Writing</w:t>
            </w: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5</w:t>
            </w:r>
          </w:p>
        </w:tc>
        <w:tc>
          <w:tcPr>
            <w:tcW w:w="12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Numeracy</w:t>
            </w:r>
          </w:p>
        </w:tc>
        <w:tc>
          <w:tcPr>
            <w:tcW w:w="72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5</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6" w:name="O_463197"/>
      <w:bookmarkEnd w:id="6"/>
      <w:r w:rsidRPr="00AA3CEE">
        <w:t>Employability Skills Information</w:t>
      </w:r>
    </w:p>
    <w:tbl>
      <w:tblPr>
        <w:tblW w:w="0" w:type="auto"/>
        <w:tblLayout w:type="fixed"/>
        <w:tblCellMar>
          <w:left w:w="62" w:type="dxa"/>
          <w:right w:w="62" w:type="dxa"/>
        </w:tblCellMar>
        <w:tblLook w:val="0000"/>
      </w:tblPr>
      <w:tblGrid>
        <w:gridCol w:w="2700"/>
        <w:gridCol w:w="5760"/>
      </w:tblGrid>
      <w:tr w:rsidTr="00126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 xml:space="preserve">5) </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 xml:space="preserve">The required outcomes described in this unit of competency contain applicable facets of Employability Skills. The Employability Skills Summary </w:t>
            </w:r>
            <w:r w:rsidRPr="00AA3CEE">
              <w:t>of the qualification in which this unit of competency is packaged will assist in identifying Employability Skill requirements.</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7" w:name="O_463196"/>
      <w:bookmarkEnd w:id="7"/>
      <w:r w:rsidRPr="00AA3CEE">
        <w:t>Elements and Performance Criteria Pre-Content</w:t>
      </w:r>
    </w:p>
    <w:tbl>
      <w:tblPr>
        <w:tblW w:w="0" w:type="auto"/>
        <w:tblLayout w:type="fixed"/>
        <w:tblCellMar>
          <w:left w:w="62" w:type="dxa"/>
          <w:right w:w="62" w:type="dxa"/>
        </w:tblCellMar>
        <w:tblLook w:val="0000"/>
      </w:tblPr>
      <w:tblGrid>
        <w:gridCol w:w="2700"/>
        <w:gridCol w:w="5760"/>
      </w:tblGrid>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6)</w:t>
            </w:r>
            <w:r w:rsidRPr="00AA3CE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Performance Criteria describe the required performance needed to demonstrate achievement of the element. Assessment of performance is to be consistent with the Evidence Guide.</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8" w:name="O_463195"/>
      <w:bookmarkEnd w:id="8"/>
      <w:r w:rsidRPr="00AA3CEE">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26D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PERFORMANCE CRITERIA</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1</w:t>
            </w:r>
          </w:p>
        </w:tc>
        <w:tc>
          <w:tcPr>
            <w:tcW w:w="2340" w:type="dxa"/>
            <w:vMerge w:val="restart"/>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Prepare to develop engineering solution for energy supply power transformer problems.</w:t>
            </w: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1.1</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OHS processes and procedures for a given work area are id</w:t>
            </w:r>
            <w:r w:rsidRPr="00AA3CEE">
              <w:t xml:space="preserve">entified, obtained and understood. </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1.2</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Established OHS risk control measures and procedures in preparation for the work are followed.</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1.3</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The extent of the transformer problem is determined from performance specifications and situation reports and in consultations with relevant persons.</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1.4</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Activities are planned to meet scheduled timelines in consultation with others involved in the work</w:t>
            </w:r>
            <w:r w:rsidRPr="00AA3CEE">
              <w:t>.</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1.5</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Effective strategies are formed to ensure solution development and implementation is carried out efficiently.</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w:t>
            </w:r>
          </w:p>
        </w:tc>
        <w:tc>
          <w:tcPr>
            <w:tcW w:w="2340" w:type="dxa"/>
            <w:vMerge w:val="restart"/>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Develop engineering solutions for energy supply power transformer problems.</w:t>
            </w: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2.1</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OHS risk control measures and procedures for carrying out the work are followed.</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2.2</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Knowledge of supply power transformer arrangements, operation, device characteristics and applications are applied to developing solutions to supply power transformer p</w:t>
            </w:r>
            <w:r w:rsidRPr="00AA3CEE">
              <w:t>roblems.</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2.3</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 xml:space="preserve">Parameters, specifications and performance requirements in relation to each transformer problem are obtained in accordance with established procedures. </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2.4</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Approaches to resolving supply power transformer problems are analysed to provide most effective solutions.</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2.5</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Unplanned events are dealt with safely and effectively consistent with regulatory requirements and enterprise policy.</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2.6</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Quality of work is monitored against personal performance agreement and/or established organizational or professional standards.</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3</w:t>
            </w:r>
          </w:p>
        </w:tc>
        <w:tc>
          <w:tcPr>
            <w:tcW w:w="234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Test, document and implement engineering solution for energy supply power transformer problems.</w:t>
            </w: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3.1</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Solutions to transformer</w:t>
            </w:r>
            <w:r w:rsidRPr="00AA3CEE">
              <w:t xml:space="preserve"> problems are tested to determine their effectiveness and modified where necessary.</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3.2</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Adopted solutions are documented including instruction for their implementation that incorporates risk control measure to be followed.</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3.3</w:t>
            </w:r>
          </w:p>
        </w:tc>
        <w:tc>
          <w:tcPr>
            <w:tcW w:w="48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Appropriately competent</w:t>
            </w:r>
            <w:r w:rsidRPr="00AA3CEE">
              <w:t xml:space="preserve"> and qualified person(s) required to implement solutions to supply power transformer problems are coordinated in accordance with regulatory requirements and enterprise policy. (Note)</w:t>
            </w:r>
          </w:p>
        </w:tc>
      </w:tr>
      <w:tr w:rsidTr="00126D7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3.4</w:t>
            </w:r>
          </w:p>
        </w:tc>
        <w:tc>
          <w:tcPr>
            <w:tcW w:w="48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Justification for solutions used to solve supply power transformer problems is documented for inclusion in work/project development records in accordance with professional standards.</w:t>
            </w:r>
          </w:p>
        </w:tc>
      </w:tr>
    </w:tbl>
    <w:p w:rsidR="00000000" w:rsidRPr="00AA3CEE" w:rsidP="00AA3CEE">
      <w:pPr>
        <w:pStyle w:val="BodyText"/>
      </w:pPr>
      <w:r w:rsidRPr="00AA3CEE">
        <w:t>Note: A license to practice in the workplace is required for work involv</w:t>
      </w:r>
      <w:r w:rsidRPr="00AA3CEE">
        <w:t xml:space="preserve">ing direct access to plant and </w:t>
      </w:r>
    </w:p>
    <w:p w:rsidR="00126D78" w:rsidP="00AA3CEE">
      <w:pPr>
        <w:pStyle w:val="BodyText"/>
      </w:pPr>
      <w:r w:rsidRPr="00AA3CEE">
        <w:t>equipment connected to installation wiring at voltages above 50 V a.c. or 120 V d.c.</w:t>
      </w:r>
    </w:p>
    <w:p w:rsidR="00126D78" w:rsidP="00AA3CEE">
      <w:pPr>
        <w:pStyle w:val="BodyText"/>
      </w:pPr>
    </w:p>
    <w:p w:rsidR="00000000" w:rsidRPr="00AA3CEE" w:rsidP="00AA3CEE">
      <w:pPr>
        <w:pStyle w:val="Heading1"/>
      </w:pPr>
      <w:bookmarkStart w:id="9" w:name="O_463203"/>
      <w:bookmarkEnd w:id="9"/>
      <w:r w:rsidRPr="00AA3CEE">
        <w:t>Required Skills and Knowledge</w:t>
      </w:r>
    </w:p>
    <w:tbl>
      <w:tblPr>
        <w:tblW w:w="0" w:type="auto"/>
        <w:tblLayout w:type="fixed"/>
        <w:tblCellMar>
          <w:left w:w="62" w:type="dxa"/>
          <w:right w:w="62" w:type="dxa"/>
        </w:tblCellMar>
        <w:tblLook w:val="0000"/>
      </w:tblPr>
      <w:tblGrid>
        <w:gridCol w:w="8460"/>
      </w:tblGrid>
      <w:tr w:rsidTr="00126D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REQUIRED SKILLS AND KNOWLEDGE</w:t>
            </w:r>
          </w:p>
        </w:tc>
      </w:tr>
      <w:tr w:rsidTr="00126D7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8)</w:t>
            </w:r>
            <w:r w:rsidRPr="00AA3CEE">
              <w:t xml:space="preserve"> This describes the essential skills and knowledge and the</w:t>
            </w:r>
            <w:r w:rsidRPr="00AA3CEE">
              <w:t>ir level, required for this unit.</w:t>
            </w:r>
          </w:p>
          <w:p w:rsidR="00000000" w:rsidRPr="00AA3CEE" w:rsidP="00AA3CEE">
            <w:pPr>
              <w:pStyle w:val="BodyText"/>
            </w:pPr>
            <w:r w:rsidRPr="00AA3CEE">
              <w:t>Evidence shall show that knowledge has been acquired of safe working practices and developing engineering solutions for energy supply power transformer problems.</w:t>
            </w:r>
          </w:p>
          <w:p w:rsidR="00000000" w:rsidRPr="00AA3CEE" w:rsidP="00AA3CEE">
            <w:pPr>
              <w:pStyle w:val="BodyText"/>
            </w:pPr>
            <w:r w:rsidRPr="00AA3CEE">
              <w:t>All knowledge and skills detailed in this unit should be con</w:t>
            </w:r>
            <w:r w:rsidRPr="00AA3CEE">
              <w:t>textualised to current industry practices and technologies.</w:t>
            </w:r>
          </w:p>
          <w:p w:rsidR="00000000" w:rsidRPr="00AA3CEE" w:rsidP="00AA3CEE">
            <w:pPr>
              <w:pStyle w:val="BodyText"/>
            </w:pPr>
            <w:r w:rsidRPr="00AA3CEE">
              <w:t>KS01-TIS73A</w:t>
            </w:r>
            <w:r w:rsidRPr="00AA3CEE">
              <w:tab/>
              <w:t>Power transformers diagnostics</w:t>
            </w:r>
          </w:p>
          <w:p w:rsidR="00000000" w:rsidRPr="00AA3CEE" w:rsidP="00AA3CEE">
            <w:pPr>
              <w:pStyle w:val="BodyText"/>
            </w:pPr>
            <w:r w:rsidRPr="00AA3CEE">
              <w:t>Evidence shall show an understanding of power transformers to an extent indicated by the following aspects:</w:t>
            </w:r>
          </w:p>
          <w:p w:rsidR="00000000" w:rsidRPr="00AA3CEE" w:rsidP="00AA3CEE">
            <w:pPr>
              <w:pStyle w:val="BodyText"/>
            </w:pPr>
            <w:r w:rsidRPr="00AA3CEE">
              <w:t>T1</w:t>
            </w:r>
            <w:r w:rsidRPr="00AA3CEE">
              <w:tab/>
            </w:r>
            <w:r w:rsidRPr="00AA3CEE">
              <w:t>Transformer construction and operating principles encompassing:</w:t>
            </w:r>
          </w:p>
          <w:p w:rsidR="00000000" w:rsidRPr="00AA3CEE" w:rsidP="00AA3CEE">
            <w:pPr>
              <w:pStyle w:val="ListBullet"/>
            </w:pPr>
            <w:r w:rsidRPr="00AA3CEE">
              <w:t>various types of lamination style and core construction used in single phase, three phase, double wound and auto transformers.</w:t>
            </w:r>
          </w:p>
          <w:p w:rsidR="00000000" w:rsidRPr="00AA3CEE" w:rsidP="00AA3CEE">
            <w:pPr>
              <w:pStyle w:val="ListBullet"/>
            </w:pPr>
            <w:r w:rsidRPr="00AA3CEE">
              <w:t>different winding styles/types used in transformers.</w:t>
            </w:r>
          </w:p>
          <w:p w:rsidR="00000000" w:rsidRPr="00AA3CEE" w:rsidP="00AA3CEE">
            <w:pPr>
              <w:pStyle w:val="ListBullet"/>
            </w:pPr>
            <w:r w:rsidRPr="00AA3CEE">
              <w:t>how input cu</w:t>
            </w:r>
            <w:r w:rsidRPr="00AA3CEE">
              <w:t>rrent is limited on no load and how power is transferred from primary to secondary when a load is connected.</w:t>
            </w:r>
          </w:p>
          <w:p w:rsidR="00000000" w:rsidRPr="00AA3CEE" w:rsidP="00AA3CEE">
            <w:pPr>
              <w:pStyle w:val="ListBullet"/>
            </w:pPr>
            <w:r w:rsidRPr="00AA3CEE">
              <w:t>using the transformation ratio to determine an unknown quantity of V, I, VA.</w:t>
            </w:r>
          </w:p>
          <w:p w:rsidR="00000000" w:rsidRPr="00AA3CEE" w:rsidP="00AA3CEE">
            <w:pPr>
              <w:pStyle w:val="ListBullet"/>
            </w:pPr>
            <w:r w:rsidRPr="00AA3CEE">
              <w:t>significance of nameplate data items.</w:t>
            </w:r>
          </w:p>
          <w:p w:rsidR="00000000" w:rsidRPr="00AA3CEE" w:rsidP="00AA3CEE">
            <w:pPr>
              <w:pStyle w:val="ListBullet"/>
            </w:pPr>
            <w:r w:rsidRPr="00AA3CEE">
              <w:t>operation of a transformer under</w:t>
            </w:r>
            <w:r w:rsidRPr="00AA3CEE">
              <w:t xml:space="preserve"> load/no load conditions.</w:t>
            </w:r>
          </w:p>
          <w:p w:rsidR="00000000" w:rsidRPr="00AA3CEE" w:rsidP="00AA3CEE">
            <w:pPr>
              <w:pStyle w:val="ListBullet"/>
            </w:pPr>
            <w:r w:rsidRPr="00AA3CEE">
              <w:t>the reason any particular type of transformer is used in a specific application.</w:t>
            </w:r>
          </w:p>
          <w:p w:rsidR="00000000" w:rsidRPr="00AA3CEE" w:rsidP="00AA3CEE">
            <w:pPr>
              <w:pStyle w:val="ListBullet"/>
            </w:pPr>
            <w:r w:rsidRPr="00AA3CEE">
              <w:t>safety features specified in regulatory standards with respect to transformers.</w:t>
            </w:r>
          </w:p>
          <w:p w:rsidR="00000000" w:rsidRPr="00AA3CEE" w:rsidP="00AA3CEE">
            <w:pPr>
              <w:pStyle w:val="ListBullet"/>
            </w:pPr>
            <w:r w:rsidRPr="00AA3CEE">
              <w:t>safety features specified in regulatory standards with respect to iso</w:t>
            </w:r>
            <w:r w:rsidRPr="00AA3CEE">
              <w:t>lating transformers.</w:t>
            </w:r>
          </w:p>
          <w:p w:rsidR="00000000" w:rsidRPr="00AA3CEE" w:rsidP="00AA3CEE">
            <w:pPr>
              <w:pStyle w:val="ListBullet"/>
            </w:pPr>
            <w:r w:rsidRPr="00AA3CEE">
              <w:t>basic insulation resistance, continuity and winding identification tests.</w:t>
            </w:r>
          </w:p>
          <w:p w:rsidR="00000000" w:rsidRPr="00AA3CEE" w:rsidP="00AA3CEE">
            <w:pPr>
              <w:pStyle w:val="BodyText"/>
            </w:pPr>
            <w:r w:rsidRPr="00AA3CEE">
              <w:t>T2</w:t>
            </w:r>
            <w:r w:rsidRPr="00AA3CEE">
              <w:tab/>
              <w:t>Transformer parameters encompassing:</w:t>
            </w:r>
          </w:p>
          <w:p w:rsidR="00000000" w:rsidRPr="00AA3CEE" w:rsidP="00AA3CEE">
            <w:pPr>
              <w:pStyle w:val="ListBullet"/>
            </w:pPr>
            <w:r w:rsidRPr="00AA3CEE">
              <w:t>the percentage impedance of a transformer by test.</w:t>
            </w:r>
          </w:p>
          <w:p w:rsidR="00000000" w:rsidRPr="00AA3CEE" w:rsidP="00AA3CEE">
            <w:pPr>
              <w:pStyle w:val="ListBullet"/>
            </w:pPr>
            <w:r w:rsidRPr="00AA3CEE">
              <w:t>percentage impedance of a transformer by calculation.</w:t>
            </w:r>
          </w:p>
          <w:p w:rsidR="00000000" w:rsidRPr="00AA3CEE" w:rsidP="00AA3CEE">
            <w:pPr>
              <w:pStyle w:val="ListBullet"/>
            </w:pPr>
            <w:r w:rsidRPr="00AA3CEE">
              <w:t>the equivalent c</w:t>
            </w:r>
            <w:r w:rsidRPr="00AA3CEE">
              <w:t>ircuit of a transformer.</w:t>
            </w:r>
          </w:p>
          <w:p w:rsidR="00000000" w:rsidRPr="00AA3CEE" w:rsidP="00AA3CEE">
            <w:pPr>
              <w:pStyle w:val="ListBullet"/>
            </w:pPr>
            <w:r w:rsidRPr="00AA3CEE">
              <w:t>calculation of voltage regulation.</w:t>
            </w:r>
          </w:p>
          <w:p w:rsidR="00000000" w:rsidRPr="00AA3CEE" w:rsidP="00AA3CEE">
            <w:pPr>
              <w:pStyle w:val="ListBullet"/>
            </w:pPr>
            <w:r w:rsidRPr="00AA3CEE">
              <w:t>losses that occur in a transformer.</w:t>
            </w:r>
          </w:p>
          <w:p w:rsidR="00000000" w:rsidRPr="00AA3CEE" w:rsidP="00AA3CEE">
            <w:pPr>
              <w:pStyle w:val="ListBullet"/>
            </w:pPr>
            <w:r w:rsidRPr="00AA3CEE">
              <w:t xml:space="preserve">tests to determine losses. </w:t>
            </w:r>
          </w:p>
          <w:p w:rsidR="00000000" w:rsidRPr="00AA3CEE" w:rsidP="00AA3CEE">
            <w:pPr>
              <w:pStyle w:val="ListBullet"/>
            </w:pPr>
            <w:r w:rsidRPr="00AA3CEE">
              <w:t>efficiency and state typical values.</w:t>
            </w:r>
          </w:p>
          <w:p w:rsidR="00000000" w:rsidRPr="00AA3CEE" w:rsidP="00AA3CEE">
            <w:pPr>
              <w:pStyle w:val="ListBullet"/>
            </w:pPr>
            <w:r w:rsidRPr="00AA3CEE">
              <w:t>the all day efficiency of a transformer.</w:t>
            </w:r>
          </w:p>
          <w:p w:rsidR="00000000" w:rsidRPr="00AA3CEE" w:rsidP="00AA3CEE">
            <w:pPr>
              <w:pStyle w:val="BodyText"/>
            </w:pPr>
            <w:r w:rsidRPr="00AA3CEE">
              <w:t>T3</w:t>
            </w:r>
            <w:r w:rsidRPr="00AA3CEE">
              <w:tab/>
              <w:t>Cooling methods encompassing:</w:t>
            </w:r>
          </w:p>
          <w:p w:rsidR="00000000" w:rsidRPr="00AA3CEE" w:rsidP="00AA3CEE">
            <w:pPr>
              <w:pStyle w:val="ListBullet"/>
            </w:pPr>
            <w:r w:rsidRPr="00AA3CEE">
              <w:t>methods of natural an</w:t>
            </w:r>
            <w:r w:rsidRPr="00AA3CEE">
              <w:t>d forced cooling.</w:t>
            </w:r>
          </w:p>
          <w:p w:rsidR="00000000" w:rsidRPr="00AA3CEE" w:rsidP="00AA3CEE">
            <w:pPr>
              <w:pStyle w:val="ListBullet"/>
            </w:pPr>
            <w:r w:rsidRPr="00AA3CEE">
              <w:t>properties of transformer oil.</w:t>
            </w:r>
          </w:p>
          <w:p w:rsidR="00000000" w:rsidRPr="00AA3CEE" w:rsidP="00AA3CEE">
            <w:pPr>
              <w:pStyle w:val="ListBullet"/>
            </w:pPr>
            <w:r w:rsidRPr="00AA3CEE">
              <w:t xml:space="preserve">tests performed on transformer oil. </w:t>
            </w:r>
          </w:p>
          <w:p w:rsidR="00000000" w:rsidRPr="00AA3CEE" w:rsidP="00AA3CEE">
            <w:pPr>
              <w:pStyle w:val="ListBullet"/>
            </w:pPr>
            <w:r w:rsidRPr="00AA3CEE">
              <w:t>auxiliary equipment</w:t>
            </w:r>
          </w:p>
          <w:p w:rsidR="00000000" w:rsidRPr="00AA3CEE" w:rsidP="00AA3CEE">
            <w:pPr>
              <w:pStyle w:val="ListBullet"/>
            </w:pPr>
            <w:r w:rsidRPr="00AA3CEE">
              <w:t>the purpose and operation of the types of auxiliary equipment used on transformers - bushings, explosion vents, surge diverters, tap changers, conservator, breathers and desiccants, gas relays, temperature indicators.</w:t>
            </w:r>
          </w:p>
          <w:p w:rsidR="00000000" w:rsidRPr="00AA3CEE" w:rsidP="00AA3CEE">
            <w:pPr>
              <w:pStyle w:val="BodyText"/>
            </w:pPr>
            <w:r w:rsidRPr="00AA3CEE">
              <w:t>T4</w:t>
            </w:r>
            <w:r w:rsidRPr="00AA3CEE">
              <w:tab/>
              <w:t>Instrument transformers encompassin</w:t>
            </w:r>
            <w:r w:rsidRPr="00AA3CEE">
              <w:t>g:</w:t>
            </w:r>
          </w:p>
          <w:p w:rsidR="00000000" w:rsidRPr="00AA3CEE" w:rsidP="00AA3CEE">
            <w:pPr>
              <w:pStyle w:val="ListBullet"/>
            </w:pPr>
            <w:r w:rsidRPr="00AA3CEE">
              <w:t>construction of current transformers.</w:t>
            </w:r>
          </w:p>
          <w:p w:rsidR="00000000" w:rsidRPr="00AA3CEE" w:rsidP="00AA3CEE">
            <w:pPr>
              <w:pStyle w:val="ListBullet"/>
            </w:pPr>
            <w:r w:rsidRPr="00AA3CEE">
              <w:t>uses and ratings of current transformers.</w:t>
            </w:r>
          </w:p>
          <w:p w:rsidR="00000000" w:rsidRPr="00AA3CEE" w:rsidP="00AA3CEE">
            <w:pPr>
              <w:pStyle w:val="ListBullet"/>
            </w:pPr>
            <w:r w:rsidRPr="00AA3CEE">
              <w:t>construction of voltage transformers.</w:t>
            </w:r>
          </w:p>
          <w:p w:rsidR="00000000" w:rsidRPr="00AA3CEE" w:rsidP="00AA3CEE">
            <w:pPr>
              <w:pStyle w:val="ListBullet"/>
            </w:pPr>
            <w:r w:rsidRPr="00AA3CEE">
              <w:t>uses and ratings of voltage transformers.</w:t>
            </w:r>
          </w:p>
          <w:p w:rsidR="00000000" w:rsidRPr="00AA3CEE" w:rsidP="00AA3CEE">
            <w:pPr>
              <w:pStyle w:val="ListBullet"/>
            </w:pPr>
            <w:r w:rsidRPr="00AA3CEE">
              <w:t>safety techniques when using instrument transformers.</w:t>
            </w:r>
          </w:p>
          <w:p w:rsidR="00000000" w:rsidRPr="00AA3CEE" w:rsidP="00AA3CEE">
            <w:pPr>
              <w:pStyle w:val="BodyText"/>
            </w:pPr>
            <w:r w:rsidRPr="00AA3CEE">
              <w:t>T5</w:t>
            </w:r>
            <w:r w:rsidRPr="00AA3CEE">
              <w:tab/>
              <w:t>Transformer connections encompassing</w:t>
            </w:r>
            <w:r w:rsidRPr="00AA3CEE">
              <w:t>:</w:t>
            </w:r>
          </w:p>
          <w:p w:rsidR="00000000" w:rsidRPr="00AA3CEE" w:rsidP="00AA3CEE">
            <w:pPr>
              <w:pStyle w:val="ListBullet"/>
            </w:pPr>
            <w:r w:rsidRPr="00AA3CEE">
              <w:t>vector group of a transformer from a connection diagram.</w:t>
            </w:r>
          </w:p>
          <w:p w:rsidR="00000000" w:rsidRPr="00AA3CEE" w:rsidP="00AA3CEE">
            <w:pPr>
              <w:pStyle w:val="ListBullet"/>
            </w:pPr>
            <w:r w:rsidRPr="00AA3CEE">
              <w:t>connections of a three-phase transformer to create a particular vector group.</w:t>
            </w:r>
          </w:p>
          <w:p w:rsidR="00000000" w:rsidRPr="00AA3CEE" w:rsidP="00AA3CEE">
            <w:pPr>
              <w:pStyle w:val="ListBullet"/>
            </w:pPr>
            <w:r w:rsidRPr="00AA3CEE">
              <w:t>reasons for using the different vector groups.</w:t>
            </w:r>
          </w:p>
          <w:p w:rsidR="00000000" w:rsidRPr="00AA3CEE" w:rsidP="00AA3CEE">
            <w:pPr>
              <w:pStyle w:val="ListBullet"/>
            </w:pPr>
            <w:r w:rsidRPr="00AA3CEE">
              <w:t>purpose of tertiary windings.</w:t>
            </w:r>
          </w:p>
          <w:p w:rsidR="00000000" w:rsidRPr="00AA3CEE" w:rsidP="00AA3CEE">
            <w:pPr>
              <w:pStyle w:val="ListBullet"/>
            </w:pPr>
            <w:r w:rsidRPr="00AA3CEE">
              <w:t>consequences/effect of an incorrect connec</w:t>
            </w:r>
            <w:r w:rsidRPr="00AA3CEE">
              <w:t>tion.</w:t>
            </w:r>
          </w:p>
          <w:p w:rsidR="00000000" w:rsidRPr="00AA3CEE" w:rsidP="00AA3CEE">
            <w:pPr>
              <w:pStyle w:val="BodyText"/>
            </w:pPr>
            <w:r w:rsidRPr="00AA3CEE">
              <w:t>T6</w:t>
            </w:r>
            <w:r w:rsidRPr="00AA3CEE">
              <w:tab/>
              <w:t>Parallel operation encompassing:</w:t>
            </w:r>
          </w:p>
          <w:p w:rsidR="00000000" w:rsidRPr="00AA3CEE" w:rsidP="00AA3CEE">
            <w:pPr>
              <w:pStyle w:val="ListBullet"/>
            </w:pPr>
            <w:r w:rsidRPr="00AA3CEE">
              <w:t>polarity markings for the windings of a transformer.</w:t>
            </w:r>
          </w:p>
          <w:p w:rsidR="00000000" w:rsidRPr="00AA3CEE" w:rsidP="00AA3CEE">
            <w:pPr>
              <w:pStyle w:val="ListBullet"/>
            </w:pPr>
            <w:r w:rsidRPr="00AA3CEE">
              <w:t>conditions/restrictions for parallel operation of transformers.</w:t>
            </w:r>
          </w:p>
          <w:p w:rsidR="00000000" w:rsidRPr="00AA3CEE" w:rsidP="00AA3CEE">
            <w:pPr>
              <w:pStyle w:val="ListBullet"/>
            </w:pPr>
            <w:r w:rsidRPr="00AA3CEE">
              <w:t>calculation of loading on transformers operating in parallel.</w:t>
            </w:r>
          </w:p>
          <w:p w:rsidR="00000000" w:rsidRPr="00AA3CEE" w:rsidP="00AA3CEE">
            <w:pPr>
              <w:pStyle w:val="ListBullet"/>
            </w:pPr>
            <w:r w:rsidRPr="00AA3CEE">
              <w:t>connection of transformers in paral</w:t>
            </w:r>
            <w:r w:rsidRPr="00AA3CEE">
              <w:t>lel to supply a common load.</w:t>
            </w:r>
          </w:p>
          <w:p w:rsidR="00000000" w:rsidRPr="00AA3CEE" w:rsidP="00AA3CEE">
            <w:pPr>
              <w:pStyle w:val="ListBullet"/>
            </w:pPr>
            <w:r w:rsidRPr="00AA3CEE">
              <w:t>the consequences/effect of an incorrect connection.</w:t>
            </w:r>
          </w:p>
          <w:p w:rsidR="00000000" w:rsidRPr="00AA3CEE" w:rsidP="00AA3CEE">
            <w:pPr>
              <w:pStyle w:val="BodyText"/>
            </w:pPr>
            <w:r w:rsidRPr="00AA3CEE">
              <w:t>T7</w:t>
            </w:r>
            <w:r w:rsidRPr="00AA3CEE">
              <w:tab/>
              <w:t>Harmonics in transformers encompassing:</w:t>
            </w:r>
          </w:p>
          <w:p w:rsidR="00000000" w:rsidRPr="00AA3CEE" w:rsidP="00AA3CEE">
            <w:pPr>
              <w:pStyle w:val="ListBullet"/>
            </w:pPr>
            <w:r w:rsidRPr="00AA3CEE">
              <w:t>how harmonics are generated in transformers.</w:t>
            </w:r>
          </w:p>
          <w:p w:rsidR="00000000" w:rsidRPr="00AA3CEE" w:rsidP="00AA3CEE">
            <w:pPr>
              <w:pStyle w:val="ListBullet"/>
            </w:pPr>
            <w:r w:rsidRPr="00AA3CEE">
              <w:t>problems caused by harmonics in transformers.</w:t>
            </w:r>
          </w:p>
          <w:p w:rsidR="00000000" w:rsidRPr="00AA3CEE" w:rsidP="00AA3CEE">
            <w:pPr>
              <w:pStyle w:val="ListBullet"/>
            </w:pPr>
            <w:r w:rsidRPr="00AA3CEE">
              <w:t>measurement of the harmonics in a transfo</w:t>
            </w:r>
            <w:r w:rsidRPr="00AA3CEE">
              <w:t>rmer.</w:t>
            </w:r>
          </w:p>
          <w:p w:rsidR="00000000" w:rsidRPr="00AA3CEE" w:rsidP="00AA3CEE">
            <w:pPr>
              <w:pStyle w:val="ListBullet"/>
            </w:pPr>
            <w:r w:rsidRPr="00AA3CEE">
              <w:t>methods/equipment used to overcome harmonics in transformers.</w:t>
            </w:r>
          </w:p>
          <w:p w:rsidR="00000000" w:rsidRPr="00AA3CEE" w:rsidP="00AA3CEE">
            <w:pPr>
              <w:pStyle w:val="BodyText"/>
            </w:pPr>
            <w:r w:rsidRPr="00AA3CEE">
              <w:t>T8</w:t>
            </w:r>
            <w:r w:rsidRPr="00AA3CEE">
              <w:tab/>
              <w:t>High voltage isolation encompassing:</w:t>
            </w:r>
          </w:p>
          <w:p w:rsidR="00000000" w:rsidRPr="00AA3CEE" w:rsidP="00AA3CEE">
            <w:pPr>
              <w:pStyle w:val="ListBullet"/>
            </w:pPr>
            <w:r w:rsidRPr="00AA3CEE">
              <w:t>the term high voltage.</w:t>
            </w:r>
          </w:p>
          <w:p w:rsidR="00000000" w:rsidRPr="00AA3CEE" w:rsidP="00AA3CEE">
            <w:pPr>
              <w:pStyle w:val="ListBullet"/>
            </w:pPr>
            <w:r w:rsidRPr="00AA3CEE">
              <w:t>procedures for isolating high voltage apparatus.</w:t>
            </w:r>
          </w:p>
          <w:p w:rsidR="00000000" w:rsidRPr="00AA3CEE" w:rsidP="00AA3CEE">
            <w:pPr>
              <w:pStyle w:val="ListBullet"/>
            </w:pPr>
            <w:r w:rsidRPr="00AA3CEE">
              <w:t>regulations with respect to access permits.</w:t>
            </w:r>
          </w:p>
          <w:p w:rsidR="00000000" w:rsidRPr="00AA3CEE" w:rsidP="00AA3CEE">
            <w:pPr>
              <w:pStyle w:val="ListBullet"/>
            </w:pPr>
            <w:r w:rsidRPr="00AA3CEE">
              <w:t>clearances to be observed with respect to high voltages up to 33 kV.</w:t>
            </w:r>
          </w:p>
          <w:p w:rsidR="00000000" w:rsidRPr="00AA3CEE" w:rsidP="00AA3CEE">
            <w:pPr>
              <w:pStyle w:val="ListBullet"/>
            </w:pPr>
            <w:r w:rsidRPr="00AA3CEE">
              <w:t>the term ‘step’ and ‘touch’ potential.</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10" w:name="O_463198"/>
      <w:bookmarkEnd w:id="10"/>
      <w:r w:rsidRPr="00AA3CEE">
        <w:t>Evidence Guide</w:t>
      </w:r>
    </w:p>
    <w:tbl>
      <w:tblPr>
        <w:tblW w:w="0" w:type="auto"/>
        <w:tblLayout w:type="fixed"/>
        <w:tblCellMar>
          <w:left w:w="62" w:type="dxa"/>
          <w:right w:w="62" w:type="dxa"/>
        </w:tblCellMar>
        <w:tblLook w:val="0000"/>
      </w:tblPr>
      <w:tblGrid>
        <w:gridCol w:w="8460"/>
      </w:tblGrid>
      <w:tr w:rsidTr="00126D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EVIDENCE GUIDE</w:t>
            </w:r>
          </w:p>
        </w:tc>
      </w:tr>
      <w:tr w:rsidTr="00126D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9)</w:t>
            </w:r>
            <w:r w:rsidRPr="00AA3CEE">
              <w:t xml:space="preserve"> This provides essential advice for assessment of the unit. It must be read in conjunction with </w:t>
            </w:r>
            <w:r w:rsidRPr="00AA3CEE">
              <w:t>the performance criteria and the range statement of the unit and the Training Package Assessment Guidelines.</w:t>
            </w:r>
          </w:p>
          <w:p w:rsidR="00000000" w:rsidRPr="00AA3CEE" w:rsidP="00AA3CEE">
            <w:pPr>
              <w:pStyle w:val="BodyText"/>
            </w:pPr>
            <w:r w:rsidRPr="00AA3CEE">
              <w:t>The Evidence Guide forms an integral part of this unit. It must be used in conjunction with all parts of this unit and performed in accordance with</w:t>
            </w:r>
            <w:r w:rsidRPr="00AA3CEE">
              <w:t xml:space="preserve"> the Assessment Guidelines of this Training Package.</w:t>
            </w:r>
          </w:p>
        </w:tc>
      </w:tr>
    </w:tbl>
    <w:p w:rsidR="00000000" w:rsidRPr="00AA3CEE" w:rsidP="00AA3CEE">
      <w:pPr>
        <w:pStyle w:val="BodyText"/>
      </w:pPr>
    </w:p>
    <w:tbl>
      <w:tblPr>
        <w:tblW w:w="0" w:type="auto"/>
        <w:tblLayout w:type="fixed"/>
        <w:tblCellMar>
          <w:left w:w="62" w:type="dxa"/>
          <w:right w:w="62" w:type="dxa"/>
        </w:tblCellMar>
        <w:tblLook w:val="0000"/>
      </w:tblPr>
      <w:tblGrid>
        <w:gridCol w:w="1890"/>
        <w:gridCol w:w="6570"/>
      </w:tblGrid>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9.1)</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 xml:space="preserve">Longitudinal competency development approaches to assessment, such as Profiling, require data to be reliably gathered in a form that can be </w:t>
            </w:r>
            <w:r w:rsidRPr="00AA3CEE">
              <w:t>consistently interpreted over time. This approach is best utilised in Apprenticeship programs and reduces assessment intervention. It is the Industry’s preferred model for apprenticeships. However, where summative (or final) assessment is used it is to inc</w:t>
            </w:r>
            <w:r w:rsidRPr="00AA3CEE">
              <w:t>lude the application of the competency in the normal work environment or, at a minimum, the application of the competency in a realistically simulated work environment. It is recognised that, in some circumstances, assessment in part or full can occur outs</w:t>
            </w:r>
            <w:r w:rsidRPr="00AA3CEE">
              <w:t>ide the workplace. However, it must be in accordance with industry and regulatory policy.</w:t>
            </w:r>
          </w:p>
          <w:p w:rsidR="00000000" w:rsidRPr="00AA3CEE" w:rsidP="00AA3CEE">
            <w:pPr>
              <w:pStyle w:val="BodyText"/>
            </w:pPr>
            <w:r w:rsidRPr="00AA3CEE">
              <w:t>Methods chosen for a particular assessment will be influenced by various factors. These include the extent of the assessment, the most effective locations for the ass</w:t>
            </w:r>
            <w:r w:rsidRPr="00AA3CEE">
              <w:t>essment activities to take place, access to physical resources, additional safety measures that may be required and the critical nature of the competencies being assessed.</w:t>
            </w:r>
          </w:p>
          <w:p w:rsidR="00000000" w:rsidRPr="00AA3CEE" w:rsidP="00AA3CEE">
            <w:pPr>
              <w:pStyle w:val="BodyText"/>
            </w:pPr>
            <w:r w:rsidRPr="00AA3CEE">
              <w:t>The critical safety nature of working with electricity, electrical equipment, gas or</w:t>
            </w:r>
            <w:r w:rsidRPr="00AA3CEE">
              <w:t xml:space="preserve"> any other hazardous substance/material carries risk in deeming a person competent. Sources of evidence need to be ‘rich’ in nature to minimise error in judgment.</w:t>
            </w:r>
          </w:p>
          <w:p w:rsidR="00000000" w:rsidRPr="00AA3CEE" w:rsidP="00AA3CEE">
            <w:pPr>
              <w:pStyle w:val="BodyText"/>
            </w:pPr>
            <w:r w:rsidRPr="00AA3CEE">
              <w:t>Activities associated with normal every day work have a bearing on the decision as to how muc</w:t>
            </w:r>
            <w:r w:rsidRPr="00AA3CEE">
              <w:t>h and how detailed the data gathered will contribute to its ‘richness’. Some skills are more critical to safety and operational requirements while the same skills may be more or less frequently practised. These points are raised for the assessors to consid</w:t>
            </w:r>
            <w:r w:rsidRPr="00AA3CEE">
              <w:t>er when choosing an assessment method and developing assessment instruments. Sample assessment instruments are included for Assessors in the Assessment Guidelines of this Training Package.</w:t>
            </w:r>
          </w:p>
        </w:tc>
      </w:tr>
    </w:tbl>
    <w:p w:rsidR="00000000" w:rsidRPr="00AA3CEE" w:rsidP="00AA3CEE">
      <w:pPr>
        <w:pStyle w:val="BodyText"/>
      </w:pPr>
    </w:p>
    <w:tbl>
      <w:tblPr>
        <w:tblW w:w="0" w:type="auto"/>
        <w:tblLayout w:type="fixed"/>
        <w:tblCellMar>
          <w:left w:w="62" w:type="dxa"/>
          <w:right w:w="62" w:type="dxa"/>
        </w:tblCellMar>
        <w:tblLook w:val="0000"/>
      </w:tblPr>
      <w:tblGrid>
        <w:gridCol w:w="1890"/>
        <w:gridCol w:w="909"/>
        <w:gridCol w:w="525"/>
        <w:gridCol w:w="5136"/>
      </w:tblGrid>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Critical aspects of evidence required to demonstrate competency i</w:t>
            </w:r>
            <w:r w:rsidRPr="00AA3CEE">
              <w:rPr>
                <w:rStyle w:val="SpecialBold"/>
              </w:rPr>
              <w:t>n this unit</w:t>
            </w:r>
          </w:p>
        </w:tc>
        <w:tc>
          <w:tcPr>
            <w:tcW w:w="6570" w:type="dxa"/>
            <w:gridSpan w:val="3"/>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9.2)</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Before the critical aspects of evidence are considered all prerequisites shall be met.</w:t>
            </w:r>
          </w:p>
          <w:p w:rsidR="00000000" w:rsidRPr="00AA3CEE" w:rsidP="00AA3CEE">
            <w:pPr>
              <w:pStyle w:val="BodyText"/>
            </w:pPr>
            <w:r w:rsidRPr="00AA3CEE">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AA3CEE" w:rsidP="00AA3CEE">
            <w:pPr>
              <w:pStyle w:val="ListBullet"/>
            </w:pPr>
            <w:r w:rsidRPr="00AA3CEE">
              <w:t>A representative body of work performance demonstrated within the timeframes typically expected of the discipline, work function and industrial environment. In particular this shall incorporate evidence that shows a candidate is able to:</w:t>
            </w:r>
          </w:p>
          <w:p w:rsidR="00000000" w:rsidRPr="00AA3CEE" w:rsidP="00AA3CEE">
            <w:pPr>
              <w:pStyle w:val="ListBullet2"/>
            </w:pPr>
            <w:r w:rsidRPr="00AA3CEE">
              <w:t>Implement Occupat</w:t>
            </w:r>
            <w:r w:rsidRPr="00AA3CEE">
              <w:t>ional Health and Safety workplace procedures and practices including the use of risk control measures as specified in the performance criteria and range statement</w:t>
            </w:r>
          </w:p>
          <w:p w:rsidR="00000000" w:rsidRPr="00AA3CEE" w:rsidP="00AA3CEE">
            <w:pPr>
              <w:pStyle w:val="ListBullet2"/>
            </w:pPr>
            <w:r w:rsidRPr="00AA3CEE">
              <w:t>Apply sustainable energy principles and practices as specified in the performance criteria an</w:t>
            </w:r>
            <w:r w:rsidRPr="00AA3CEE">
              <w:t>d range statement</w:t>
            </w:r>
          </w:p>
          <w:p w:rsidR="00000000" w:rsidRPr="00AA3CEE" w:rsidP="00AA3CEE">
            <w:pPr>
              <w:pStyle w:val="ListBullet2"/>
            </w:pPr>
            <w:r w:rsidRPr="00AA3CEE">
              <w:t>Demonstrate an understanding of the essential knowledge and associated skills as described in this unit .  It may be required by some jurisdictions that RTOs provide a percentile graded result for the purpose of regulatory or licensing re</w:t>
            </w:r>
            <w:r w:rsidRPr="00AA3CEE">
              <w:t xml:space="preserve">quirements.   </w:t>
            </w:r>
          </w:p>
          <w:p w:rsidR="00000000" w:rsidRPr="00AA3CEE" w:rsidP="00AA3CEE">
            <w:pPr>
              <w:pStyle w:val="ListBullet2"/>
            </w:pPr>
            <w:r w:rsidRPr="00AA3CEE">
              <w:t>Demonstrate an appropriate level of skills enabling employment</w:t>
            </w:r>
          </w:p>
          <w:p w:rsidR="00000000" w:rsidRPr="00AA3CEE" w:rsidP="00AA3CEE">
            <w:pPr>
              <w:pStyle w:val="ListBullet2"/>
            </w:pPr>
            <w:r w:rsidRPr="00AA3CEE">
              <w:t>Conduct work observing the relevant Anti Discrimination legislation, regulations, polices and workplace procedures</w:t>
            </w:r>
          </w:p>
          <w:p w:rsidR="00000000" w:rsidRPr="00AA3CEE" w:rsidP="00AA3CEE">
            <w:pPr>
              <w:pStyle w:val="ListBullet"/>
            </w:pPr>
            <w:r w:rsidRPr="00AA3CEE">
              <w:t>Demonstrated consistent performance across a representative ran</w:t>
            </w:r>
            <w:r w:rsidRPr="00AA3CEE">
              <w:t>ge of contexts from the prescribed items below:</w:t>
            </w:r>
          </w:p>
          <w:p w:rsidR="00000000" w:rsidP="00AA3CEE">
            <w:pPr>
              <w:pStyle w:val="ListBullet2"/>
              <w:rPr>
                <w:lang w:val="en-NZ"/>
              </w:rPr>
            </w:pPr>
            <w:r w:rsidRPr="00AA3CEE">
              <w:t>Develop engineering solutions for energy supply power transformer problems as described in 8) and including:</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A</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Understanding the extent of the transformer problems.</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B</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Forming effective strategies for solution development and implementation.</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C</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Obtaining transformer parameters, specifications and performance requirements appropriate to each problem.</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Testing and solutions to transformer problems.</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E</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Documenting i</w:t>
            </w:r>
            <w:r w:rsidRPr="00AA3CEE">
              <w:t>nstruction for implementation of solutions that incorporate risk control measure to be followed.</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F</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Documenting justification of solutions implemented in accordance with professional standards.</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G</w:t>
            </w:r>
          </w:p>
        </w:tc>
        <w:tc>
          <w:tcPr>
            <w:tcW w:w="513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Dealing with unplanne</w:t>
            </w:r>
            <w:r w:rsidRPr="00AA3CEE">
              <w:t>d events by drawing on essential knowledge and skills to provide appropriate solutions incorporated in the holistic assessment with the above listed items.</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Note:</w:t>
            </w:r>
            <w:r w:rsidRPr="00AA3CEE">
              <w:br/>
              <w:t>Successful completion of relevant vendor training may be used to contribute to evidence on w</w:t>
            </w:r>
            <w:r w:rsidRPr="00AA3CEE">
              <w:t>hich competency is deemed. In these cases the alignment of outcomes of vendor training with performance criteria and critical aspects of evidence shall be clearly identified.</w:t>
            </w:r>
          </w:p>
        </w:tc>
      </w:tr>
    </w:tbl>
    <w:p w:rsidR="00000000" w:rsidRPr="00AA3CEE" w:rsidP="00AA3CEE">
      <w:pPr>
        <w:pStyle w:val="BodyText"/>
      </w:pPr>
    </w:p>
    <w:tbl>
      <w:tblPr>
        <w:tblW w:w="0" w:type="auto"/>
        <w:tblLayout w:type="fixed"/>
        <w:tblCellMar>
          <w:left w:w="62" w:type="dxa"/>
          <w:right w:w="62" w:type="dxa"/>
        </w:tblCellMar>
        <w:tblLook w:val="0000"/>
      </w:tblPr>
      <w:tblGrid>
        <w:gridCol w:w="1890"/>
        <w:gridCol w:w="6570"/>
      </w:tblGrid>
      <w:tr w:rsidTr="00126D7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9.3)</w:t>
            </w:r>
          </w:p>
        </w:tc>
      </w:tr>
      <w:tr w:rsidTr="00126D7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This unit should be assessed as it relates to normal work practice using procedures, information and resources typical of a workplace. This should include:</w:t>
            </w:r>
          </w:p>
          <w:p w:rsidR="00000000" w:rsidRPr="00AA3CEE" w:rsidP="00AA3CEE">
            <w:pPr>
              <w:pStyle w:val="ListBullet"/>
            </w:pPr>
            <w:r w:rsidRPr="00AA3CEE">
              <w:t>OHS policy and work procedures and instructions.</w:t>
            </w:r>
          </w:p>
          <w:p w:rsidR="00000000" w:rsidRPr="00AA3CEE" w:rsidP="00AA3CEE">
            <w:pPr>
              <w:pStyle w:val="ListBullet"/>
            </w:pPr>
            <w:r w:rsidRPr="00AA3CEE">
              <w:t>Suitable work environment, facilities, equipment an</w:t>
            </w:r>
            <w:r w:rsidRPr="00AA3CEE">
              <w:t>d materials to undertake actual work as prescribed by this unit.</w:t>
            </w:r>
          </w:p>
          <w:p w:rsidR="00000000" w:rsidRPr="00AA3CEE" w:rsidP="00AA3CEE">
            <w:pPr>
              <w:pStyle w:val="BodyText"/>
            </w:pPr>
            <w:r w:rsidRPr="00AA3CEE">
              <w:t>These should be part of the formal learning/assessment environment.</w:t>
            </w:r>
          </w:p>
          <w:p w:rsidR="00000000" w:rsidRPr="00AA3CEE" w:rsidP="00AA3CEE">
            <w:pPr>
              <w:pStyle w:val="BodyText"/>
            </w:pPr>
            <w:r w:rsidRPr="00AA3CEE">
              <w:t>Note:</w:t>
            </w:r>
          </w:p>
          <w:p w:rsidR="00000000" w:rsidRPr="00AA3CEE" w:rsidP="00AA3CEE">
            <w:pPr>
              <w:pStyle w:val="BodyText"/>
            </w:pPr>
            <w:r w:rsidRPr="00AA3CEE">
              <w:t>Where simulation is considered a suitable strategy for assessment, conditions must be authentic and as far as possibl</w:t>
            </w:r>
            <w:r w:rsidRPr="00AA3CEE">
              <w:t>e reproduce and replicate the workplace and be consistent with the approved industry simulation policy.</w:t>
            </w:r>
          </w:p>
          <w:p w:rsidR="00000000" w:rsidRPr="00AA3CEE" w:rsidP="00AA3CEE">
            <w:pPr>
              <w:pStyle w:val="BodyText"/>
            </w:pPr>
            <w:r w:rsidRPr="00AA3CEE">
              <w:t>The resources used for assessment should reflect current industry practices in relation to developing engineering solutions for energy supply power tran</w:t>
            </w:r>
            <w:r w:rsidRPr="00AA3CEE">
              <w:t>sformer problems.</w:t>
            </w:r>
          </w:p>
        </w:tc>
      </w:tr>
    </w:tbl>
    <w:p w:rsidR="00000000" w:rsidRPr="00AA3CEE" w:rsidP="00AA3CEE">
      <w:pPr>
        <w:pStyle w:val="BodyText"/>
      </w:pPr>
    </w:p>
    <w:tbl>
      <w:tblPr>
        <w:tblW w:w="0" w:type="auto"/>
        <w:tblLayout w:type="fixed"/>
        <w:tblCellMar>
          <w:left w:w="62" w:type="dxa"/>
          <w:right w:w="62" w:type="dxa"/>
        </w:tblCellMar>
        <w:tblLook w:val="0000"/>
      </w:tblPr>
      <w:tblGrid>
        <w:gridCol w:w="1890"/>
        <w:gridCol w:w="6570"/>
      </w:tblGrid>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9.4)</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This unit shall be assessed by methods given in Volume 1, Part 3 ‘Assessment Guidelines’.</w:t>
            </w:r>
          </w:p>
          <w:p w:rsidR="00000000" w:rsidRPr="00AA3CEE" w:rsidP="00AA3CEE">
            <w:pPr>
              <w:pStyle w:val="BodyText"/>
            </w:pPr>
            <w:r w:rsidRPr="00AA3CEE">
              <w:t>Note:</w:t>
            </w:r>
          </w:p>
          <w:p w:rsidR="00000000" w:rsidRPr="00AA3CEE" w:rsidP="00AA3CEE">
            <w:pPr>
              <w:pStyle w:val="BodyText"/>
            </w:pPr>
            <w:r w:rsidRPr="00AA3CEE">
              <w:t>Competent performance with inherent safe wo</w:t>
            </w:r>
            <w:r w:rsidRPr="00AA3CEE">
              <w:t>rking practices is expected in the industry to which this unit applies. This requires assessment in a structured environment which is primarily intended for learning/assessment and incorporates all necessary equipment and facilities for learners to develop</w:t>
            </w:r>
            <w:r w:rsidRPr="00AA3CEE">
              <w:t xml:space="preserve"> and demonstrate the essential knowledge and skills described in this unit.</w:t>
            </w:r>
          </w:p>
        </w:tc>
      </w:tr>
    </w:tbl>
    <w:p w:rsidR="00000000" w:rsidRPr="00AA3CEE" w:rsidP="00AA3CEE">
      <w:pPr>
        <w:pStyle w:val="BodyText"/>
      </w:pPr>
    </w:p>
    <w:tbl>
      <w:tblPr>
        <w:tblW w:w="0" w:type="auto"/>
        <w:tblLayout w:type="fixed"/>
        <w:tblCellMar>
          <w:left w:w="62" w:type="dxa"/>
          <w:right w:w="62" w:type="dxa"/>
        </w:tblCellMar>
        <w:tblLook w:val="0000"/>
      </w:tblPr>
      <w:tblGrid>
        <w:gridCol w:w="1890"/>
        <w:gridCol w:w="1676"/>
        <w:gridCol w:w="4894"/>
      </w:tblGrid>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9.5)</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For optimisation of training and assessment effort, competency development in this unit may be arranged concurrent</w:t>
            </w:r>
            <w:r w:rsidRPr="00AA3CEE">
              <w:t>ly with unit:</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UETTDRIS70A</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Diagnose and rectify faults in electrical energy supply distribution system</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OR</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UETTDRIS72A</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Diagnose and rectify faults in distributed generation systems</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OR</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UETTDRIS71A</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Diagnose and rectify faults in electrical energy supply transmission system</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AND</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6"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UEENEEG149A</w:t>
            </w:r>
          </w:p>
        </w:tc>
        <w:tc>
          <w:tcPr>
            <w:tcW w:w="4894"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t>Solve problems in complex polyphase power circuits</w:t>
            </w:r>
          </w:p>
        </w:tc>
      </w:tr>
      <w:tr w:rsidTr="00126D7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The critical aspects of occupational health and safety covered in Unit UEENEEE101A and other discipline sp</w:t>
            </w:r>
            <w:r w:rsidRPr="00AA3CEE">
              <w:t>ecific occupational health and safety unit(s) shall be reassessed in relation to this unit.</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11" w:name="O_463202"/>
      <w:bookmarkEnd w:id="11"/>
      <w:r w:rsidRPr="00AA3CEE">
        <w:t>Range Statement</w:t>
      </w:r>
    </w:p>
    <w:tbl>
      <w:tblPr>
        <w:tblW w:w="0" w:type="auto"/>
        <w:tblLayout w:type="fixed"/>
        <w:tblCellMar>
          <w:left w:w="62" w:type="dxa"/>
          <w:right w:w="62" w:type="dxa"/>
        </w:tblCellMar>
        <w:tblLook w:val="0000"/>
      </w:tblPr>
      <w:tblGrid>
        <w:gridCol w:w="8460"/>
      </w:tblGrid>
      <w:tr w:rsidTr="00126D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RANGE STATEMENT</w:t>
            </w:r>
          </w:p>
        </w:tc>
      </w:tr>
      <w:tr w:rsidTr="00126D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10)</w:t>
            </w:r>
            <w:r w:rsidRPr="00AA3CEE">
              <w:t xml:space="preserve"> This relates to the unit as a whole providing the range of contexts and conditions to which </w:t>
            </w:r>
            <w:r w:rsidRPr="00AA3CEE">
              <w:t>the performance criteria apply. It allows for different work environments and situations that will affect performance.</w:t>
            </w:r>
          </w:p>
          <w:p w:rsidR="00000000" w:rsidRPr="00AA3CEE" w:rsidP="00AA3CEE">
            <w:pPr>
              <w:pStyle w:val="BodyText"/>
            </w:pPr>
            <w:r w:rsidRPr="00AA3CEE">
              <w:t>This unit shall be demonstrated in relation to developing engineering solution for at least four supply power transformer problems.</w:t>
            </w:r>
          </w:p>
          <w:p w:rsidR="00000000" w:rsidRPr="00AA3CEE" w:rsidP="00AA3CEE">
            <w:pPr>
              <w:pStyle w:val="BodyText"/>
            </w:pPr>
            <w:r w:rsidRPr="00AA3CEE">
              <w:t>Note.</w:t>
            </w:r>
          </w:p>
          <w:p w:rsidR="00000000" w:rsidRPr="00AA3CEE" w:rsidP="00AA3CEE">
            <w:pPr>
              <w:pStyle w:val="BodyText"/>
            </w:pPr>
            <w:r w:rsidRPr="00AA3CEE">
              <w:t>Typical transformer problems are those encountered in meeting performance requirements and compliance standards, revising a transformer operating parameters and dealing with transformer malfunctions.</w:t>
            </w:r>
          </w:p>
          <w:p w:rsidR="00000000" w:rsidRPr="00AA3CEE" w:rsidP="00AA3CEE">
            <w:pPr>
              <w:pStyle w:val="BodyText"/>
            </w:pPr>
            <w:r w:rsidRPr="00AA3CEE">
              <w:t xml:space="preserve">Generic terms used throughout this Vocational Standard </w:t>
            </w:r>
            <w:r w:rsidRPr="00AA3CEE">
              <w:t>shall be regarded as part of the Range Statement in which competency is demonstrated. The definition of these and other terms that apply are given in Volume 2, Part 2.1.</w:t>
            </w:r>
          </w:p>
        </w:tc>
      </w:tr>
    </w:tbl>
    <w:p w:rsidR="00000000" w:rsidRPr="00AA3CEE" w:rsidP="00AA3CEE">
      <w:pPr>
        <w:pStyle w:val="BodyText"/>
      </w:pPr>
    </w:p>
    <w:p w:rsidR="00000000" w:rsidRPr="00AA3CEE" w:rsidP="00AA3CEE">
      <w:pPr>
        <w:pStyle w:val="AllowPageBreak"/>
      </w:pPr>
    </w:p>
    <w:p w:rsidR="00000000" w:rsidRPr="00AA3CEE" w:rsidP="00AA3CEE">
      <w:pPr>
        <w:pStyle w:val="Heading1"/>
      </w:pPr>
      <w:bookmarkStart w:id="12" w:name="O_463205"/>
      <w:bookmarkEnd w:id="12"/>
      <w:r w:rsidRPr="00AA3CEE">
        <w:t>Unit Sector(s)</w:t>
      </w:r>
    </w:p>
    <w:p w:rsidR="00000000" w:rsidRPr="00AA3CEE" w:rsidP="00AA3CEE">
      <w:pPr>
        <w:pStyle w:val="BodyText"/>
      </w:pPr>
      <w:r w:rsidRPr="00AA3CEE">
        <w:t>Not applicable.</w:t>
      </w:r>
    </w:p>
    <w:p w:rsidR="00000000" w:rsidRPr="00AA3CEE" w:rsidP="00AA3CEE">
      <w:pPr>
        <w:pStyle w:val="AllowPageBreak"/>
      </w:pPr>
    </w:p>
    <w:p w:rsidR="00000000" w:rsidRPr="00AA3CEE" w:rsidP="00AA3CEE">
      <w:pPr>
        <w:pStyle w:val="Heading1"/>
      </w:pPr>
      <w:bookmarkStart w:id="13" w:name="O_463194"/>
      <w:bookmarkEnd w:id="13"/>
      <w:r w:rsidRPr="00AA3CEE">
        <w:t>Competency Field</w:t>
      </w:r>
    </w:p>
    <w:tbl>
      <w:tblPr>
        <w:tblW w:w="0" w:type="auto"/>
        <w:tblLayout w:type="fixed"/>
        <w:tblCellMar>
          <w:left w:w="62" w:type="dxa"/>
          <w:right w:w="62" w:type="dxa"/>
        </w:tblCellMar>
        <w:tblLook w:val="0000"/>
      </w:tblPr>
      <w:tblGrid>
        <w:gridCol w:w="2700"/>
        <w:gridCol w:w="5760"/>
      </w:tblGrid>
      <w:tr w:rsidTr="00126D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3CEE">
            <w:pPr>
              <w:pStyle w:val="BodyText"/>
              <w:rPr>
                <w:lang w:val="en-NZ"/>
              </w:rPr>
            </w:pPr>
            <w:r w:rsidRPr="00AA3CEE">
              <w:rPr>
                <w:rStyle w:val="SpecialBold"/>
              </w:rPr>
              <w:t xml:space="preserve">11) </w:t>
            </w:r>
          </w:p>
        </w:tc>
      </w:tr>
      <w:tr w:rsidTr="00126D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CEE" w:rsidP="00AA3CEE">
            <w:pPr>
              <w:pStyle w:val="BodyText"/>
            </w:pPr>
            <w:r w:rsidRPr="00AA3CEE">
              <w:t>Electrical</w:t>
            </w:r>
          </w:p>
        </w:tc>
      </w:tr>
    </w:tbl>
    <w:p w:rsidR="00000000" w:rsidRPr="00AA3CEE" w:rsidP="00AA3CEE">
      <w:pPr>
        <w:pStyle w:val="BodyText"/>
      </w:pPr>
    </w:p>
    <w:p w:rsidR="00000000" w:rsidRPr="00AA3CEE" w:rsidP="00AA3CEE"/>
    <w:sectPr w:rsidSect="00AA3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D78" w:rsidP="00126D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78" w:rsidP="00AA3C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26D78" w:rsidP="00AA3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26D78" w:rsidP="00AA3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EE" w:rsidRPr="00126D78" w:rsidP="00126D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D78" w:rsidRPr="002D2AF8" w:rsidP="00AA3CEE">
    <w:pPr>
      <w:pStyle w:val="Header"/>
      <w:framePr w:wrap="around"/>
    </w:pPr>
    <w:r>
      <w:fldChar w:fldCharType="begin"/>
    </w:r>
    <w:r>
      <w:instrText xml:space="preserve"> TITLE   \* MERGEFORMAT </w:instrText>
    </w:r>
    <w:r>
      <w:fldChar w:fldCharType="separate"/>
    </w:r>
    <w:r>
      <w:t>UETTDRIS73A Develop engineering solutions for energy supply power transformer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26D78" w:rsidP="00AA3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E0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A02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4C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CEE"/>
    <w:pPr>
      <w:spacing w:before="360" w:after="60"/>
      <w:outlineLvl w:val="0"/>
    </w:pPr>
    <w:rPr>
      <w:sz w:val="32"/>
    </w:rPr>
  </w:style>
  <w:style w:type="paragraph" w:styleId="Heading2">
    <w:name w:val="heading 2"/>
    <w:basedOn w:val="HeadingBase"/>
    <w:next w:val="BodyText"/>
    <w:link w:val="Heading2Char"/>
    <w:qFormat/>
    <w:rsid w:val="00AA3CEE"/>
    <w:pPr>
      <w:keepLines/>
      <w:spacing w:before="240" w:after="120"/>
      <w:outlineLvl w:val="1"/>
    </w:pPr>
    <w:rPr>
      <w:sz w:val="28"/>
      <w:szCs w:val="40"/>
    </w:rPr>
  </w:style>
  <w:style w:type="paragraph" w:styleId="Heading3">
    <w:name w:val="heading 3"/>
    <w:basedOn w:val="HeadingBase"/>
    <w:next w:val="BodyText"/>
    <w:link w:val="Heading3Char"/>
    <w:qFormat/>
    <w:rsid w:val="00AA3CEE"/>
    <w:pPr>
      <w:spacing w:before="180" w:after="120"/>
      <w:outlineLvl w:val="2"/>
    </w:pPr>
    <w:rPr>
      <w:spacing w:val="-10"/>
      <w:kern w:val="32"/>
    </w:rPr>
  </w:style>
  <w:style w:type="paragraph" w:styleId="Heading4">
    <w:name w:val="heading 4"/>
    <w:basedOn w:val="HeadingBase"/>
    <w:next w:val="BodyText"/>
    <w:link w:val="Heading4Char"/>
    <w:qFormat/>
    <w:rsid w:val="00AA3CEE"/>
    <w:pPr>
      <w:spacing w:before="160" w:after="120"/>
      <w:outlineLvl w:val="3"/>
    </w:pPr>
    <w:rPr>
      <w:sz w:val="22"/>
    </w:rPr>
  </w:style>
  <w:style w:type="paragraph" w:styleId="Heading5">
    <w:name w:val="heading 5"/>
    <w:basedOn w:val="HeadingBase"/>
    <w:next w:val="Normal"/>
    <w:link w:val="Heading5Char"/>
    <w:qFormat/>
    <w:rsid w:val="00AA3CEE"/>
    <w:pPr>
      <w:spacing w:before="80"/>
      <w:outlineLvl w:val="4"/>
    </w:pPr>
    <w:rPr>
      <w:color w:val="918585"/>
      <w:sz w:val="20"/>
    </w:rPr>
  </w:style>
  <w:style w:type="paragraph" w:styleId="Heading6">
    <w:name w:val="heading 6"/>
    <w:basedOn w:val="HeadingBase"/>
    <w:next w:val="Normal"/>
    <w:link w:val="Heading6Char"/>
    <w:qFormat/>
    <w:rsid w:val="00AA3CEE"/>
    <w:pPr>
      <w:spacing w:before="60"/>
      <w:outlineLvl w:val="5"/>
    </w:pPr>
    <w:rPr>
      <w:color w:val="918585"/>
      <w:sz w:val="20"/>
    </w:rPr>
  </w:style>
  <w:style w:type="paragraph" w:styleId="Heading7">
    <w:name w:val="heading 7"/>
    <w:basedOn w:val="Normal"/>
    <w:next w:val="Normal"/>
    <w:link w:val="Heading7Char"/>
    <w:qFormat/>
    <w:rsid w:val="00AA3CEE"/>
    <w:pPr>
      <w:ind w:left="720"/>
      <w:outlineLvl w:val="6"/>
    </w:pPr>
    <w:rPr>
      <w:i/>
    </w:rPr>
  </w:style>
  <w:style w:type="paragraph" w:styleId="Heading8">
    <w:name w:val="heading 8"/>
    <w:basedOn w:val="Normal"/>
    <w:next w:val="Normal"/>
    <w:link w:val="Heading8Char"/>
    <w:qFormat/>
    <w:rsid w:val="00AA3CEE"/>
    <w:pPr>
      <w:ind w:left="720"/>
      <w:outlineLvl w:val="7"/>
    </w:pPr>
    <w:rPr>
      <w:i/>
    </w:rPr>
  </w:style>
  <w:style w:type="paragraph" w:styleId="Heading9">
    <w:name w:val="heading 9"/>
    <w:basedOn w:val="Normal"/>
    <w:next w:val="Normal"/>
    <w:link w:val="Heading9Char"/>
    <w:qFormat/>
    <w:rsid w:val="00AA3CEE"/>
    <w:pPr>
      <w:ind w:left="720"/>
      <w:outlineLvl w:val="8"/>
    </w:pPr>
    <w:rPr>
      <w:i/>
    </w:rPr>
  </w:style>
  <w:style w:type="character" w:default="1" w:styleId="DefaultParagraphFont">
    <w:name w:val="Default Paragraph Font"/>
    <w:uiPriority w:val="1"/>
    <w:unhideWhenUsed/>
    <w:rsid w:val="00AA3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CEE"/>
  </w:style>
  <w:style w:type="character" w:customStyle="1" w:styleId="Heading1Char">
    <w:name w:val="Heading 1 Char"/>
    <w:basedOn w:val="DefaultParagraphFont"/>
    <w:link w:val="Heading1"/>
    <w:rsid w:val="00AA3CEE"/>
    <w:rPr>
      <w:rFonts w:ascii="Times New Roman" w:eastAsia="Times New Roman" w:hAnsi="Times New Roman" w:cs="Times New Roman"/>
      <w:b/>
      <w:sz w:val="32"/>
      <w:szCs w:val="20"/>
      <w:lang w:eastAsia="en-US"/>
    </w:rPr>
  </w:style>
  <w:style w:type="paragraph" w:styleId="BodyText">
    <w:name w:val="Body Text"/>
    <w:basedOn w:val="Normal"/>
    <w:link w:val="BodyTextChar"/>
    <w:rsid w:val="00AA3C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CEE"/>
    <w:rPr>
      <w:rFonts w:ascii="Times New Roman" w:eastAsia="Times New Roman" w:hAnsi="Times New Roman" w:cs="Times New Roman"/>
      <w:sz w:val="24"/>
      <w:lang w:eastAsia="en-US"/>
    </w:rPr>
  </w:style>
  <w:style w:type="paragraph" w:styleId="Footer">
    <w:name w:val="footer"/>
    <w:basedOn w:val="Normal"/>
    <w:link w:val="FooterChar"/>
    <w:rsid w:val="00AA3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CEE"/>
    <w:rPr>
      <w:rFonts w:ascii="Times New Roman" w:eastAsia="Times New Roman" w:hAnsi="Times New Roman" w:cs="Times New Roman"/>
      <w:sz w:val="16"/>
      <w:lang w:eastAsia="en-US"/>
    </w:rPr>
  </w:style>
  <w:style w:type="paragraph" w:styleId="ListBullet">
    <w:name w:val="List Bullet"/>
    <w:basedOn w:val="List"/>
    <w:rsid w:val="00AA3CEE"/>
    <w:pPr>
      <w:numPr>
        <w:numId w:val="13"/>
      </w:numPr>
      <w:tabs>
        <w:tab w:val="clear" w:pos="340"/>
      </w:tabs>
      <w:spacing w:before="40" w:after="40"/>
    </w:pPr>
  </w:style>
  <w:style w:type="character" w:customStyle="1" w:styleId="SpecialBold">
    <w:name w:val="Special Bold"/>
    <w:basedOn w:val="DefaultParagraphFont"/>
    <w:rsid w:val="00AA3CEE"/>
    <w:rPr>
      <w:b/>
      <w:spacing w:val="0"/>
    </w:rPr>
  </w:style>
  <w:style w:type="paragraph" w:styleId="ListBullet2">
    <w:name w:val="List Bullet 2"/>
    <w:basedOn w:val="List2"/>
    <w:rsid w:val="00AA3CEE"/>
    <w:pPr>
      <w:numPr>
        <w:numId w:val="14"/>
      </w:numPr>
      <w:tabs>
        <w:tab w:val="clear" w:pos="680"/>
      </w:tabs>
    </w:pPr>
  </w:style>
  <w:style w:type="paragraph" w:customStyle="1" w:styleId="SuperHeading">
    <w:name w:val="SuperHeading"/>
    <w:basedOn w:val="Normal"/>
    <w:rsid w:val="00AA3CEE"/>
    <w:pPr>
      <w:spacing w:before="240" w:after="120"/>
      <w:outlineLvl w:val="0"/>
    </w:pPr>
    <w:rPr>
      <w:rFonts w:ascii="Times New Roman" w:hAnsi="Times New Roman"/>
      <w:b/>
      <w:sz w:val="28"/>
    </w:rPr>
  </w:style>
  <w:style w:type="paragraph" w:customStyle="1" w:styleId="AllowPageBreak">
    <w:name w:val="AllowPageBreak"/>
    <w:rsid w:val="00AA3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CEE"/>
    <w:rPr>
      <w:rFonts w:ascii="Courier New" w:eastAsia="Times New Roman" w:hAnsi="Courier New" w:cs="Times New Roman"/>
      <w:i/>
      <w:szCs w:val="20"/>
      <w:lang w:eastAsia="en-US"/>
    </w:rPr>
  </w:style>
  <w:style w:type="paragraph" w:customStyle="1" w:styleId="HeadingBase">
    <w:name w:val="Heading Base"/>
    <w:rsid w:val="00AA3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CEE"/>
    <w:pPr>
      <w:tabs>
        <w:tab w:val="right" w:leader="dot" w:pos="9072"/>
      </w:tabs>
      <w:ind w:left="567"/>
    </w:pPr>
    <w:rPr>
      <w:szCs w:val="22"/>
    </w:rPr>
  </w:style>
  <w:style w:type="paragraph" w:customStyle="1" w:styleId="TOCBase">
    <w:name w:val="TOC Base"/>
    <w:rsid w:val="00AA3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CEE"/>
    <w:pPr>
      <w:tabs>
        <w:tab w:val="right" w:leader="dot" w:pos="9072"/>
      </w:tabs>
      <w:spacing w:before="40" w:after="40"/>
      <w:ind w:left="284"/>
    </w:pPr>
    <w:rPr>
      <w:rFonts w:ascii="Times New Roman" w:hAnsi="Times New Roman"/>
    </w:rPr>
  </w:style>
  <w:style w:type="paragraph" w:styleId="TOC1">
    <w:name w:val="toc 1"/>
    <w:basedOn w:val="TOCBase"/>
    <w:next w:val="Normal"/>
    <w:rsid w:val="00AA3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CEE"/>
    <w:pPr>
      <w:spacing w:before="5040"/>
      <w:jc w:val="center"/>
    </w:pPr>
    <w:rPr>
      <w:sz w:val="48"/>
      <w:szCs w:val="72"/>
      <w:lang w:val="en-US"/>
    </w:rPr>
  </w:style>
  <w:style w:type="character" w:customStyle="1" w:styleId="TitleChar">
    <w:name w:val="Title Char"/>
    <w:basedOn w:val="DefaultParagraphFont"/>
    <w:link w:val="Title"/>
    <w:rsid w:val="00AA3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CEE"/>
    <w:pPr>
      <w:tabs>
        <w:tab w:val="left" w:pos="3600"/>
        <w:tab w:val="left" w:pos="3958"/>
      </w:tabs>
    </w:pPr>
  </w:style>
  <w:style w:type="paragraph" w:styleId="List">
    <w:name w:val="List"/>
    <w:basedOn w:val="BodyText"/>
    <w:next w:val="BodyText"/>
    <w:rsid w:val="00AA3CEE"/>
    <w:pPr>
      <w:tabs>
        <w:tab w:val="left" w:pos="340"/>
      </w:tabs>
      <w:spacing w:before="60" w:after="60"/>
      <w:ind w:left="340" w:hanging="340"/>
    </w:pPr>
  </w:style>
  <w:style w:type="paragraph" w:customStyle="1" w:styleId="Note">
    <w:name w:val="Note"/>
    <w:basedOn w:val="BodyText"/>
    <w:rsid w:val="00AA3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CEE"/>
    <w:pPr>
      <w:framePr w:wrap="auto" w:hAnchor="text" w:y="6049"/>
    </w:pPr>
    <w:rPr>
      <w:color w:val="000000"/>
      <w:sz w:val="40"/>
    </w:rPr>
  </w:style>
  <w:style w:type="paragraph" w:customStyle="1" w:styleId="TOCTitle">
    <w:name w:val="TOCTitle"/>
    <w:basedOn w:val="Heading1"/>
    <w:rsid w:val="00AA3CEE"/>
    <w:pPr>
      <w:spacing w:after="240"/>
      <w:jc w:val="center"/>
      <w:outlineLvl w:val="9"/>
    </w:pPr>
    <w:rPr>
      <w:caps/>
    </w:rPr>
  </w:style>
  <w:style w:type="paragraph" w:customStyle="1" w:styleId="Version">
    <w:name w:val="Version"/>
    <w:rsid w:val="00AA3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CEE"/>
    <w:pPr>
      <w:keepNext w:val="0"/>
      <w:tabs>
        <w:tab w:val="right" w:pos="4176"/>
      </w:tabs>
      <w:ind w:left="198" w:hanging="198"/>
    </w:pPr>
    <w:rPr>
      <w:rFonts w:ascii="Garamond" w:hAnsi="Garamond"/>
    </w:rPr>
  </w:style>
  <w:style w:type="paragraph" w:styleId="IndexHeading">
    <w:name w:val="index heading"/>
    <w:basedOn w:val="Normal"/>
    <w:next w:val="Index1"/>
    <w:semiHidden/>
    <w:rsid w:val="00AA3CEE"/>
    <w:pPr>
      <w:spacing w:before="120" w:after="120"/>
    </w:pPr>
    <w:rPr>
      <w:rFonts w:ascii="Arial" w:hAnsi="Arial"/>
      <w:b/>
      <w:color w:val="918585"/>
      <w:sz w:val="24"/>
    </w:rPr>
  </w:style>
  <w:style w:type="paragraph" w:styleId="Header">
    <w:name w:val="header"/>
    <w:basedOn w:val="Normal"/>
    <w:link w:val="HeaderChar"/>
    <w:rsid w:val="00AA3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CEE"/>
    <w:rPr>
      <w:rFonts w:ascii="Times New Roman" w:eastAsia="Times New Roman" w:hAnsi="Times New Roman" w:cs="Times New Roman"/>
      <w:sz w:val="16"/>
      <w:szCs w:val="20"/>
      <w:lang w:val="en-GB" w:eastAsia="en-US"/>
    </w:rPr>
  </w:style>
  <w:style w:type="paragraph" w:customStyle="1" w:styleId="Chapter">
    <w:name w:val="Chapter"/>
    <w:basedOn w:val="Normal"/>
    <w:rsid w:val="00AA3CEE"/>
    <w:pPr>
      <w:spacing w:before="240"/>
    </w:pPr>
    <w:rPr>
      <w:rFonts w:ascii="Times New Roman" w:hAnsi="Times New Roman"/>
      <w:smallCaps/>
      <w:spacing w:val="80"/>
      <w:sz w:val="28"/>
    </w:rPr>
  </w:style>
  <w:style w:type="paragraph" w:customStyle="1" w:styleId="InChapter">
    <w:name w:val="InChapter"/>
    <w:basedOn w:val="Heading3"/>
    <w:rsid w:val="00AA3CEE"/>
    <w:pPr>
      <w:spacing w:after="240"/>
      <w:outlineLvl w:val="9"/>
    </w:pPr>
    <w:rPr>
      <w:noProof/>
    </w:rPr>
  </w:style>
  <w:style w:type="paragraph" w:styleId="Index2">
    <w:name w:val="index 2"/>
    <w:basedOn w:val="Normal"/>
    <w:next w:val="Normal"/>
    <w:semiHidden/>
    <w:rsid w:val="00AA3CEE"/>
    <w:pPr>
      <w:tabs>
        <w:tab w:val="right" w:pos="4176"/>
      </w:tabs>
      <w:ind w:left="568" w:hanging="284"/>
    </w:pPr>
    <w:rPr>
      <w:rFonts w:ascii="Garamond" w:hAnsi="Garamond"/>
    </w:rPr>
  </w:style>
  <w:style w:type="paragraph" w:customStyle="1" w:styleId="Byline">
    <w:name w:val="Byline"/>
    <w:rsid w:val="00AA3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CEE"/>
    <w:pPr>
      <w:tabs>
        <w:tab w:val="clear" w:pos="3600"/>
        <w:tab w:val="clear" w:pos="3958"/>
      </w:tabs>
      <w:jc w:val="right"/>
    </w:pPr>
  </w:style>
  <w:style w:type="character" w:styleId="Emphasis">
    <w:name w:val="Emphasis"/>
    <w:basedOn w:val="DefaultParagraphFont"/>
    <w:qFormat/>
    <w:rsid w:val="00AA3CEE"/>
    <w:rPr>
      <w:i/>
    </w:rPr>
  </w:style>
  <w:style w:type="paragraph" w:styleId="Caption">
    <w:name w:val="caption"/>
    <w:basedOn w:val="BodyText"/>
    <w:next w:val="Normal"/>
    <w:qFormat/>
    <w:rsid w:val="00AA3CEE"/>
    <w:pPr>
      <w:framePr w:w="2268" w:hSpace="181" w:vSpace="181" w:wrap="around" w:vAnchor="text" w:hAnchor="page" w:x="1135" w:y="285" w:anchorLock="1"/>
    </w:pPr>
    <w:rPr>
      <w:i/>
    </w:rPr>
  </w:style>
  <w:style w:type="paragraph" w:customStyle="1" w:styleId="MiniTOCTitle">
    <w:name w:val="MiniTOCTitle"/>
    <w:basedOn w:val="Heading4"/>
    <w:rsid w:val="00AA3CEE"/>
    <w:pPr>
      <w:spacing w:before="240"/>
      <w:outlineLvl w:val="9"/>
    </w:pPr>
    <w:rPr>
      <w:noProof/>
      <w:sz w:val="24"/>
    </w:rPr>
  </w:style>
  <w:style w:type="paragraph" w:customStyle="1" w:styleId="MiniTOCItem">
    <w:name w:val="MiniTOCItem"/>
    <w:basedOn w:val="ListBullet"/>
    <w:rsid w:val="00AA3CEE"/>
    <w:pPr>
      <w:numPr>
        <w:numId w:val="0"/>
      </w:numPr>
      <w:tabs>
        <w:tab w:val="right" w:leader="dot" w:pos="6521"/>
      </w:tabs>
      <w:spacing w:before="0" w:after="0"/>
    </w:pPr>
  </w:style>
  <w:style w:type="paragraph" w:customStyle="1" w:styleId="TOFTitle">
    <w:name w:val="TOFTitle"/>
    <w:basedOn w:val="TOCTitle"/>
    <w:rsid w:val="00AA3CEE"/>
  </w:style>
  <w:style w:type="paragraph" w:styleId="TableofFigures">
    <w:name w:val="table of figures"/>
    <w:basedOn w:val="Normal"/>
    <w:next w:val="Normal"/>
    <w:semiHidden/>
    <w:rsid w:val="00AA3CEE"/>
    <w:pPr>
      <w:tabs>
        <w:tab w:val="right" w:leader="dot" w:pos="9072"/>
      </w:tabs>
      <w:ind w:left="970" w:hanging="403"/>
    </w:pPr>
    <w:rPr>
      <w:rFonts w:ascii="Times New Roman" w:hAnsi="Times New Roman"/>
      <w:b/>
    </w:rPr>
  </w:style>
  <w:style w:type="paragraph" w:styleId="ListNumber">
    <w:name w:val="List Number"/>
    <w:basedOn w:val="List"/>
    <w:rsid w:val="00AA3CEE"/>
    <w:pPr>
      <w:numPr>
        <w:numId w:val="11"/>
      </w:numPr>
    </w:pPr>
  </w:style>
  <w:style w:type="character" w:customStyle="1" w:styleId="WingdingSymbols">
    <w:name w:val="Wingding Symbols"/>
    <w:rsid w:val="00AA3CEE"/>
    <w:rPr>
      <w:rFonts w:ascii="Wingdings" w:hAnsi="Wingdings"/>
    </w:rPr>
  </w:style>
  <w:style w:type="paragraph" w:customStyle="1" w:styleId="TableHeading">
    <w:name w:val="Table Heading"/>
    <w:basedOn w:val="HeadingBase"/>
    <w:rsid w:val="00AA3CEE"/>
    <w:pPr>
      <w:keepLines/>
      <w:pBdr>
        <w:bottom w:val="single" w:sz="6" w:space="1" w:color="918585"/>
      </w:pBdr>
      <w:spacing w:before="240"/>
    </w:pPr>
  </w:style>
  <w:style w:type="character" w:customStyle="1" w:styleId="HotSpot">
    <w:name w:val="HotSpot"/>
    <w:rsid w:val="00AA3CEE"/>
    <w:rPr>
      <w:color w:val="0033CC"/>
      <w:u w:val="none"/>
    </w:rPr>
  </w:style>
  <w:style w:type="paragraph" w:customStyle="1" w:styleId="BodyTextRight">
    <w:name w:val="Body Text Right"/>
    <w:basedOn w:val="BodyText"/>
    <w:rsid w:val="00AA3CEE"/>
    <w:pPr>
      <w:spacing w:before="0" w:after="0"/>
      <w:jc w:val="right"/>
    </w:pPr>
  </w:style>
  <w:style w:type="paragraph" w:styleId="Index3">
    <w:name w:val="index 3"/>
    <w:basedOn w:val="ListNumber2"/>
    <w:next w:val="Normal"/>
    <w:semiHidden/>
    <w:rsid w:val="00AA3CEE"/>
    <w:pPr>
      <w:numPr>
        <w:numId w:val="0"/>
      </w:numPr>
      <w:tabs>
        <w:tab w:val="right" w:leader="dot" w:pos="4176"/>
      </w:tabs>
    </w:pPr>
  </w:style>
  <w:style w:type="paragraph" w:styleId="ListNumber2">
    <w:name w:val="List Number 2"/>
    <w:basedOn w:val="List2"/>
    <w:rsid w:val="00AA3CEE"/>
    <w:pPr>
      <w:numPr>
        <w:numId w:val="10"/>
      </w:numPr>
      <w:tabs>
        <w:tab w:val="clear" w:pos="1060"/>
      </w:tabs>
    </w:pPr>
  </w:style>
  <w:style w:type="paragraph" w:customStyle="1" w:styleId="MarginNote">
    <w:name w:val="Margin Note"/>
    <w:basedOn w:val="BodyText"/>
    <w:rsid w:val="00AA3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CEE"/>
    <w:rPr>
      <w:sz w:val="32"/>
    </w:rPr>
  </w:style>
  <w:style w:type="paragraph" w:customStyle="1" w:styleId="HeadingProcedure">
    <w:name w:val="Heading Procedure"/>
    <w:basedOn w:val="HeadingBase"/>
    <w:next w:val="Normal"/>
    <w:rsid w:val="00AA3CEE"/>
    <w:pPr>
      <w:tabs>
        <w:tab w:val="left" w:pos="0"/>
      </w:tabs>
      <w:spacing w:before="120" w:after="60"/>
    </w:pPr>
    <w:rPr>
      <w:i/>
      <w:color w:val="918585"/>
      <w:sz w:val="22"/>
    </w:rPr>
  </w:style>
  <w:style w:type="paragraph" w:customStyle="1" w:styleId="TableBodyText">
    <w:name w:val="Table Body Text"/>
    <w:basedOn w:val="BodyText"/>
    <w:rsid w:val="00AA3CEE"/>
    <w:pPr>
      <w:spacing w:before="60" w:after="60"/>
    </w:pPr>
  </w:style>
  <w:style w:type="paragraph" w:styleId="ListContinue">
    <w:name w:val="List Continue"/>
    <w:basedOn w:val="List"/>
    <w:rsid w:val="00AA3CEE"/>
    <w:pPr>
      <w:ind w:firstLine="0"/>
    </w:pPr>
  </w:style>
  <w:style w:type="paragraph" w:customStyle="1" w:styleId="ListNote">
    <w:name w:val="List Note"/>
    <w:basedOn w:val="List"/>
    <w:rsid w:val="00AA3CEE"/>
    <w:pPr>
      <w:pBdr>
        <w:top w:val="single" w:sz="6" w:space="2" w:color="918585"/>
        <w:bottom w:val="single" w:sz="6" w:space="2" w:color="918585"/>
      </w:pBdr>
      <w:tabs>
        <w:tab w:val="left" w:pos="1021"/>
      </w:tabs>
      <w:ind w:firstLine="0"/>
    </w:pPr>
  </w:style>
  <w:style w:type="paragraph" w:customStyle="1" w:styleId="Warning">
    <w:name w:val="Warning"/>
    <w:basedOn w:val="BodyText"/>
    <w:rsid w:val="00AA3CEE"/>
    <w:pPr>
      <w:shd w:val="clear" w:color="auto" w:fill="D9D9D9"/>
      <w:tabs>
        <w:tab w:val="left" w:pos="992"/>
      </w:tabs>
      <w:ind w:left="119" w:right="119"/>
    </w:pPr>
    <w:rPr>
      <w:sz w:val="20"/>
    </w:rPr>
  </w:style>
  <w:style w:type="paragraph" w:customStyle="1" w:styleId="MarginIcons">
    <w:name w:val="Margin Icons"/>
    <w:basedOn w:val="BodyText"/>
    <w:rsid w:val="00AA3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CEE"/>
    <w:rPr>
      <w:rFonts w:ascii="Courier New" w:hAnsi="Courier New"/>
    </w:rPr>
  </w:style>
  <w:style w:type="paragraph" w:customStyle="1" w:styleId="NoteBullet">
    <w:name w:val="Note Bullet"/>
    <w:basedOn w:val="Note"/>
    <w:rsid w:val="00AA3CEE"/>
    <w:pPr>
      <w:tabs>
        <w:tab w:val="clear" w:pos="680"/>
      </w:tabs>
      <w:spacing w:before="60" w:after="60"/>
    </w:pPr>
  </w:style>
  <w:style w:type="paragraph" w:customStyle="1" w:styleId="SubHeading2">
    <w:name w:val="SubHeading2"/>
    <w:basedOn w:val="HeadingBase"/>
    <w:rsid w:val="00AA3CEE"/>
    <w:pPr>
      <w:spacing w:before="240" w:after="60"/>
    </w:pPr>
    <w:rPr>
      <w:sz w:val="20"/>
    </w:rPr>
  </w:style>
  <w:style w:type="paragraph" w:customStyle="1" w:styleId="SubHeading1">
    <w:name w:val="SubHeading1"/>
    <w:basedOn w:val="HeadingBase"/>
    <w:rsid w:val="00AA3CEE"/>
    <w:pPr>
      <w:spacing w:before="240" w:after="60"/>
    </w:pPr>
    <w:rPr>
      <w:color w:val="918585"/>
      <w:sz w:val="22"/>
    </w:rPr>
  </w:style>
  <w:style w:type="paragraph" w:customStyle="1" w:styleId="SideHeading">
    <w:name w:val="Side Heading"/>
    <w:basedOn w:val="HeadingBase"/>
    <w:rsid w:val="00AA3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CEE"/>
    <w:pPr>
      <w:numPr>
        <w:numId w:val="12"/>
      </w:numPr>
    </w:pPr>
  </w:style>
  <w:style w:type="paragraph" w:styleId="PlainText">
    <w:name w:val="Plain Text"/>
    <w:basedOn w:val="Normal"/>
    <w:link w:val="PlainTextChar"/>
    <w:rsid w:val="00AA3CEE"/>
    <w:rPr>
      <w:sz w:val="20"/>
    </w:rPr>
  </w:style>
  <w:style w:type="character" w:customStyle="1" w:styleId="PlainTextChar">
    <w:name w:val="Plain Text Char"/>
    <w:basedOn w:val="DefaultParagraphFont"/>
    <w:link w:val="PlainText"/>
    <w:rsid w:val="00AA3CEE"/>
    <w:rPr>
      <w:rFonts w:ascii="Courier New" w:eastAsia="Times New Roman" w:hAnsi="Courier New" w:cs="Times New Roman"/>
      <w:sz w:val="20"/>
      <w:szCs w:val="20"/>
      <w:lang w:eastAsia="en-US"/>
    </w:rPr>
  </w:style>
  <w:style w:type="character" w:customStyle="1" w:styleId="MenuOption">
    <w:name w:val="Menu Option"/>
    <w:basedOn w:val="DefaultParagraphFont"/>
    <w:rsid w:val="00AA3CEE"/>
    <w:rPr>
      <w:b/>
      <w:smallCaps/>
    </w:rPr>
  </w:style>
  <w:style w:type="paragraph" w:customStyle="1" w:styleId="TableListNumber">
    <w:name w:val="Table List Number"/>
    <w:basedOn w:val="ListNumber"/>
    <w:rsid w:val="00AA3CEE"/>
    <w:pPr>
      <w:numPr>
        <w:numId w:val="0"/>
      </w:numPr>
    </w:pPr>
  </w:style>
  <w:style w:type="paragraph" w:styleId="TOC4">
    <w:name w:val="toc 4"/>
    <w:basedOn w:val="TOCBase"/>
    <w:next w:val="Normal"/>
    <w:semiHidden/>
    <w:rsid w:val="00AA3CEE"/>
    <w:pPr>
      <w:tabs>
        <w:tab w:val="right" w:leader="dot" w:pos="9071"/>
      </w:tabs>
      <w:ind w:left="1701"/>
    </w:pPr>
  </w:style>
  <w:style w:type="paragraph" w:customStyle="1" w:styleId="ListAlpha">
    <w:name w:val="List Alpha"/>
    <w:basedOn w:val="List"/>
    <w:rsid w:val="00AA3CEE"/>
    <w:pPr>
      <w:numPr>
        <w:numId w:val="9"/>
      </w:numPr>
    </w:pPr>
  </w:style>
  <w:style w:type="paragraph" w:customStyle="1" w:styleId="ListAlpha2">
    <w:name w:val="List Alpha 2"/>
    <w:basedOn w:val="List2"/>
    <w:rsid w:val="00AA3CEE"/>
    <w:pPr>
      <w:numPr>
        <w:numId w:val="8"/>
      </w:numPr>
    </w:pPr>
  </w:style>
  <w:style w:type="paragraph" w:styleId="List2">
    <w:name w:val="List 2"/>
    <w:basedOn w:val="BodyText"/>
    <w:rsid w:val="00AA3CEE"/>
    <w:pPr>
      <w:tabs>
        <w:tab w:val="left" w:pos="680"/>
      </w:tabs>
      <w:spacing w:before="60" w:after="60"/>
      <w:ind w:left="680" w:hanging="340"/>
    </w:pPr>
  </w:style>
  <w:style w:type="paragraph" w:styleId="List3">
    <w:name w:val="List 3"/>
    <w:basedOn w:val="BodyText"/>
    <w:rsid w:val="00AA3CEE"/>
    <w:pPr>
      <w:tabs>
        <w:tab w:val="left" w:pos="1021"/>
      </w:tabs>
      <w:spacing w:before="60" w:after="60"/>
      <w:ind w:left="1020" w:hanging="340"/>
    </w:pPr>
  </w:style>
  <w:style w:type="paragraph" w:styleId="List4">
    <w:name w:val="List 4"/>
    <w:basedOn w:val="BodyText"/>
    <w:rsid w:val="00AA3CEE"/>
    <w:pPr>
      <w:tabs>
        <w:tab w:val="left" w:pos="1361"/>
      </w:tabs>
      <w:spacing w:before="60" w:after="60"/>
      <w:ind w:left="1361" w:hanging="340"/>
    </w:pPr>
  </w:style>
  <w:style w:type="paragraph" w:styleId="List5">
    <w:name w:val="List 5"/>
    <w:basedOn w:val="BodyText"/>
    <w:rsid w:val="00AA3CEE"/>
    <w:pPr>
      <w:tabs>
        <w:tab w:val="left" w:pos="1701"/>
      </w:tabs>
      <w:spacing w:before="60" w:after="60"/>
      <w:ind w:left="1701" w:hanging="340"/>
    </w:pPr>
  </w:style>
  <w:style w:type="paragraph" w:styleId="ListBullet3">
    <w:name w:val="List Bullet 3"/>
    <w:basedOn w:val="List3"/>
    <w:rsid w:val="00AA3CEE"/>
    <w:pPr>
      <w:numPr>
        <w:numId w:val="15"/>
      </w:numPr>
      <w:tabs>
        <w:tab w:val="clear" w:pos="1021"/>
      </w:tabs>
      <w:ind w:left="1037" w:hanging="357"/>
    </w:pPr>
  </w:style>
  <w:style w:type="paragraph" w:styleId="ListBullet4">
    <w:name w:val="List Bullet 4"/>
    <w:basedOn w:val="List4"/>
    <w:rsid w:val="00AA3CEE"/>
    <w:pPr>
      <w:numPr>
        <w:numId w:val="3"/>
      </w:numPr>
    </w:pPr>
  </w:style>
  <w:style w:type="paragraph" w:styleId="ListBullet5">
    <w:name w:val="List Bullet 5"/>
    <w:basedOn w:val="List5"/>
    <w:rsid w:val="00AA3CEE"/>
    <w:pPr>
      <w:numPr>
        <w:numId w:val="4"/>
      </w:numPr>
    </w:pPr>
  </w:style>
  <w:style w:type="paragraph" w:styleId="ListContinue2">
    <w:name w:val="List Continue 2"/>
    <w:basedOn w:val="List2"/>
    <w:rsid w:val="00AA3CEE"/>
    <w:pPr>
      <w:ind w:firstLine="0"/>
    </w:pPr>
  </w:style>
  <w:style w:type="paragraph" w:styleId="ListContinue3">
    <w:name w:val="List Continue 3"/>
    <w:basedOn w:val="List3"/>
    <w:rsid w:val="00AA3CEE"/>
    <w:pPr>
      <w:ind w:left="1021" w:firstLine="0"/>
    </w:pPr>
  </w:style>
  <w:style w:type="paragraph" w:styleId="ListContinue4">
    <w:name w:val="List Continue 4"/>
    <w:basedOn w:val="List4"/>
    <w:rsid w:val="00AA3CEE"/>
    <w:pPr>
      <w:ind w:firstLine="0"/>
    </w:pPr>
  </w:style>
  <w:style w:type="paragraph" w:styleId="ListContinue5">
    <w:name w:val="List Continue 5"/>
    <w:basedOn w:val="List5"/>
    <w:rsid w:val="00AA3CEE"/>
    <w:pPr>
      <w:ind w:firstLine="0"/>
    </w:pPr>
  </w:style>
  <w:style w:type="paragraph" w:styleId="ListNumber3">
    <w:name w:val="List Number 3"/>
    <w:basedOn w:val="List3"/>
    <w:rsid w:val="00AA3CEE"/>
    <w:pPr>
      <w:numPr>
        <w:numId w:val="5"/>
      </w:numPr>
    </w:pPr>
  </w:style>
  <w:style w:type="paragraph" w:styleId="ListNumber4">
    <w:name w:val="List Number 4"/>
    <w:basedOn w:val="List4"/>
    <w:rsid w:val="00AA3CEE"/>
    <w:pPr>
      <w:numPr>
        <w:numId w:val="6"/>
      </w:numPr>
    </w:pPr>
  </w:style>
  <w:style w:type="paragraph" w:styleId="ListNumber5">
    <w:name w:val="List Number 5"/>
    <w:basedOn w:val="List5"/>
    <w:rsid w:val="00AA3CEE"/>
    <w:pPr>
      <w:numPr>
        <w:numId w:val="7"/>
      </w:numPr>
    </w:pPr>
  </w:style>
  <w:style w:type="paragraph" w:styleId="BlockText">
    <w:name w:val="Block Text"/>
    <w:basedOn w:val="Normal"/>
    <w:rsid w:val="00AA3CEE"/>
    <w:pPr>
      <w:spacing w:after="120"/>
      <w:ind w:left="1440" w:right="1440"/>
    </w:pPr>
  </w:style>
  <w:style w:type="character" w:customStyle="1" w:styleId="Subscript">
    <w:name w:val="Subscript"/>
    <w:basedOn w:val="DefaultParagraphFont"/>
    <w:rsid w:val="00AA3CEE"/>
    <w:rPr>
      <w:sz w:val="16"/>
      <w:vertAlign w:val="subscript"/>
    </w:rPr>
  </w:style>
  <w:style w:type="character" w:customStyle="1" w:styleId="Superscript">
    <w:name w:val="Superscript"/>
    <w:basedOn w:val="DefaultParagraphFont"/>
    <w:rsid w:val="00AA3CEE"/>
    <w:rPr>
      <w:sz w:val="16"/>
      <w:vertAlign w:val="superscript"/>
    </w:rPr>
  </w:style>
  <w:style w:type="character" w:customStyle="1" w:styleId="Symbols">
    <w:name w:val="Symbols"/>
    <w:basedOn w:val="DefaultParagraphFont"/>
    <w:rsid w:val="00AA3CEE"/>
    <w:rPr>
      <w:rFonts w:ascii="Symbol" w:hAnsi="Symbol"/>
    </w:rPr>
  </w:style>
  <w:style w:type="character" w:customStyle="1" w:styleId="MenuOptions">
    <w:name w:val="Menu Options"/>
    <w:basedOn w:val="DefaultParagraphFont"/>
    <w:rsid w:val="00AA3CEE"/>
    <w:rPr>
      <w:rFonts w:ascii="Arial Narrow" w:hAnsi="Arial Narrow"/>
      <w:smallCaps/>
    </w:rPr>
  </w:style>
  <w:style w:type="character" w:customStyle="1" w:styleId="Buttons">
    <w:name w:val="Buttons"/>
    <w:basedOn w:val="DefaultParagraphFont"/>
    <w:rsid w:val="00AA3CEE"/>
    <w:rPr>
      <w:b/>
    </w:rPr>
  </w:style>
  <w:style w:type="character" w:customStyle="1" w:styleId="Underlined">
    <w:name w:val="Underlined"/>
    <w:basedOn w:val="DefaultParagraphFont"/>
    <w:rsid w:val="00AA3CEE"/>
    <w:rPr>
      <w:u w:val="single"/>
    </w:rPr>
  </w:style>
  <w:style w:type="paragraph" w:customStyle="1" w:styleId="TableBodyTextRight">
    <w:name w:val="Table Body Text Right"/>
    <w:basedOn w:val="TableBodyText"/>
    <w:rsid w:val="00AA3CEE"/>
    <w:pPr>
      <w:widowControl w:val="0"/>
      <w:autoSpaceDE w:val="0"/>
      <w:autoSpaceDN w:val="0"/>
      <w:adjustRightInd w:val="0"/>
      <w:jc w:val="right"/>
    </w:pPr>
    <w:rPr>
      <w:rFonts w:cs="Arial"/>
      <w:szCs w:val="18"/>
    </w:rPr>
  </w:style>
  <w:style w:type="paragraph" w:customStyle="1" w:styleId="CopyrightText">
    <w:name w:val="Copyright Text"/>
    <w:basedOn w:val="BodyText"/>
    <w:rsid w:val="00AA3CEE"/>
    <w:rPr>
      <w:sz w:val="18"/>
    </w:rPr>
  </w:style>
  <w:style w:type="paragraph" w:customStyle="1" w:styleId="BodySmallRight">
    <w:name w:val="Body Small Right"/>
    <w:basedOn w:val="BodyTextRight"/>
    <w:rsid w:val="00AA3CEE"/>
    <w:rPr>
      <w:sz w:val="18"/>
      <w:szCs w:val="18"/>
    </w:rPr>
  </w:style>
  <w:style w:type="paragraph" w:customStyle="1" w:styleId="MarginEdition">
    <w:name w:val="Margin Edition"/>
    <w:basedOn w:val="MarginNote"/>
    <w:rsid w:val="00AA3CEE"/>
    <w:pPr>
      <w:spacing w:before="0" w:after="0"/>
    </w:pPr>
    <w:rPr>
      <w:rFonts w:ascii="Times New Roman" w:hAnsi="Times New Roman"/>
      <w:color w:val="999999"/>
    </w:rPr>
  </w:style>
  <w:style w:type="paragraph" w:customStyle="1" w:styleId="Spacer">
    <w:name w:val="Spacer"/>
    <w:basedOn w:val="Normal"/>
    <w:rsid w:val="00AA3CEE"/>
    <w:rPr>
      <w:sz w:val="2"/>
      <w:szCs w:val="2"/>
    </w:rPr>
  </w:style>
  <w:style w:type="character" w:customStyle="1" w:styleId="Small">
    <w:name w:val="Small"/>
    <w:basedOn w:val="DefaultParagraphFont"/>
    <w:rsid w:val="00AA3CEE"/>
    <w:rPr>
      <w:sz w:val="16"/>
    </w:rPr>
  </w:style>
  <w:style w:type="paragraph" w:customStyle="1" w:styleId="WideTable">
    <w:name w:val="Wide Table"/>
    <w:basedOn w:val="Normal"/>
    <w:rsid w:val="00AA3CEE"/>
    <w:pPr>
      <w:ind w:left="-1418"/>
    </w:pPr>
    <w:rPr>
      <w:sz w:val="2"/>
      <w:szCs w:val="2"/>
    </w:rPr>
  </w:style>
  <w:style w:type="character" w:styleId="PageNumber">
    <w:name w:val="page number"/>
    <w:basedOn w:val="DefaultParagraphFont"/>
    <w:rsid w:val="00AA3CEE"/>
  </w:style>
  <w:style w:type="paragraph" w:styleId="Quote">
    <w:name w:val="Quote"/>
    <w:basedOn w:val="Heading1"/>
    <w:link w:val="QuoteChar"/>
    <w:qFormat/>
    <w:rsid w:val="00AA3CEE"/>
    <w:rPr>
      <w:b w:val="0"/>
      <w:sz w:val="72"/>
      <w:szCs w:val="72"/>
      <w:lang w:val="en-NZ"/>
    </w:rPr>
  </w:style>
  <w:style w:type="character" w:customStyle="1" w:styleId="QuoteChar">
    <w:name w:val="Quote Char"/>
    <w:basedOn w:val="DefaultParagraphFont"/>
    <w:link w:val="Quote"/>
    <w:rsid w:val="00AA3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CEE"/>
    <w:pPr>
      <w:pageBreakBefore/>
    </w:pPr>
  </w:style>
  <w:style w:type="paragraph" w:customStyle="1" w:styleId="Border">
    <w:name w:val="Border"/>
    <w:basedOn w:val="Normal"/>
    <w:qFormat/>
    <w:rsid w:val="00AA3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CEE"/>
    <w:rPr>
      <w:b/>
      <w:bCs/>
      <w:i/>
      <w:iCs/>
      <w:color w:val="auto"/>
    </w:rPr>
  </w:style>
  <w:style w:type="paragraph" w:styleId="IntenseQuote">
    <w:name w:val="Intense Quote"/>
    <w:basedOn w:val="Normal"/>
    <w:next w:val="Normal"/>
    <w:link w:val="IntenseQuoteChar"/>
    <w:uiPriority w:val="30"/>
    <w:qFormat/>
    <w:rsid w:val="00AA3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CEE"/>
    <w:rPr>
      <w:smallCaps/>
      <w:color w:val="auto"/>
      <w:u w:val="single"/>
    </w:rPr>
  </w:style>
  <w:style w:type="character" w:styleId="IntenseReference">
    <w:name w:val="Intense Reference"/>
    <w:basedOn w:val="DefaultParagraphFont"/>
    <w:uiPriority w:val="32"/>
    <w:qFormat/>
    <w:rsid w:val="00AA3CEE"/>
    <w:rPr>
      <w:b/>
      <w:bCs/>
      <w:smallCaps/>
      <w:color w:val="auto"/>
      <w:spacing w:val="5"/>
      <w:u w:val="single"/>
    </w:rPr>
  </w:style>
  <w:style w:type="paragraph" w:customStyle="1" w:styleId="2ColumnHeading">
    <w:name w:val="2Column Heading"/>
    <w:basedOn w:val="BodyText"/>
    <w:qFormat/>
    <w:rsid w:val="00AA3CEE"/>
    <w:pPr>
      <w:spacing w:after="60"/>
      <w:ind w:left="-2268"/>
    </w:pPr>
    <w:rPr>
      <w:b/>
    </w:rPr>
  </w:style>
  <w:style w:type="paragraph" w:customStyle="1" w:styleId="Heading1TOC">
    <w:name w:val="Heading1 TOC"/>
    <w:basedOn w:val="Normal"/>
    <w:qFormat/>
    <w:rsid w:val="00AA3CEE"/>
    <w:pPr>
      <w:spacing w:before="240" w:after="120"/>
    </w:pPr>
    <w:rPr>
      <w:rFonts w:ascii="Times New Roman" w:hAnsi="Times New Roman"/>
      <w:b/>
      <w:sz w:val="32"/>
    </w:rPr>
  </w:style>
  <w:style w:type="paragraph" w:customStyle="1" w:styleId="Heading2TOC">
    <w:name w:val="Heading2 TOC"/>
    <w:basedOn w:val="Normal"/>
    <w:qFormat/>
    <w:rsid w:val="00AA3CEE"/>
    <w:pPr>
      <w:spacing w:before="240" w:after="60"/>
    </w:pPr>
    <w:rPr>
      <w:rFonts w:ascii="Times New Roman" w:hAnsi="Times New Roman"/>
      <w:b/>
      <w:sz w:val="28"/>
    </w:rPr>
  </w:style>
  <w:style w:type="character" w:customStyle="1" w:styleId="Underline">
    <w:name w:val="Underline"/>
    <w:basedOn w:val="DefaultParagraphFont"/>
    <w:qFormat/>
    <w:rsid w:val="00AA3CEE"/>
    <w:rPr>
      <w:u w:val="single"/>
    </w:rPr>
  </w:style>
  <w:style w:type="character" w:customStyle="1" w:styleId="BoldandItalics">
    <w:name w:val="Bold and Italics"/>
    <w:qFormat/>
    <w:rsid w:val="00AA3CEE"/>
    <w:rPr>
      <w:b/>
      <w:i/>
      <w:u w:val="none"/>
    </w:rPr>
  </w:style>
  <w:style w:type="paragraph" w:styleId="BalloonText">
    <w:name w:val="Balloon Text"/>
    <w:basedOn w:val="Normal"/>
    <w:link w:val="BalloonTextChar"/>
    <w:rsid w:val="00AA3CEE"/>
    <w:rPr>
      <w:rFonts w:ascii="Tahoma" w:hAnsi="Tahoma" w:cs="Tahoma"/>
      <w:sz w:val="16"/>
      <w:szCs w:val="16"/>
    </w:rPr>
  </w:style>
  <w:style w:type="character" w:customStyle="1" w:styleId="BalloonTextChar">
    <w:name w:val="Balloon Text Char"/>
    <w:basedOn w:val="DefaultParagraphFont"/>
    <w:link w:val="BalloonText"/>
    <w:rsid w:val="00AA3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C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CEE"/>
    <w:rPr>
      <w:b/>
      <w:color w:val="660033"/>
      <w:spacing w:val="0"/>
    </w:rPr>
  </w:style>
  <w:style w:type="paragraph" w:customStyle="1" w:styleId="Nameditemlist">
    <w:name w:val="Named item list"/>
    <w:basedOn w:val="BodyText"/>
    <w:qFormat/>
    <w:rsid w:val="00AA3C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2634</Words>
  <Characters>16342</Characters>
  <Application>Microsoft Office Word</Application>
  <DocSecurity>0</DocSecurity>
  <Lines>627</Lines>
  <Paragraphs>270</Paragraphs>
  <ScaleCrop>false</ScaleCrop>
  <Company>Author-it Software Corporation Ltd.</Company>
  <LinksUpToDate>false</LinksUpToDate>
  <CharactersWithSpaces>18779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UETTDRIS73A Develop engineering solutions for energy supply power transformer problems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2012-10-11T17:38:00Z</dcterms:created>
  <dcterms:modified xsi:type="dcterms:W3CDTF">2012-10-11T17:38:00Z</dcterms:modified>
</cp:coreProperties>
</file>