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7D4" w:rsidP="00B757D4">
      <w:pPr>
        <w:pStyle w:val="Title"/>
      </w:pPr>
      <w:r>
        <w:fldChar w:fldCharType="begin"/>
      </w:r>
      <w:r>
        <w:instrText xml:space="preserve"> TITLE   \* MERGEFORMAT </w:instrText>
      </w:r>
      <w:r>
        <w:fldChar w:fldCharType="separate"/>
      </w:r>
      <w:r>
        <w:t>UETTDRIS72A Diagnose and rectify faults in distributed generation systems</w:t>
      </w:r>
      <w:r>
        <w:fldChar w:fldCharType="end"/>
      </w:r>
    </w:p>
    <w:p w:rsidR="00B757D4" w:rsidP="00B757D4">
      <w:pPr>
        <w:pStyle w:val="Version"/>
        <w:sectPr w:rsidSect="00A67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811" w:rsidP="00A67811">
      <w:pPr>
        <w:pStyle w:val="SuperHeading"/>
      </w:pPr>
      <w:r w:rsidRPr="00A67811">
        <w:t>UETTDRIS72A Diagnose and rectify faults in distributed generation systems</w:t>
      </w:r>
    </w:p>
    <w:p w:rsidR="00000000" w:rsidRPr="00A67811" w:rsidP="00A67811">
      <w:pPr>
        <w:pStyle w:val="Heading1"/>
      </w:pPr>
      <w:bookmarkStart w:id="1" w:name="O_463191"/>
      <w:bookmarkEnd w:id="1"/>
      <w:r w:rsidRPr="00A67811">
        <w:t>Modification History</w:t>
      </w:r>
    </w:p>
    <w:p w:rsidR="00000000" w:rsidRPr="00A67811" w:rsidP="00A67811">
      <w:pPr>
        <w:pStyle w:val="BodyText"/>
      </w:pPr>
      <w:r w:rsidRPr="00A67811">
        <w:t>Not applicable.</w:t>
      </w:r>
    </w:p>
    <w:p w:rsidR="00000000" w:rsidRPr="00A67811" w:rsidP="00A67811">
      <w:pPr>
        <w:pStyle w:val="AllowPageBreak"/>
      </w:pPr>
    </w:p>
    <w:p w:rsidR="00000000" w:rsidRPr="00A67811" w:rsidP="00A67811">
      <w:pPr>
        <w:pStyle w:val="Heading1"/>
      </w:pPr>
      <w:bookmarkStart w:id="2" w:name="O_463189"/>
      <w:bookmarkEnd w:id="2"/>
      <w:r w:rsidRPr="00A67811">
        <w:t>Unit Descriptor</w:t>
      </w:r>
    </w:p>
    <w:tbl>
      <w:tblPr>
        <w:tblW w:w="0" w:type="auto"/>
        <w:tblLayout w:type="fixed"/>
        <w:tblCellMar>
          <w:left w:w="62" w:type="dxa"/>
          <w:right w:w="62" w:type="dxa"/>
        </w:tblCellMar>
        <w:tblLook w:val="0000"/>
      </w:tblPr>
      <w:tblGrid>
        <w:gridCol w:w="2700"/>
        <w:gridCol w:w="5760"/>
      </w:tblGrid>
      <w:tr w:rsidTr="00B75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1)</w:t>
            </w:r>
            <w:r w:rsidRPr="00A67811">
              <w:t xml:space="preserve"> </w:t>
            </w:r>
            <w:r w:rsidRPr="00A67811">
              <w:rPr>
                <w:rStyle w:val="SpecialBold"/>
              </w:rPr>
              <w:t>Scope:</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78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1.1) Descriptor</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This unit covers diagnosing and rectifying faults in distributed generation systems. The unit encompasses safe working practices, interpreting diagrams and technical data, applying knowledge of energy supply and reticulation systems to logical fault findin</w:t>
            </w:r>
            <w:r w:rsidRPr="00A67811">
              <w:t>g processes, implementing fault rectification, safety and functional testing and reporting work activities and outcomes.</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3" w:name="O_463178"/>
      <w:bookmarkEnd w:id="3"/>
      <w:r w:rsidRPr="00A67811">
        <w:t>Application of the Unit</w:t>
      </w:r>
    </w:p>
    <w:tbl>
      <w:tblPr>
        <w:tblW w:w="0" w:type="auto"/>
        <w:tblLayout w:type="fixed"/>
        <w:tblCellMar>
          <w:left w:w="62" w:type="dxa"/>
          <w:right w:w="62" w:type="dxa"/>
        </w:tblCellMar>
        <w:tblLook w:val="0000"/>
      </w:tblPr>
      <w:tblGrid>
        <w:gridCol w:w="2672"/>
        <w:gridCol w:w="5699"/>
      </w:tblGrid>
      <w:tr w:rsidTr="00B757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2)</w:t>
            </w:r>
          </w:p>
        </w:tc>
      </w:tr>
      <w:tr w:rsidTr="00B757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This unit is intended as an additional competency to relevant competencies previously acquired. It is suitable for employment-based programs under an approved contract of training at the aligned AQF 5 level or higher.</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4" w:name="O_463185"/>
      <w:bookmarkEnd w:id="4"/>
      <w:r w:rsidRPr="00A67811">
        <w:t>Licensing/Regulator</w:t>
      </w:r>
      <w:r w:rsidRPr="00A67811">
        <w:t>y Information</w:t>
      </w:r>
    </w:p>
    <w:tbl>
      <w:tblPr>
        <w:tblW w:w="0" w:type="auto"/>
        <w:tblLayout w:type="fixed"/>
        <w:tblCellMar>
          <w:left w:w="62" w:type="dxa"/>
          <w:right w:w="62" w:type="dxa"/>
        </w:tblCellMar>
        <w:tblLook w:val="0000"/>
      </w:tblPr>
      <w:tblGrid>
        <w:gridCol w:w="2700"/>
        <w:gridCol w:w="5760"/>
      </w:tblGrid>
      <w:tr w:rsidTr="00B75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 xml:space="preserve">3) </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The skills and knowledge described in this unit require a license to practice in the workplace where plant and equipment operate at voltage above 50 V a.c. or 120 V d.c. However other conditions may apply in some jur</w:t>
            </w:r>
            <w:r w:rsidRPr="00A67811">
              <w:t xml:space="preserve">isdictions subject to regulations related to electrical work. Practice in the workplace and during training is also subject to regulations directly related to occupational </w:t>
            </w:r>
            <w:r w:rsidRPr="00A67811">
              <w:t>health and safety and where applicable contracts of training such as apprenticeships</w:t>
            </w:r>
            <w:r w:rsidRPr="00A67811">
              <w:t>.</w:t>
            </w:r>
          </w:p>
          <w:p w:rsidR="00000000" w:rsidRPr="00A67811" w:rsidP="00A67811">
            <w:pPr>
              <w:pStyle w:val="BodyText"/>
            </w:pPr>
            <w:r w:rsidRPr="00A67811">
              <w:t>Note:</w:t>
            </w:r>
          </w:p>
          <w:p w:rsidR="00000000" w:rsidRPr="00A67811" w:rsidP="00A67811">
            <w:pPr>
              <w:pStyle w:val="BodyText"/>
            </w:pPr>
            <w:r w:rsidRPr="00A67811">
              <w:t>1. Compliance with permits may be required in various jurisdictions and typically relates to the operation of plant, machinery and equipment such as elevating work platforms, powder operated fixing tools, power operated tools, vehicles, road signag</w:t>
            </w:r>
            <w:r w:rsidRPr="00A67811">
              <w:t>e and traffic control and lifting equipment. Permits may also be required for some work environments such as confined spaces, working aloft, near live electrical apparatus and site rehabilitation.</w:t>
            </w:r>
          </w:p>
          <w:p w:rsidR="00000000" w:rsidRPr="00A67811" w:rsidP="00A67811">
            <w:pPr>
              <w:pStyle w:val="BodyText"/>
            </w:pPr>
            <w:r w:rsidRPr="00A67811">
              <w:t>2. Compliance may be required in various jurisdictions rela</w:t>
            </w:r>
            <w:r w:rsidRPr="00A67811">
              <w:t>ting to currency in First Aid, confined space, lifting and risk safety measures.</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5" w:name="O_463186"/>
      <w:bookmarkEnd w:id="5"/>
      <w:r w:rsidRPr="00A67811">
        <w:t>Pre-Requisites</w:t>
      </w:r>
    </w:p>
    <w:tbl>
      <w:tblPr>
        <w:tblW w:w="0" w:type="auto"/>
        <w:tblLayout w:type="fixed"/>
        <w:tblCellMar>
          <w:left w:w="62" w:type="dxa"/>
          <w:right w:w="62" w:type="dxa"/>
        </w:tblCellMar>
        <w:tblLook w:val="0000"/>
      </w:tblPr>
      <w:tblGrid>
        <w:gridCol w:w="2700"/>
        <w:gridCol w:w="1980"/>
        <w:gridCol w:w="3780"/>
      </w:tblGrid>
      <w:tr w:rsidTr="00B75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 xml:space="preserve">4) </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4.1)</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 xml:space="preserve">Granting of competency in this unit shall </w:t>
            </w:r>
            <w:r w:rsidRPr="00A67811">
              <w:t>be made only after competency in the following unit(s) has/have been confirmed.</w:t>
            </w:r>
          </w:p>
          <w:p w:rsidR="00000000" w:rsidRPr="00A67811" w:rsidP="00A67811">
            <w:pPr>
              <w:pStyle w:val="BodyText"/>
            </w:pPr>
            <w:r w:rsidRPr="00A67811">
              <w:t xml:space="preserve">Where pre-requisite pathways have been identified. All competencies in the Common Unit Group must be have been completed plus all the competencies in one (1) of the identified </w:t>
            </w:r>
            <w:r w:rsidRPr="00A67811">
              <w:t>Pathway Unit Group(s):</w:t>
            </w:r>
          </w:p>
          <w:p w:rsidR="00000000" w:rsidP="00A67811">
            <w:pPr>
              <w:pStyle w:val="BodyText"/>
              <w:rPr>
                <w:lang w:val="en-NZ"/>
              </w:rPr>
            </w:pPr>
            <w:r w:rsidRPr="00A67811">
              <w:t>Common Unit Group</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Unit Code</w:t>
            </w:r>
          </w:p>
        </w:tc>
        <w:tc>
          <w:tcPr>
            <w:tcW w:w="378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Unit Title</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Apply Occupational Health and Safety regulations, codes and practices in the workplace</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Fabricate, assemble and dismantle utilities industry components</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Solve problems in d.c. Circuits</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Fix and secure electrotechnology equipment</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Use drawings, diagrams, schedules, standards, codes and specifications</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Solve problems in electromagnetic devices and related ci</w:t>
            </w:r>
            <w:r w:rsidRPr="00A67811">
              <w:t>rcuits</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Solve problems in low voltage a.c. Circuits</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Solve problems in single and three phase low voltage machines</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Terminate cables, cords and accessories for low voltage circuits</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UETTDRIS67A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Solve problems in energy supply network equipment</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UETTDRIS68A</w:t>
            </w:r>
          </w:p>
        </w:tc>
        <w:tc>
          <w:tcPr>
            <w:tcW w:w="37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Solve problems in energy supply network protection equipment and systems</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67811">
            <w:pPr>
              <w:pStyle w:val="BodyText"/>
              <w:rPr>
                <w:lang w:val="en-NZ"/>
              </w:rPr>
            </w:pPr>
            <w:r w:rsidRPr="00A67811">
              <w:t>UETTDRIS69A</w:t>
            </w:r>
          </w:p>
        </w:tc>
        <w:tc>
          <w:tcPr>
            <w:tcW w:w="3780" w:type="dxa"/>
            <w:tcBorders>
              <w:top w:val="nil"/>
              <w:left w:val="nil"/>
              <w:bottom w:val="nil"/>
              <w:right w:val="nil"/>
            </w:tcBorders>
            <w:tcMar>
              <w:top w:w="0" w:type="dxa"/>
              <w:left w:w="62" w:type="dxa"/>
              <w:bottom w:w="0" w:type="dxa"/>
              <w:right w:w="62" w:type="dxa"/>
            </w:tcMar>
            <w:vAlign w:val="center"/>
          </w:tcPr>
          <w:p w:rsidR="00000000" w:rsidRPr="00A67811" w:rsidP="00A67811">
            <w:pPr>
              <w:pStyle w:val="BodyText"/>
            </w:pPr>
            <w:r w:rsidRPr="00A67811">
              <w:t>Diagnose and rectify faults in energy supply apparatus</w:t>
            </w:r>
          </w:p>
        </w:tc>
      </w:tr>
    </w:tbl>
    <w:p w:rsidR="00000000" w:rsidRPr="00A67811" w:rsidP="00A6781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757D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 xml:space="preserve">4.2) </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Participants are best equipped to achieve competency in this unit if they have reading, writing and numeracy skills indicated by the following scales. Description of each scale is given in Volume 2, Part 3 ‘Literacy and Numeracy’</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Reading</w:t>
            </w:r>
          </w:p>
        </w:tc>
        <w:tc>
          <w:tcPr>
            <w:tcW w:w="81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5</w:t>
            </w:r>
          </w:p>
        </w:tc>
        <w:tc>
          <w:tcPr>
            <w:tcW w:w="99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Writing</w:t>
            </w: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5</w:t>
            </w:r>
          </w:p>
        </w:tc>
        <w:tc>
          <w:tcPr>
            <w:tcW w:w="12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Numeracy</w:t>
            </w:r>
          </w:p>
        </w:tc>
        <w:tc>
          <w:tcPr>
            <w:tcW w:w="72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5</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6" w:name="O_463182"/>
      <w:bookmarkEnd w:id="6"/>
      <w:r w:rsidRPr="00A67811">
        <w:t>Employability Skills Information</w:t>
      </w:r>
    </w:p>
    <w:tbl>
      <w:tblPr>
        <w:tblW w:w="0" w:type="auto"/>
        <w:tblLayout w:type="fixed"/>
        <w:tblCellMar>
          <w:left w:w="62" w:type="dxa"/>
          <w:right w:w="62" w:type="dxa"/>
        </w:tblCellMar>
        <w:tblLook w:val="0000"/>
      </w:tblPr>
      <w:tblGrid>
        <w:gridCol w:w="2700"/>
        <w:gridCol w:w="5760"/>
      </w:tblGrid>
      <w:tr w:rsidTr="00B75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 xml:space="preserve">5) </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This unit contains Employability Skills</w:t>
            </w:r>
          </w:p>
          <w:p w:rsidR="00000000" w:rsidRPr="00A67811" w:rsidP="00A67811">
            <w:pPr>
              <w:pStyle w:val="BodyText"/>
            </w:pPr>
            <w:r w:rsidRPr="00A6781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67811">
              <w:t>requirements.</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7" w:name="O_463181"/>
      <w:bookmarkEnd w:id="7"/>
      <w:r w:rsidRPr="00A67811">
        <w:t>Elements and Performance Criteria Pre-Content</w:t>
      </w:r>
    </w:p>
    <w:tbl>
      <w:tblPr>
        <w:tblW w:w="0" w:type="auto"/>
        <w:tblLayout w:type="fixed"/>
        <w:tblCellMar>
          <w:left w:w="62" w:type="dxa"/>
          <w:right w:w="62" w:type="dxa"/>
        </w:tblCellMar>
        <w:tblLook w:val="0000"/>
      </w:tblPr>
      <w:tblGrid>
        <w:gridCol w:w="2700"/>
        <w:gridCol w:w="5760"/>
      </w:tblGrid>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6)</w:t>
            </w:r>
            <w:r w:rsidRPr="00A6781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Performance Criteria describe the required performance needed to demonstrate achievement of the element</w:t>
            </w:r>
            <w:r w:rsidRPr="00A67811">
              <w:t>. Assessment of performance is to be consistent with the Evidence Guide.</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8" w:name="O_463180"/>
      <w:bookmarkEnd w:id="8"/>
      <w:r w:rsidRPr="00A678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757D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PERFORMANCE CRITERIA</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1</w:t>
            </w:r>
          </w:p>
        </w:tc>
        <w:tc>
          <w:tcPr>
            <w:tcW w:w="2296" w:type="dxa"/>
            <w:vMerge w:val="restart"/>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1.1</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 xml:space="preserve">OHS procedures for a given work area are identified, obtained and understood. </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1.2</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Established OHS risk control measures and procedures in preparation for the work are followed.</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1.3</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Safety hazards which have not previously been identified are documented and risk control measures devised and implemented in consultation with appropriate personnel.</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1.4</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The extent of faults is determined from reports and other documentation and fro discussion with appropriate personnel</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1.5</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Appropriate personnel are consulted to ensure the work is coordinated effectively with others involved on the work site</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1.6</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Tool</w:t>
            </w:r>
            <w:r w:rsidRPr="00A67811">
              <w:t>s, equipment and testing devices needed to diagnose faults are obtained in accordance with established procedures and checked for correct operation and safety.</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w:t>
            </w:r>
          </w:p>
        </w:tc>
        <w:tc>
          <w:tcPr>
            <w:tcW w:w="2296" w:type="dxa"/>
            <w:vMerge w:val="restart"/>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Diagnose and rectify faults</w:t>
            </w: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2.1</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OHS risk control measures and procedures for carrying out the</w:t>
            </w:r>
            <w:r w:rsidRPr="00A67811">
              <w:t xml:space="preserve"> work are followed.</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2.2</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The need to test or measure live is determined in strict accordance with OHS requirements and when necessary conducted within established safety procedures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2.3</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 xml:space="preserve">Circuits/machines/plant are checked as </w:t>
            </w:r>
            <w:r w:rsidRPr="00A67811">
              <w:t>being isolated where necessary in strict accordance OHS requirements and procedures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2.4</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 xml:space="preserve">Logical diagnostic methods are applied to diagnose distributed generation system faults employing measurements and estimations of system operating </w:t>
            </w:r>
            <w:r w:rsidRPr="00A67811">
              <w:t>parameters referenced to system operational requirements.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2.5</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Suspected fault scenarios are tested as being the source of system problems.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2.6</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Causes of the faults are identified and appropriately competent persons are engaged to rectify the fault wh</w:t>
            </w:r>
            <w:r w:rsidRPr="00A67811">
              <w:t>ere it is outside the scope of the control system.</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2.7</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Faults in the system components are rectified to raise distributed generation system to its operation standard.</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2.8</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System is tested to verify that it operates as intended and to specified requirements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2.9</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Decisions for dealing with unexpected situations are made from discussions with appropriate persons and job specifications and requirements.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2.10</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Methods for de</w:t>
            </w:r>
            <w:r w:rsidRPr="00A67811">
              <w:t>aling with unexpected situations are selected on the basis of safety and specified work outcomes.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2.11</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Diagnosis and rectification activities are carried out efficiently without unnecessary waste of materials or damage to apparatus and the surrounding e</w:t>
            </w:r>
            <w:r w:rsidRPr="00A67811">
              <w:t>nvironment or services and using sustainable energy practices.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3</w:t>
            </w:r>
          </w:p>
        </w:tc>
        <w:tc>
          <w:tcPr>
            <w:tcW w:w="2296"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3.1</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OHS work completion risk control measures and procedures are followed.</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3.2</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Work site is made safe in accordance with established safety procedures.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3.3</w:t>
            </w:r>
          </w:p>
        </w:tc>
        <w:tc>
          <w:tcPr>
            <w:tcW w:w="48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Rectification of faults is documented in accordance with established procedures.</w:t>
            </w:r>
          </w:p>
        </w:tc>
      </w:tr>
      <w:tr w:rsidTr="00B757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3.4</w:t>
            </w:r>
          </w:p>
        </w:tc>
        <w:tc>
          <w:tcPr>
            <w:tcW w:w="48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 xml:space="preserve">Appropriate person or persons notified, in accordance with established procedures, that </w:t>
            </w:r>
            <w:r w:rsidRPr="00A67811">
              <w:t xml:space="preserve">the system faults have been rectified </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9" w:name="O_463188"/>
      <w:bookmarkEnd w:id="9"/>
      <w:r w:rsidRPr="00A67811">
        <w:t>Required Skills and Knowledge</w:t>
      </w:r>
    </w:p>
    <w:tbl>
      <w:tblPr>
        <w:tblW w:w="0" w:type="auto"/>
        <w:tblLayout w:type="fixed"/>
        <w:tblCellMar>
          <w:left w:w="62" w:type="dxa"/>
          <w:right w:w="62" w:type="dxa"/>
        </w:tblCellMar>
        <w:tblLook w:val="0000"/>
      </w:tblPr>
      <w:tblGrid>
        <w:gridCol w:w="8460"/>
      </w:tblGrid>
      <w:tr w:rsidTr="00B757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REQUIRED SKILLS AND KNOWLEDGE</w:t>
            </w:r>
          </w:p>
        </w:tc>
      </w:tr>
      <w:tr w:rsidTr="00B757D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8)</w:t>
            </w:r>
            <w:r w:rsidRPr="00A67811">
              <w:t xml:space="preserve"> This describes the essential skills and knowledge and their level, required for this unit.</w:t>
            </w:r>
          </w:p>
          <w:p w:rsidR="00000000" w:rsidRPr="00A67811" w:rsidP="00A67811">
            <w:pPr>
              <w:pStyle w:val="BodyText"/>
            </w:pPr>
            <w:r w:rsidRPr="00A67811">
              <w:t>Evidence shall show that knowledge has been acquired of safe working practices and diagnosing and rectifying faults in distributed generation systems.</w:t>
            </w:r>
          </w:p>
          <w:p w:rsidR="00000000" w:rsidRPr="00A67811" w:rsidP="00A67811">
            <w:pPr>
              <w:pStyle w:val="BodyText"/>
            </w:pPr>
            <w:r w:rsidRPr="00A67811">
              <w:t>All knowledge and skills detailed in this unit should be contextualised to current industry practices and</w:t>
            </w:r>
            <w:r w:rsidRPr="00A67811">
              <w:t xml:space="preserve"> technologies.</w:t>
            </w:r>
          </w:p>
          <w:p w:rsidR="00000000" w:rsidRPr="00A67811" w:rsidP="00A67811">
            <w:pPr>
              <w:pStyle w:val="BodyText"/>
            </w:pPr>
            <w:r w:rsidRPr="00A67811">
              <w:t xml:space="preserve">KS01-TIS72A </w:t>
            </w:r>
            <w:r w:rsidRPr="00A67811">
              <w:tab/>
              <w:t>Distributed generation systems</w:t>
            </w:r>
          </w:p>
          <w:p w:rsidR="00000000" w:rsidRPr="00A67811" w:rsidP="00A67811">
            <w:pPr>
              <w:pStyle w:val="BodyText"/>
            </w:pPr>
            <w:r w:rsidRPr="00A67811">
              <w:t>Evidence shall show an understanding of distributed generation systems to an extent indicated by the following aspects:</w:t>
            </w:r>
          </w:p>
          <w:p w:rsidR="00000000" w:rsidRPr="00A67811" w:rsidP="00A67811">
            <w:pPr>
              <w:pStyle w:val="BodyText"/>
            </w:pPr>
            <w:r w:rsidRPr="00A67811">
              <w:t>T1</w:t>
            </w:r>
            <w:r w:rsidRPr="00A67811">
              <w:tab/>
              <w:t xml:space="preserve">OHS enterprise responsibilities encompassing: </w:t>
            </w:r>
          </w:p>
          <w:p w:rsidR="00000000" w:rsidRPr="00A67811" w:rsidP="00A67811">
            <w:pPr>
              <w:pStyle w:val="ListBullet"/>
            </w:pPr>
            <w:r w:rsidRPr="00A67811">
              <w:t>Provisions of relevant hea</w:t>
            </w:r>
            <w:r w:rsidRPr="00A67811">
              <w:t>lth and safety legislation</w:t>
            </w:r>
          </w:p>
          <w:p w:rsidR="00000000" w:rsidRPr="00A67811" w:rsidP="00A67811">
            <w:pPr>
              <w:pStyle w:val="ListBullet"/>
            </w:pPr>
            <w:r w:rsidRPr="00A67811">
              <w:t>Principles and practice of effective occupational health and safety management</w:t>
            </w:r>
          </w:p>
          <w:p w:rsidR="00000000" w:rsidRPr="00A67811" w:rsidP="00A67811">
            <w:pPr>
              <w:pStyle w:val="ListBullet"/>
            </w:pPr>
            <w:r w:rsidRPr="00A67811">
              <w:t>Management arrangements relating to regulatory compliance</w:t>
            </w:r>
          </w:p>
          <w:p w:rsidR="00000000" w:rsidRPr="00A67811" w:rsidP="00A67811">
            <w:pPr>
              <w:pStyle w:val="ListBullet"/>
            </w:pPr>
            <w:r w:rsidRPr="00A67811">
              <w:t>Enterprise hazards and risks, control measures and relevant expertise required</w:t>
            </w:r>
          </w:p>
          <w:p w:rsidR="00000000" w:rsidRPr="00A67811" w:rsidP="00A67811">
            <w:pPr>
              <w:pStyle w:val="ListBullet"/>
            </w:pPr>
            <w:r w:rsidRPr="00A67811">
              <w:t>Characteristi</w:t>
            </w:r>
            <w:r w:rsidRPr="00A67811">
              <w:t>cs and composition of workforce and their impact on occupational health and safety management</w:t>
            </w:r>
          </w:p>
          <w:p w:rsidR="00000000" w:rsidRPr="00A67811" w:rsidP="00A67811">
            <w:pPr>
              <w:pStyle w:val="ListBullet"/>
            </w:pPr>
            <w:r w:rsidRPr="00A67811">
              <w:t>Relevance of enterprise management systems to occupational health and safety management</w:t>
            </w:r>
          </w:p>
          <w:p w:rsidR="00000000" w:rsidRPr="00A67811" w:rsidP="00A67811">
            <w:pPr>
              <w:pStyle w:val="ListBullet"/>
            </w:pPr>
            <w:r w:rsidRPr="00A67811">
              <w:t>Analysis of working environment and design of appropriate occupational hea</w:t>
            </w:r>
            <w:r w:rsidRPr="00A67811">
              <w:t>lth and safety management systems</w:t>
            </w:r>
          </w:p>
          <w:p w:rsidR="00000000" w:rsidRPr="00A67811" w:rsidP="00A67811">
            <w:pPr>
              <w:pStyle w:val="ListBullet"/>
            </w:pPr>
            <w:r w:rsidRPr="00A67811">
              <w:t>Analysis of relevant data and evaluation of occupational health and safety system effectiveness</w:t>
            </w:r>
          </w:p>
          <w:p w:rsidR="00000000" w:rsidRPr="00A67811" w:rsidP="00A67811">
            <w:pPr>
              <w:pStyle w:val="ListBullet"/>
            </w:pPr>
            <w:r w:rsidRPr="00A67811">
              <w:t>Assess resources to establish and maintain occupational health and safety management systems.</w:t>
            </w:r>
          </w:p>
          <w:p w:rsidR="00000000" w:rsidRPr="00A67811" w:rsidP="00A67811">
            <w:pPr>
              <w:pStyle w:val="BodyText"/>
            </w:pPr>
            <w:r w:rsidRPr="00A67811">
              <w:t>T2</w:t>
            </w:r>
            <w:r w:rsidRPr="00A67811">
              <w:tab/>
            </w:r>
            <w:r w:rsidRPr="00A67811">
              <w:t>Distributive generation systems encompassing:</w:t>
            </w:r>
          </w:p>
          <w:p w:rsidR="00000000" w:rsidRPr="00A67811" w:rsidP="00A67811">
            <w:pPr>
              <w:pStyle w:val="ListBullet"/>
            </w:pPr>
            <w:r w:rsidRPr="00A67811">
              <w:t>Concept and application</w:t>
            </w:r>
          </w:p>
          <w:p w:rsidR="00000000" w:rsidRPr="00A67811" w:rsidP="00A67811">
            <w:pPr>
              <w:pStyle w:val="ListBullet"/>
            </w:pPr>
            <w:r w:rsidRPr="00A67811">
              <w:t>Anti-islanding control and protection</w:t>
            </w:r>
          </w:p>
          <w:p w:rsidR="00000000" w:rsidRPr="00A67811" w:rsidP="00A67811">
            <w:pPr>
              <w:pStyle w:val="ListBullet"/>
            </w:pPr>
            <w:r w:rsidRPr="00A67811">
              <w:t>System monitoring and load management.</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10" w:name="O_463183"/>
      <w:bookmarkEnd w:id="10"/>
      <w:r w:rsidRPr="00A67811">
        <w:t>Evidence Guide</w:t>
      </w:r>
    </w:p>
    <w:tbl>
      <w:tblPr>
        <w:tblW w:w="0" w:type="auto"/>
        <w:tblLayout w:type="fixed"/>
        <w:tblCellMar>
          <w:left w:w="62" w:type="dxa"/>
          <w:right w:w="62" w:type="dxa"/>
        </w:tblCellMar>
        <w:tblLook w:val="0000"/>
      </w:tblPr>
      <w:tblGrid>
        <w:gridCol w:w="8460"/>
      </w:tblGrid>
      <w:tr w:rsidTr="00B757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EVIDENCE GUIDE</w:t>
            </w:r>
          </w:p>
        </w:tc>
      </w:tr>
      <w:tr w:rsidTr="00B757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9)</w:t>
            </w:r>
            <w:r w:rsidRPr="00A67811">
              <w:t xml:space="preserve"> The evidence guide provides advice on assessment and must be read in conjunction with the Performance Criteria, Required Skills and Knowledge, the Range Statement and the Assessment Guidelines for this Training Package. </w:t>
            </w:r>
          </w:p>
          <w:p w:rsidR="00000000" w:rsidRPr="00A67811" w:rsidP="00A67811">
            <w:pPr>
              <w:pStyle w:val="BodyText"/>
            </w:pPr>
            <w:r w:rsidRPr="00A67811">
              <w:t>The Evidence Guide forms an integr</w:t>
            </w:r>
            <w:r w:rsidRPr="00A67811">
              <w:t>al part of this unit. It must be used in conjunction with all parts of this unit and performed in accordance with the Assessment Guidelines of this Training Package.</w:t>
            </w:r>
          </w:p>
        </w:tc>
      </w:tr>
    </w:tbl>
    <w:p w:rsidR="00000000" w:rsidRPr="00A67811" w:rsidP="00A67811">
      <w:pPr>
        <w:pStyle w:val="BodyText"/>
      </w:pPr>
    </w:p>
    <w:tbl>
      <w:tblPr>
        <w:tblW w:w="0" w:type="auto"/>
        <w:tblLayout w:type="fixed"/>
        <w:tblCellMar>
          <w:left w:w="62" w:type="dxa"/>
          <w:right w:w="62" w:type="dxa"/>
        </w:tblCellMar>
        <w:tblLook w:val="0000"/>
      </w:tblPr>
      <w:tblGrid>
        <w:gridCol w:w="1890"/>
        <w:gridCol w:w="6570"/>
      </w:tblGrid>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9.1)</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Longitudinal competency development approaches to assessme</w:t>
            </w:r>
            <w:r w:rsidRPr="00A67811">
              <w:t>nt, such as Profiling, require data to be reliably gathered in a form that can be consistently interpreted over time. This approach is best utilised in Apprenticeship programs and reduces assessment intervention. It is the Industry’s preferred model for ap</w:t>
            </w:r>
            <w:r w:rsidRPr="00A67811">
              <w:t>prenticeships. However, where summative (or final) assessment is used it is to include the application of the competency in the normal work environment or, at a minimum, the application of the competency in a realistically simulated work environment. It is</w:t>
            </w:r>
            <w:r w:rsidRPr="00A67811">
              <w:t xml:space="preserve"> recognised that, in some circumstances, assessment in part or full can occur outside the workplace. However, it must be in accordance with industry and regulatory policy.</w:t>
            </w:r>
          </w:p>
          <w:p w:rsidR="00000000" w:rsidRPr="00A67811" w:rsidP="00A67811">
            <w:pPr>
              <w:pStyle w:val="BodyText"/>
            </w:pPr>
            <w:r w:rsidRPr="00A67811">
              <w:t>Methods chosen for a particular assessment will be influenced by various factors. Th</w:t>
            </w:r>
            <w:r w:rsidRPr="00A67811">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67811" w:rsidP="00A67811">
            <w:pPr>
              <w:pStyle w:val="BodyText"/>
            </w:pPr>
            <w:r w:rsidRPr="00A67811">
              <w:t>Th</w:t>
            </w:r>
            <w:r w:rsidRPr="00A67811">
              <w:t>e critical safety nature of working with electricity, electrical equipment, gas or any other hazardous substance/material carries risk in deeming a person competent. Sources of evidence need to be ‘rich’ in nature to minimise error in judgment.</w:t>
            </w:r>
          </w:p>
          <w:p w:rsidR="00000000" w:rsidRPr="00A67811" w:rsidP="00A67811">
            <w:pPr>
              <w:pStyle w:val="BodyText"/>
            </w:pPr>
            <w:r w:rsidRPr="00A6781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67811">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A67811">
              <w:t>of this Training Package.</w:t>
            </w:r>
          </w:p>
        </w:tc>
      </w:tr>
    </w:tbl>
    <w:p w:rsidR="00000000" w:rsidRPr="00A67811" w:rsidP="00A67811">
      <w:pPr>
        <w:pStyle w:val="BodyText"/>
      </w:pPr>
    </w:p>
    <w:tbl>
      <w:tblPr>
        <w:tblW w:w="0" w:type="auto"/>
        <w:tblLayout w:type="fixed"/>
        <w:tblCellMar>
          <w:left w:w="62" w:type="dxa"/>
          <w:right w:w="62" w:type="dxa"/>
        </w:tblCellMar>
        <w:tblLook w:val="0000"/>
      </w:tblPr>
      <w:tblGrid>
        <w:gridCol w:w="1890"/>
        <w:gridCol w:w="905"/>
        <w:gridCol w:w="524"/>
        <w:gridCol w:w="5141"/>
      </w:tblGrid>
      <w:tr w:rsidTr="00B757D4">
        <w:tblPrEx>
          <w:tblW w:w="0" w:type="auto"/>
          <w:tblLayout w:type="fixed"/>
          <w:tblCellMar>
            <w:left w:w="62" w:type="dxa"/>
            <w:right w:w="62" w:type="dxa"/>
          </w:tblCellMar>
          <w:tblLook w:val="0000"/>
        </w:tblPrEx>
        <w:trPr>
          <w:trHeight w:val="1175"/>
        </w:trPr>
        <w:tc>
          <w:tcPr>
            <w:tcW w:w="189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9.2)</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Before the critical aspects of evidence are considered all prerequisites shall be met.</w:t>
            </w:r>
          </w:p>
          <w:p w:rsidR="00000000" w:rsidRPr="00A67811" w:rsidP="00A67811">
            <w:pPr>
              <w:pStyle w:val="BodyText"/>
            </w:pPr>
            <w:r w:rsidRPr="00A67811">
              <w:t>Evidence for competence in this unit shall be considere</w:t>
            </w:r>
            <w:r w:rsidRPr="00A67811">
              <w:t>d holistically.  Each element and associated performance criteria shall be demonstrated on at least two occasions in accordance with the ‘Assessment Guidelines – UEE07’.  Evidence shall also comprise:</w:t>
            </w:r>
          </w:p>
          <w:p w:rsidR="00000000" w:rsidRPr="00A67811" w:rsidP="00A67811">
            <w:pPr>
              <w:pStyle w:val="ListBullet"/>
            </w:pPr>
            <w:r w:rsidRPr="00A67811">
              <w:t>A representative body of work performance demonstrated</w:t>
            </w:r>
            <w:r w:rsidRPr="00A67811">
              <w:t xml:space="preserve"> within the timeframes typically expected of the discipline, work function and industrial environment. In particular this shall incorporate evidence that shows a candidate is able to:</w:t>
            </w:r>
          </w:p>
          <w:p w:rsidR="00000000" w:rsidRPr="00A67811" w:rsidP="00A67811">
            <w:pPr>
              <w:pStyle w:val="ListBullet2"/>
            </w:pPr>
            <w:r w:rsidRPr="00A67811">
              <w:t>Implement Occupational Health and Safety workplace procedures and practices including the use of risk control measures as specified in the performance criteria and range statement</w:t>
            </w:r>
          </w:p>
          <w:p w:rsidR="00000000" w:rsidRPr="00A67811" w:rsidP="00A67811">
            <w:pPr>
              <w:pStyle w:val="ListBullet2"/>
            </w:pPr>
            <w:r w:rsidRPr="00A67811">
              <w:t>Apply sustainable energy principles and practices as specified in the perfor</w:t>
            </w:r>
            <w:r w:rsidRPr="00A67811">
              <w:t>mance criteria and range statement</w:t>
            </w:r>
          </w:p>
          <w:p w:rsidR="00000000" w:rsidRPr="00A67811" w:rsidP="00A67811">
            <w:pPr>
              <w:pStyle w:val="ListBullet2"/>
            </w:pPr>
            <w:r w:rsidRPr="00A67811">
              <w:t>Demonstrate an understanding of the essential knowledge and associated skills as described in this unit .  It may be required by some jurisdictions that RTOs provide a percentile graded result for the purpose of regulator</w:t>
            </w:r>
            <w:r w:rsidRPr="00A67811">
              <w:t xml:space="preserve">y or licensing requirements.   </w:t>
            </w:r>
          </w:p>
          <w:p w:rsidR="00000000" w:rsidRPr="00A67811" w:rsidP="00A67811">
            <w:pPr>
              <w:pStyle w:val="ListBullet2"/>
            </w:pPr>
            <w:r w:rsidRPr="00A67811">
              <w:t>Demonstrate an appropriate level of skills enabling employment</w:t>
            </w:r>
          </w:p>
          <w:p w:rsidR="00000000" w:rsidRPr="00A67811" w:rsidP="00A67811">
            <w:pPr>
              <w:pStyle w:val="ListBullet2"/>
            </w:pPr>
            <w:r w:rsidRPr="00A67811">
              <w:t>Conduct work observing the relevant Anti Discrimination legislation, regulations, polices and workplace procedures</w:t>
            </w:r>
          </w:p>
          <w:p w:rsidR="00000000" w:rsidRPr="00A67811" w:rsidP="00A67811">
            <w:pPr>
              <w:pStyle w:val="ListBullet"/>
            </w:pPr>
            <w:r w:rsidRPr="00A67811">
              <w:t xml:space="preserve">Demonstrated consistent performance across a </w:t>
            </w:r>
            <w:r w:rsidRPr="00A67811">
              <w:t>representative range of contexts from the prescribed items below:</w:t>
            </w:r>
          </w:p>
          <w:p w:rsidR="00000000" w:rsidP="00A67811">
            <w:pPr>
              <w:pStyle w:val="ListBullet2"/>
              <w:rPr>
                <w:lang w:val="en-NZ"/>
              </w:rPr>
            </w:pPr>
            <w:r w:rsidRPr="00A67811">
              <w:t>Diagnose and rectify faults in distributed generation systems as described in 8) and including:</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A</w:t>
            </w:r>
          </w:p>
        </w:tc>
        <w:tc>
          <w:tcPr>
            <w:tcW w:w="5141"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Applying logical diagnostic methods.</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B</w:t>
            </w:r>
          </w:p>
        </w:tc>
        <w:tc>
          <w:tcPr>
            <w:tcW w:w="5141"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Using fault scenarios to test the cause of system faults.</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C</w:t>
            </w:r>
          </w:p>
        </w:tc>
        <w:tc>
          <w:tcPr>
            <w:tcW w:w="5141"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Identifying faults and competency needed to rectify them.</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D</w:t>
            </w:r>
          </w:p>
        </w:tc>
        <w:tc>
          <w:tcPr>
            <w:tcW w:w="5141"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Rectifying faults in system controls.</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E</w:t>
            </w:r>
          </w:p>
        </w:tc>
        <w:tc>
          <w:tcPr>
            <w:tcW w:w="5141"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Verifying that the system operates correctly.</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F</w:t>
            </w:r>
          </w:p>
        </w:tc>
        <w:tc>
          <w:tcPr>
            <w:tcW w:w="5141"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Documenting fault rectification.</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G</w:t>
            </w:r>
          </w:p>
        </w:tc>
        <w:tc>
          <w:tcPr>
            <w:tcW w:w="5141"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t>Dealing with unplanned events by drawing on essential knowledge and skills to provide appropriate solutions incorporated in the holistic assessment with the above listed items.</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Note:</w:t>
            </w:r>
            <w:r w:rsidRPr="00A67811">
              <w:br/>
              <w:t>Successful completion of relevant vendor training may be used to cont</w:t>
            </w:r>
            <w:r w:rsidRPr="00A67811">
              <w:t>ribute to evidence on which competency is deemed. In these cases the alignment of outcomes of vendor training with performance criteria and critical aspects of evidence shall be clearly identified.</w:t>
            </w:r>
          </w:p>
        </w:tc>
      </w:tr>
    </w:tbl>
    <w:p w:rsidR="00000000" w:rsidRPr="00A67811" w:rsidP="00A67811">
      <w:pPr>
        <w:pStyle w:val="BodyText"/>
      </w:pPr>
    </w:p>
    <w:tbl>
      <w:tblPr>
        <w:tblW w:w="0" w:type="auto"/>
        <w:tblLayout w:type="fixed"/>
        <w:tblCellMar>
          <w:left w:w="62" w:type="dxa"/>
          <w:right w:w="62" w:type="dxa"/>
        </w:tblCellMar>
        <w:tblLook w:val="0000"/>
      </w:tblPr>
      <w:tblGrid>
        <w:gridCol w:w="1890"/>
        <w:gridCol w:w="6570"/>
      </w:tblGrid>
      <w:tr w:rsidTr="00B757D4">
        <w:tblPrEx>
          <w:tblW w:w="0" w:type="auto"/>
          <w:tblLayout w:type="fixed"/>
          <w:tblCellMar>
            <w:left w:w="62" w:type="dxa"/>
            <w:right w:w="62" w:type="dxa"/>
          </w:tblCellMar>
          <w:tblLook w:val="0000"/>
        </w:tblPrEx>
        <w:trPr>
          <w:trHeight w:val="708"/>
        </w:trPr>
        <w:tc>
          <w:tcPr>
            <w:tcW w:w="189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9.3)</w:t>
            </w:r>
          </w:p>
        </w:tc>
      </w:tr>
      <w:tr w:rsidTr="00B757D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This unit should be assessed as it relates to normal work practice using procedures, information and resources typical of a workplace. This should include:</w:t>
            </w:r>
          </w:p>
          <w:p w:rsidR="00000000" w:rsidRPr="00A67811" w:rsidP="00A67811">
            <w:pPr>
              <w:pStyle w:val="ListBullet"/>
            </w:pPr>
            <w:r w:rsidRPr="00A67811">
              <w:t>OHS policy and work procedures and instructions.</w:t>
            </w:r>
          </w:p>
          <w:p w:rsidR="00000000" w:rsidRPr="00A67811" w:rsidP="00A67811">
            <w:pPr>
              <w:pStyle w:val="ListBullet"/>
            </w:pPr>
            <w:r w:rsidRPr="00A67811">
              <w:t>Suitable work environment, facilities, equ</w:t>
            </w:r>
            <w:r w:rsidRPr="00A67811">
              <w:t>ipment and materials to undertake actual work as prescribed by this unit.</w:t>
            </w:r>
          </w:p>
          <w:p w:rsidR="00000000" w:rsidRPr="00A67811" w:rsidP="00A67811">
            <w:pPr>
              <w:pStyle w:val="BodyText"/>
            </w:pPr>
            <w:r w:rsidRPr="00A67811">
              <w:t>These should be part of the formal learning/assessment environment.</w:t>
            </w:r>
          </w:p>
          <w:p w:rsidR="00000000" w:rsidRPr="00A67811" w:rsidP="00A67811">
            <w:pPr>
              <w:pStyle w:val="BodyText"/>
            </w:pPr>
            <w:r w:rsidRPr="00A67811">
              <w:t>Note:</w:t>
            </w:r>
          </w:p>
          <w:p w:rsidR="00000000" w:rsidRPr="00A67811" w:rsidP="00A67811">
            <w:pPr>
              <w:pStyle w:val="BodyText"/>
            </w:pPr>
            <w:r w:rsidRPr="00A67811">
              <w:t>Where simulation is considered a suitable strategy for assessment, conditions must be authentic and as far a</w:t>
            </w:r>
            <w:r w:rsidRPr="00A67811">
              <w:t>s possible reproduce and replicate the workplace and be consistent with the approved industry simulation policy.</w:t>
            </w:r>
          </w:p>
          <w:p w:rsidR="00000000" w:rsidRPr="00A67811" w:rsidP="00A67811">
            <w:pPr>
              <w:pStyle w:val="BodyText"/>
            </w:pPr>
            <w:r w:rsidRPr="00A67811">
              <w:t>The resources used for assessment should reflect current industry practices in relation to diagnosing and rectifying faults in distributed gene</w:t>
            </w:r>
            <w:r w:rsidRPr="00A67811">
              <w:t>ration systems.</w:t>
            </w:r>
          </w:p>
        </w:tc>
      </w:tr>
    </w:tbl>
    <w:p w:rsidR="00000000" w:rsidRPr="00A67811" w:rsidP="00A67811">
      <w:pPr>
        <w:pStyle w:val="BodyText"/>
      </w:pPr>
    </w:p>
    <w:tbl>
      <w:tblPr>
        <w:tblW w:w="0" w:type="auto"/>
        <w:tblLayout w:type="fixed"/>
        <w:tblCellMar>
          <w:left w:w="62" w:type="dxa"/>
          <w:right w:w="62" w:type="dxa"/>
        </w:tblCellMar>
        <w:tblLook w:val="0000"/>
      </w:tblPr>
      <w:tblGrid>
        <w:gridCol w:w="1890"/>
        <w:gridCol w:w="6570"/>
      </w:tblGrid>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9.4)</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This unit shall be assessed by methods given in Volume 1, Part 3 ‘Assessment Guidelines’.</w:t>
            </w:r>
          </w:p>
          <w:p w:rsidR="00000000" w:rsidRPr="00A67811" w:rsidP="00A67811">
            <w:pPr>
              <w:pStyle w:val="BodyText"/>
            </w:pPr>
            <w:r w:rsidRPr="00A67811">
              <w:t>Note:</w:t>
            </w:r>
          </w:p>
          <w:p w:rsidR="00000000" w:rsidRPr="00A67811" w:rsidP="00A67811">
            <w:pPr>
              <w:pStyle w:val="BodyText"/>
            </w:pPr>
            <w:r w:rsidRPr="00A67811">
              <w:t>Competent performance with inherent safe working practices is expected in the industry to which this unit applies. This requires assessment in a structured environment which is primarily intended for learning/assessment and incorporates all necessary equip</w:t>
            </w:r>
            <w:r w:rsidRPr="00A67811">
              <w:t>ment and facilities for learners to develop and demonstrate the essential knowledge and skills described in this unit.</w:t>
            </w:r>
          </w:p>
        </w:tc>
      </w:tr>
    </w:tbl>
    <w:p w:rsidR="00000000" w:rsidRPr="00A67811" w:rsidP="00A67811">
      <w:pPr>
        <w:pStyle w:val="BodyText"/>
      </w:pPr>
    </w:p>
    <w:tbl>
      <w:tblPr>
        <w:tblW w:w="0" w:type="auto"/>
        <w:tblLayout w:type="fixed"/>
        <w:tblCellMar>
          <w:left w:w="62" w:type="dxa"/>
          <w:right w:w="62" w:type="dxa"/>
        </w:tblCellMar>
        <w:tblLook w:val="0000"/>
      </w:tblPr>
      <w:tblGrid>
        <w:gridCol w:w="1890"/>
        <w:gridCol w:w="6570"/>
      </w:tblGrid>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9.5)</w:t>
            </w:r>
          </w:p>
        </w:tc>
      </w:tr>
      <w:tr w:rsidTr="00B7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There are no concurrent assessment recommendations for this unit.</w:t>
            </w:r>
          </w:p>
          <w:p w:rsidR="00000000" w:rsidRPr="00A67811" w:rsidP="00A67811">
            <w:pPr>
              <w:pStyle w:val="BodyText"/>
            </w:pPr>
            <w:r w:rsidRPr="00A67811">
              <w:t>The cr</w:t>
            </w:r>
            <w:r w:rsidRPr="00A67811">
              <w:t>itical aspects of occupational health and safety covered in unit UEENEEE101A and other discipline specific occupational health and safety units shall be incorporated in relation to this unit.</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11" w:name="O_463187"/>
      <w:bookmarkEnd w:id="11"/>
      <w:r w:rsidRPr="00A67811">
        <w:t>Range Statement</w:t>
      </w:r>
    </w:p>
    <w:tbl>
      <w:tblPr>
        <w:tblW w:w="0" w:type="auto"/>
        <w:tblLayout w:type="fixed"/>
        <w:tblCellMar>
          <w:left w:w="62" w:type="dxa"/>
          <w:right w:w="62" w:type="dxa"/>
        </w:tblCellMar>
        <w:tblLook w:val="0000"/>
      </w:tblPr>
      <w:tblGrid>
        <w:gridCol w:w="8460"/>
      </w:tblGrid>
      <w:tr w:rsidTr="00B757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RANGE STATEMENT</w:t>
            </w:r>
          </w:p>
        </w:tc>
      </w:tr>
      <w:tr w:rsidTr="00B757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10)</w:t>
            </w:r>
            <w:r w:rsidRPr="00A67811">
              <w:t xml:space="preserve"> This relates to the unit as a whole providing the range of contexts and conditions to which the performance criteria apply. It allows for different work environments and situations that will affect performance.</w:t>
            </w:r>
          </w:p>
          <w:p w:rsidR="00000000" w:rsidRPr="00A67811" w:rsidP="00A67811">
            <w:pPr>
              <w:pStyle w:val="BodyText"/>
            </w:pPr>
            <w:r w:rsidRPr="00A67811">
              <w:t xml:space="preserve">This unit shall be demonstrated in relation </w:t>
            </w:r>
            <w:r w:rsidRPr="00A67811">
              <w:t>to diagnosing and rectifying at least four faults in distributed generation systems.</w:t>
            </w:r>
          </w:p>
          <w:p w:rsidR="00000000" w:rsidRPr="00A67811" w:rsidP="00A67811">
            <w:pPr>
              <w:pStyle w:val="BodyText"/>
            </w:pPr>
            <w:r w:rsidRPr="00A67811">
              <w:t>Generic terms used throughout this Vocational Standard shall be regarded as part of the Range Statement in which competency is demonstrated. The definition of these and ot</w:t>
            </w:r>
            <w:r w:rsidRPr="00A67811">
              <w:t>her terms that apply are given in Volume 2, Part 2.1.</w:t>
            </w:r>
          </w:p>
        </w:tc>
      </w:tr>
    </w:tbl>
    <w:p w:rsidR="00000000" w:rsidRPr="00A67811" w:rsidP="00A67811">
      <w:pPr>
        <w:pStyle w:val="BodyText"/>
      </w:pPr>
    </w:p>
    <w:p w:rsidR="00000000" w:rsidRPr="00A67811" w:rsidP="00A67811">
      <w:pPr>
        <w:pStyle w:val="AllowPageBreak"/>
      </w:pPr>
    </w:p>
    <w:p w:rsidR="00000000" w:rsidRPr="00A67811" w:rsidP="00A67811">
      <w:pPr>
        <w:pStyle w:val="Heading1"/>
      </w:pPr>
      <w:bookmarkStart w:id="12" w:name="O_463190"/>
      <w:bookmarkEnd w:id="12"/>
      <w:r w:rsidRPr="00A67811">
        <w:t>Unit Sector(s)</w:t>
      </w:r>
    </w:p>
    <w:p w:rsidR="00000000" w:rsidRPr="00A67811" w:rsidP="00A67811">
      <w:pPr>
        <w:pStyle w:val="BodyText"/>
      </w:pPr>
      <w:r w:rsidRPr="00A67811">
        <w:t>Not applicable.</w:t>
      </w:r>
    </w:p>
    <w:p w:rsidR="00000000" w:rsidRPr="00A67811" w:rsidP="00A67811">
      <w:pPr>
        <w:pStyle w:val="AllowPageBreak"/>
      </w:pPr>
    </w:p>
    <w:p w:rsidR="00000000" w:rsidRPr="00A67811" w:rsidP="00A67811">
      <w:pPr>
        <w:pStyle w:val="Heading1"/>
      </w:pPr>
      <w:bookmarkStart w:id="13" w:name="O_463179"/>
      <w:bookmarkEnd w:id="13"/>
      <w:r w:rsidRPr="00A67811">
        <w:t>Competency Field</w:t>
      </w:r>
    </w:p>
    <w:tbl>
      <w:tblPr>
        <w:tblW w:w="0" w:type="auto"/>
        <w:tblLayout w:type="fixed"/>
        <w:tblCellMar>
          <w:left w:w="62" w:type="dxa"/>
          <w:right w:w="62" w:type="dxa"/>
        </w:tblCellMar>
        <w:tblLook w:val="0000"/>
      </w:tblPr>
      <w:tblGrid>
        <w:gridCol w:w="2700"/>
        <w:gridCol w:w="5760"/>
      </w:tblGrid>
      <w:tr w:rsidTr="00B757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7811">
            <w:pPr>
              <w:pStyle w:val="BodyText"/>
              <w:rPr>
                <w:lang w:val="en-NZ"/>
              </w:rPr>
            </w:pPr>
            <w:r w:rsidRPr="00A67811">
              <w:rPr>
                <w:rStyle w:val="SpecialBold"/>
              </w:rPr>
              <w:t xml:space="preserve">11) </w:t>
            </w:r>
          </w:p>
        </w:tc>
      </w:tr>
      <w:tr w:rsidTr="00B757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7811" w:rsidP="00A67811">
            <w:pPr>
              <w:pStyle w:val="BodyText"/>
            </w:pPr>
            <w:r w:rsidRPr="00A67811">
              <w:t>Electrical</w:t>
            </w:r>
          </w:p>
        </w:tc>
      </w:tr>
    </w:tbl>
    <w:p w:rsidR="00000000" w:rsidRPr="00A67811" w:rsidP="00A67811">
      <w:pPr>
        <w:pStyle w:val="BodyText"/>
      </w:pPr>
    </w:p>
    <w:p w:rsidR="00000000" w:rsidRPr="00A67811" w:rsidP="00A67811"/>
    <w:sectPr w:rsidSect="00A67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57D4" w:rsidP="00B75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D4" w:rsidP="00A67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57D4" w:rsidP="00A678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757D4" w:rsidP="00A678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57D4" w:rsidP="00B757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D4" w:rsidP="00A67811">
    <w:pPr>
      <w:pStyle w:val="Header"/>
      <w:framePr w:wrap="around"/>
    </w:pPr>
    <w:r>
      <w:fldChar w:fldCharType="begin"/>
    </w:r>
    <w:r>
      <w:instrText xml:space="preserve"> TITLE   \* MERGEFORMAT </w:instrText>
    </w:r>
    <w:r>
      <w:fldChar w:fldCharType="separate"/>
    </w:r>
    <w:r>
      <w:t>UETTDRIS72A Diagnose and rectify faults in distributed generation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57D4" w:rsidP="00A678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44B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C4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04F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8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811"/>
    <w:pPr>
      <w:spacing w:before="360" w:after="60"/>
      <w:outlineLvl w:val="0"/>
    </w:pPr>
    <w:rPr>
      <w:sz w:val="32"/>
    </w:rPr>
  </w:style>
  <w:style w:type="paragraph" w:styleId="Heading2">
    <w:name w:val="heading 2"/>
    <w:basedOn w:val="HeadingBase"/>
    <w:next w:val="BodyText"/>
    <w:link w:val="Heading2Char"/>
    <w:qFormat/>
    <w:rsid w:val="00A67811"/>
    <w:pPr>
      <w:keepLines/>
      <w:spacing w:before="240" w:after="120"/>
      <w:outlineLvl w:val="1"/>
    </w:pPr>
    <w:rPr>
      <w:sz w:val="28"/>
      <w:szCs w:val="40"/>
    </w:rPr>
  </w:style>
  <w:style w:type="paragraph" w:styleId="Heading3">
    <w:name w:val="heading 3"/>
    <w:basedOn w:val="HeadingBase"/>
    <w:next w:val="BodyText"/>
    <w:link w:val="Heading3Char"/>
    <w:qFormat/>
    <w:rsid w:val="00A67811"/>
    <w:pPr>
      <w:spacing w:before="180" w:after="120"/>
      <w:outlineLvl w:val="2"/>
    </w:pPr>
    <w:rPr>
      <w:spacing w:val="-10"/>
      <w:kern w:val="32"/>
    </w:rPr>
  </w:style>
  <w:style w:type="paragraph" w:styleId="Heading4">
    <w:name w:val="heading 4"/>
    <w:basedOn w:val="HeadingBase"/>
    <w:next w:val="BodyText"/>
    <w:link w:val="Heading4Char"/>
    <w:qFormat/>
    <w:rsid w:val="00A67811"/>
    <w:pPr>
      <w:spacing w:before="160" w:after="120"/>
      <w:outlineLvl w:val="3"/>
    </w:pPr>
    <w:rPr>
      <w:sz w:val="22"/>
    </w:rPr>
  </w:style>
  <w:style w:type="paragraph" w:styleId="Heading5">
    <w:name w:val="heading 5"/>
    <w:basedOn w:val="HeadingBase"/>
    <w:next w:val="Normal"/>
    <w:link w:val="Heading5Char"/>
    <w:qFormat/>
    <w:rsid w:val="00A67811"/>
    <w:pPr>
      <w:spacing w:before="80"/>
      <w:outlineLvl w:val="4"/>
    </w:pPr>
    <w:rPr>
      <w:color w:val="918585"/>
      <w:sz w:val="20"/>
    </w:rPr>
  </w:style>
  <w:style w:type="paragraph" w:styleId="Heading6">
    <w:name w:val="heading 6"/>
    <w:basedOn w:val="HeadingBase"/>
    <w:next w:val="Normal"/>
    <w:link w:val="Heading6Char"/>
    <w:qFormat/>
    <w:rsid w:val="00A67811"/>
    <w:pPr>
      <w:spacing w:before="60"/>
      <w:outlineLvl w:val="5"/>
    </w:pPr>
    <w:rPr>
      <w:color w:val="918585"/>
      <w:sz w:val="20"/>
    </w:rPr>
  </w:style>
  <w:style w:type="paragraph" w:styleId="Heading7">
    <w:name w:val="heading 7"/>
    <w:basedOn w:val="Normal"/>
    <w:next w:val="Normal"/>
    <w:link w:val="Heading7Char"/>
    <w:qFormat/>
    <w:rsid w:val="00A67811"/>
    <w:pPr>
      <w:ind w:left="720"/>
      <w:outlineLvl w:val="6"/>
    </w:pPr>
    <w:rPr>
      <w:i/>
    </w:rPr>
  </w:style>
  <w:style w:type="paragraph" w:styleId="Heading8">
    <w:name w:val="heading 8"/>
    <w:basedOn w:val="Normal"/>
    <w:next w:val="Normal"/>
    <w:link w:val="Heading8Char"/>
    <w:qFormat/>
    <w:rsid w:val="00A67811"/>
    <w:pPr>
      <w:ind w:left="720"/>
      <w:outlineLvl w:val="7"/>
    </w:pPr>
    <w:rPr>
      <w:i/>
    </w:rPr>
  </w:style>
  <w:style w:type="paragraph" w:styleId="Heading9">
    <w:name w:val="heading 9"/>
    <w:basedOn w:val="Normal"/>
    <w:next w:val="Normal"/>
    <w:link w:val="Heading9Char"/>
    <w:qFormat/>
    <w:rsid w:val="00A67811"/>
    <w:pPr>
      <w:ind w:left="720"/>
      <w:outlineLvl w:val="8"/>
    </w:pPr>
    <w:rPr>
      <w:i/>
    </w:rPr>
  </w:style>
  <w:style w:type="character" w:default="1" w:styleId="DefaultParagraphFont">
    <w:name w:val="Default Paragraph Font"/>
    <w:uiPriority w:val="1"/>
    <w:unhideWhenUsed/>
    <w:rsid w:val="00A67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811"/>
  </w:style>
  <w:style w:type="character" w:customStyle="1" w:styleId="Heading1Char">
    <w:name w:val="Heading 1 Char"/>
    <w:basedOn w:val="DefaultParagraphFont"/>
    <w:link w:val="Heading1"/>
    <w:rsid w:val="00A67811"/>
    <w:rPr>
      <w:rFonts w:ascii="Times New Roman" w:eastAsia="Times New Roman" w:hAnsi="Times New Roman" w:cs="Times New Roman"/>
      <w:b/>
      <w:sz w:val="32"/>
      <w:szCs w:val="20"/>
      <w:lang w:eastAsia="en-US"/>
    </w:rPr>
  </w:style>
  <w:style w:type="paragraph" w:styleId="BodyText">
    <w:name w:val="Body Text"/>
    <w:basedOn w:val="Normal"/>
    <w:link w:val="BodyTextChar"/>
    <w:rsid w:val="00A678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811"/>
    <w:rPr>
      <w:rFonts w:ascii="Times New Roman" w:eastAsia="Times New Roman" w:hAnsi="Times New Roman" w:cs="Times New Roman"/>
      <w:sz w:val="24"/>
      <w:lang w:val="en-US" w:eastAsia="en-US"/>
    </w:rPr>
  </w:style>
  <w:style w:type="paragraph" w:styleId="Footer">
    <w:name w:val="footer"/>
    <w:basedOn w:val="Normal"/>
    <w:link w:val="FooterChar"/>
    <w:rsid w:val="00A67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811"/>
    <w:rPr>
      <w:rFonts w:ascii="Times New Roman" w:eastAsia="Times New Roman" w:hAnsi="Times New Roman" w:cs="Times New Roman"/>
      <w:sz w:val="16"/>
      <w:lang w:val="en-US" w:eastAsia="en-US"/>
    </w:rPr>
  </w:style>
  <w:style w:type="paragraph" w:styleId="ListBullet">
    <w:name w:val="List Bullet"/>
    <w:basedOn w:val="List"/>
    <w:rsid w:val="00A67811"/>
    <w:pPr>
      <w:numPr>
        <w:numId w:val="13"/>
      </w:numPr>
      <w:tabs>
        <w:tab w:val="clear" w:pos="340"/>
      </w:tabs>
      <w:spacing w:before="40" w:after="40"/>
    </w:pPr>
  </w:style>
  <w:style w:type="character" w:customStyle="1" w:styleId="SpecialBold">
    <w:name w:val="Special Bold"/>
    <w:basedOn w:val="DefaultParagraphFont"/>
    <w:rsid w:val="00A67811"/>
    <w:rPr>
      <w:b/>
      <w:spacing w:val="0"/>
    </w:rPr>
  </w:style>
  <w:style w:type="paragraph" w:styleId="ListBullet2">
    <w:name w:val="List Bullet 2"/>
    <w:basedOn w:val="List2"/>
    <w:rsid w:val="00A67811"/>
    <w:pPr>
      <w:numPr>
        <w:numId w:val="14"/>
      </w:numPr>
      <w:tabs>
        <w:tab w:val="clear" w:pos="680"/>
      </w:tabs>
    </w:pPr>
  </w:style>
  <w:style w:type="paragraph" w:styleId="Header">
    <w:name w:val="header"/>
    <w:basedOn w:val="Normal"/>
    <w:link w:val="HeaderChar"/>
    <w:rsid w:val="00A67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8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811"/>
    <w:pPr>
      <w:spacing w:before="240" w:after="120"/>
      <w:outlineLvl w:val="0"/>
    </w:pPr>
    <w:rPr>
      <w:rFonts w:ascii="Times New Roman" w:hAnsi="Times New Roman"/>
      <w:b/>
      <w:sz w:val="28"/>
    </w:rPr>
  </w:style>
  <w:style w:type="paragraph" w:customStyle="1" w:styleId="AllowPageBreak">
    <w:name w:val="AllowPageBreak"/>
    <w:rsid w:val="00A67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8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8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811"/>
    <w:rPr>
      <w:rFonts w:ascii="Courier New" w:eastAsia="Times New Roman" w:hAnsi="Courier New" w:cs="Times New Roman"/>
      <w:i/>
      <w:szCs w:val="20"/>
      <w:lang w:val="en-US" w:eastAsia="en-US"/>
    </w:rPr>
  </w:style>
  <w:style w:type="paragraph" w:customStyle="1" w:styleId="HeadingBase">
    <w:name w:val="Heading Base"/>
    <w:rsid w:val="00A67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811"/>
    <w:pPr>
      <w:tabs>
        <w:tab w:val="right" w:leader="dot" w:pos="9072"/>
      </w:tabs>
      <w:ind w:left="567"/>
    </w:pPr>
    <w:rPr>
      <w:szCs w:val="22"/>
    </w:rPr>
  </w:style>
  <w:style w:type="paragraph" w:customStyle="1" w:styleId="TOCBase">
    <w:name w:val="TOC Base"/>
    <w:rsid w:val="00A67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811"/>
    <w:pPr>
      <w:tabs>
        <w:tab w:val="right" w:leader="dot" w:pos="9072"/>
      </w:tabs>
      <w:spacing w:before="40" w:after="40"/>
      <w:ind w:left="284"/>
    </w:pPr>
    <w:rPr>
      <w:rFonts w:ascii="Times New Roman" w:hAnsi="Times New Roman"/>
    </w:rPr>
  </w:style>
  <w:style w:type="paragraph" w:styleId="TOC1">
    <w:name w:val="toc 1"/>
    <w:basedOn w:val="TOCBase"/>
    <w:next w:val="Normal"/>
    <w:rsid w:val="00A678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811"/>
    <w:pPr>
      <w:spacing w:before="5040"/>
      <w:jc w:val="center"/>
    </w:pPr>
    <w:rPr>
      <w:sz w:val="48"/>
      <w:szCs w:val="72"/>
      <w:lang w:val="en-US"/>
    </w:rPr>
  </w:style>
  <w:style w:type="character" w:customStyle="1" w:styleId="TitleChar">
    <w:name w:val="Title Char"/>
    <w:basedOn w:val="DefaultParagraphFont"/>
    <w:link w:val="Title"/>
    <w:rsid w:val="00A67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811"/>
    <w:pPr>
      <w:tabs>
        <w:tab w:val="left" w:pos="3600"/>
        <w:tab w:val="left" w:pos="3958"/>
      </w:tabs>
    </w:pPr>
  </w:style>
  <w:style w:type="paragraph" w:styleId="List">
    <w:name w:val="List"/>
    <w:basedOn w:val="BodyText"/>
    <w:next w:val="BodyText"/>
    <w:rsid w:val="00A67811"/>
    <w:pPr>
      <w:tabs>
        <w:tab w:val="left" w:pos="340"/>
      </w:tabs>
      <w:spacing w:before="60" w:after="60"/>
      <w:ind w:left="340" w:hanging="340"/>
    </w:pPr>
  </w:style>
  <w:style w:type="paragraph" w:customStyle="1" w:styleId="Note">
    <w:name w:val="Note"/>
    <w:basedOn w:val="BodyText"/>
    <w:rsid w:val="00A67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811"/>
    <w:pPr>
      <w:framePr w:wrap="auto" w:hAnchor="text" w:y="6049"/>
    </w:pPr>
    <w:rPr>
      <w:color w:val="000000"/>
      <w:sz w:val="40"/>
    </w:rPr>
  </w:style>
  <w:style w:type="paragraph" w:customStyle="1" w:styleId="TOCTitle">
    <w:name w:val="TOCTitle"/>
    <w:basedOn w:val="Heading1"/>
    <w:rsid w:val="00A67811"/>
    <w:pPr>
      <w:spacing w:after="240"/>
      <w:jc w:val="center"/>
      <w:outlineLvl w:val="9"/>
    </w:pPr>
    <w:rPr>
      <w:caps/>
    </w:rPr>
  </w:style>
  <w:style w:type="paragraph" w:customStyle="1" w:styleId="Version">
    <w:name w:val="Version"/>
    <w:rsid w:val="00A67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811"/>
    <w:pPr>
      <w:keepNext w:val="0"/>
      <w:tabs>
        <w:tab w:val="right" w:pos="4176"/>
      </w:tabs>
      <w:ind w:left="198" w:hanging="198"/>
    </w:pPr>
    <w:rPr>
      <w:rFonts w:ascii="Garamond" w:hAnsi="Garamond"/>
    </w:rPr>
  </w:style>
  <w:style w:type="paragraph" w:styleId="IndexHeading">
    <w:name w:val="index heading"/>
    <w:basedOn w:val="Normal"/>
    <w:next w:val="Index1"/>
    <w:semiHidden/>
    <w:rsid w:val="00A67811"/>
    <w:pPr>
      <w:spacing w:before="120" w:after="120"/>
    </w:pPr>
    <w:rPr>
      <w:rFonts w:ascii="Arial" w:hAnsi="Arial"/>
      <w:b/>
      <w:color w:val="918585"/>
      <w:sz w:val="24"/>
    </w:rPr>
  </w:style>
  <w:style w:type="paragraph" w:customStyle="1" w:styleId="Chapter">
    <w:name w:val="Chapter"/>
    <w:basedOn w:val="Normal"/>
    <w:rsid w:val="00A67811"/>
    <w:pPr>
      <w:spacing w:before="240"/>
    </w:pPr>
    <w:rPr>
      <w:rFonts w:ascii="Times New Roman" w:hAnsi="Times New Roman"/>
      <w:smallCaps/>
      <w:spacing w:val="80"/>
      <w:sz w:val="28"/>
    </w:rPr>
  </w:style>
  <w:style w:type="paragraph" w:customStyle="1" w:styleId="InChapter">
    <w:name w:val="InChapter"/>
    <w:basedOn w:val="Heading3"/>
    <w:rsid w:val="00A67811"/>
    <w:pPr>
      <w:spacing w:after="240"/>
      <w:outlineLvl w:val="9"/>
    </w:pPr>
    <w:rPr>
      <w:noProof/>
    </w:rPr>
  </w:style>
  <w:style w:type="paragraph" w:styleId="Index2">
    <w:name w:val="index 2"/>
    <w:basedOn w:val="Normal"/>
    <w:next w:val="Normal"/>
    <w:semiHidden/>
    <w:rsid w:val="00A67811"/>
    <w:pPr>
      <w:tabs>
        <w:tab w:val="right" w:pos="4176"/>
      </w:tabs>
      <w:ind w:left="568" w:hanging="284"/>
    </w:pPr>
    <w:rPr>
      <w:rFonts w:ascii="Garamond" w:hAnsi="Garamond"/>
    </w:rPr>
  </w:style>
  <w:style w:type="paragraph" w:customStyle="1" w:styleId="Byline">
    <w:name w:val="Byline"/>
    <w:rsid w:val="00A67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811"/>
    <w:pPr>
      <w:tabs>
        <w:tab w:val="clear" w:pos="3600"/>
        <w:tab w:val="clear" w:pos="3958"/>
      </w:tabs>
      <w:jc w:val="right"/>
    </w:pPr>
  </w:style>
  <w:style w:type="character" w:styleId="Emphasis">
    <w:name w:val="Emphasis"/>
    <w:basedOn w:val="DefaultParagraphFont"/>
    <w:qFormat/>
    <w:rsid w:val="00A67811"/>
    <w:rPr>
      <w:i/>
    </w:rPr>
  </w:style>
  <w:style w:type="paragraph" w:styleId="Caption">
    <w:name w:val="caption"/>
    <w:basedOn w:val="BodyText"/>
    <w:next w:val="Normal"/>
    <w:qFormat/>
    <w:rsid w:val="00A67811"/>
    <w:pPr>
      <w:framePr w:w="2268" w:hSpace="181" w:vSpace="181" w:wrap="around" w:vAnchor="text" w:hAnchor="page" w:x="1135" w:y="285" w:anchorLock="1"/>
    </w:pPr>
    <w:rPr>
      <w:i/>
    </w:rPr>
  </w:style>
  <w:style w:type="paragraph" w:customStyle="1" w:styleId="MiniTOCTitle">
    <w:name w:val="MiniTOCTitle"/>
    <w:basedOn w:val="Heading4"/>
    <w:rsid w:val="00A67811"/>
    <w:pPr>
      <w:spacing w:before="240"/>
      <w:outlineLvl w:val="9"/>
    </w:pPr>
    <w:rPr>
      <w:noProof/>
      <w:sz w:val="24"/>
    </w:rPr>
  </w:style>
  <w:style w:type="paragraph" w:customStyle="1" w:styleId="MiniTOCItem">
    <w:name w:val="MiniTOCItem"/>
    <w:basedOn w:val="ListBullet"/>
    <w:rsid w:val="00A67811"/>
    <w:pPr>
      <w:numPr>
        <w:numId w:val="0"/>
      </w:numPr>
      <w:tabs>
        <w:tab w:val="right" w:leader="dot" w:pos="6521"/>
      </w:tabs>
      <w:spacing w:before="0" w:after="0"/>
    </w:pPr>
  </w:style>
  <w:style w:type="paragraph" w:customStyle="1" w:styleId="TOFTitle">
    <w:name w:val="TOFTitle"/>
    <w:basedOn w:val="TOCTitle"/>
    <w:rsid w:val="00A67811"/>
  </w:style>
  <w:style w:type="paragraph" w:styleId="TableofFigures">
    <w:name w:val="table of figures"/>
    <w:basedOn w:val="Normal"/>
    <w:next w:val="Normal"/>
    <w:semiHidden/>
    <w:rsid w:val="00A67811"/>
    <w:pPr>
      <w:tabs>
        <w:tab w:val="right" w:leader="dot" w:pos="9072"/>
      </w:tabs>
      <w:ind w:left="970" w:hanging="403"/>
    </w:pPr>
    <w:rPr>
      <w:rFonts w:ascii="Times New Roman" w:hAnsi="Times New Roman"/>
      <w:b/>
    </w:rPr>
  </w:style>
  <w:style w:type="paragraph" w:styleId="ListNumber">
    <w:name w:val="List Number"/>
    <w:basedOn w:val="List"/>
    <w:rsid w:val="00A67811"/>
    <w:pPr>
      <w:numPr>
        <w:numId w:val="11"/>
      </w:numPr>
    </w:pPr>
  </w:style>
  <w:style w:type="character" w:customStyle="1" w:styleId="WingdingSymbols">
    <w:name w:val="Wingding Symbols"/>
    <w:rsid w:val="00A67811"/>
    <w:rPr>
      <w:rFonts w:ascii="Wingdings" w:hAnsi="Wingdings"/>
    </w:rPr>
  </w:style>
  <w:style w:type="paragraph" w:customStyle="1" w:styleId="TableHeading">
    <w:name w:val="Table Heading"/>
    <w:basedOn w:val="HeadingBase"/>
    <w:rsid w:val="00A67811"/>
    <w:pPr>
      <w:keepLines/>
      <w:pBdr>
        <w:bottom w:val="single" w:sz="6" w:space="1" w:color="918585"/>
      </w:pBdr>
      <w:spacing w:before="240"/>
    </w:pPr>
  </w:style>
  <w:style w:type="character" w:customStyle="1" w:styleId="HotSpot">
    <w:name w:val="HotSpot"/>
    <w:rsid w:val="00A67811"/>
    <w:rPr>
      <w:color w:val="0033CC"/>
      <w:u w:val="none"/>
    </w:rPr>
  </w:style>
  <w:style w:type="paragraph" w:customStyle="1" w:styleId="BodyTextRight">
    <w:name w:val="Body Text Right"/>
    <w:basedOn w:val="BodyText"/>
    <w:rsid w:val="00A67811"/>
    <w:pPr>
      <w:spacing w:before="0" w:after="0"/>
      <w:jc w:val="right"/>
    </w:pPr>
  </w:style>
  <w:style w:type="paragraph" w:styleId="Index3">
    <w:name w:val="index 3"/>
    <w:basedOn w:val="ListNumber2"/>
    <w:next w:val="Normal"/>
    <w:semiHidden/>
    <w:rsid w:val="00A67811"/>
    <w:pPr>
      <w:numPr>
        <w:numId w:val="0"/>
      </w:numPr>
      <w:tabs>
        <w:tab w:val="right" w:leader="dot" w:pos="4176"/>
      </w:tabs>
    </w:pPr>
  </w:style>
  <w:style w:type="paragraph" w:styleId="ListNumber2">
    <w:name w:val="List Number 2"/>
    <w:basedOn w:val="List2"/>
    <w:rsid w:val="00A67811"/>
    <w:pPr>
      <w:numPr>
        <w:numId w:val="10"/>
      </w:numPr>
      <w:tabs>
        <w:tab w:val="clear" w:pos="1060"/>
      </w:tabs>
    </w:pPr>
  </w:style>
  <w:style w:type="paragraph" w:customStyle="1" w:styleId="MarginNote">
    <w:name w:val="Margin Note"/>
    <w:basedOn w:val="BodyText"/>
    <w:rsid w:val="00A67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8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811"/>
    <w:rPr>
      <w:sz w:val="32"/>
    </w:rPr>
  </w:style>
  <w:style w:type="paragraph" w:customStyle="1" w:styleId="HeadingProcedure">
    <w:name w:val="Heading Procedure"/>
    <w:basedOn w:val="HeadingBase"/>
    <w:next w:val="Normal"/>
    <w:rsid w:val="00A67811"/>
    <w:pPr>
      <w:tabs>
        <w:tab w:val="left" w:pos="0"/>
      </w:tabs>
      <w:spacing w:before="120" w:after="60"/>
    </w:pPr>
    <w:rPr>
      <w:i/>
      <w:color w:val="918585"/>
      <w:sz w:val="22"/>
    </w:rPr>
  </w:style>
  <w:style w:type="paragraph" w:customStyle="1" w:styleId="TableBodyText">
    <w:name w:val="Table Body Text"/>
    <w:basedOn w:val="BodyText"/>
    <w:rsid w:val="00A67811"/>
    <w:pPr>
      <w:spacing w:before="60" w:after="60"/>
    </w:pPr>
  </w:style>
  <w:style w:type="paragraph" w:styleId="ListContinue">
    <w:name w:val="List Continue"/>
    <w:basedOn w:val="List"/>
    <w:rsid w:val="00A67811"/>
    <w:pPr>
      <w:ind w:firstLine="0"/>
    </w:pPr>
  </w:style>
  <w:style w:type="paragraph" w:customStyle="1" w:styleId="ListNote">
    <w:name w:val="List Note"/>
    <w:basedOn w:val="List"/>
    <w:rsid w:val="00A67811"/>
    <w:pPr>
      <w:pBdr>
        <w:top w:val="single" w:sz="6" w:space="2" w:color="918585"/>
        <w:bottom w:val="single" w:sz="6" w:space="2" w:color="918585"/>
      </w:pBdr>
      <w:tabs>
        <w:tab w:val="left" w:pos="1021"/>
      </w:tabs>
      <w:ind w:firstLine="0"/>
    </w:pPr>
  </w:style>
  <w:style w:type="paragraph" w:customStyle="1" w:styleId="Warning">
    <w:name w:val="Warning"/>
    <w:basedOn w:val="BodyText"/>
    <w:rsid w:val="00A67811"/>
    <w:pPr>
      <w:shd w:val="clear" w:color="auto" w:fill="D9D9D9"/>
      <w:tabs>
        <w:tab w:val="left" w:pos="992"/>
      </w:tabs>
      <w:ind w:left="119" w:right="119"/>
    </w:pPr>
    <w:rPr>
      <w:sz w:val="20"/>
    </w:rPr>
  </w:style>
  <w:style w:type="paragraph" w:customStyle="1" w:styleId="MarginIcons">
    <w:name w:val="Margin Icons"/>
    <w:basedOn w:val="BodyText"/>
    <w:rsid w:val="00A67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811"/>
    <w:rPr>
      <w:rFonts w:ascii="Courier New" w:hAnsi="Courier New"/>
    </w:rPr>
  </w:style>
  <w:style w:type="paragraph" w:customStyle="1" w:styleId="NoteBullet">
    <w:name w:val="Note Bullet"/>
    <w:basedOn w:val="Note"/>
    <w:rsid w:val="00A67811"/>
    <w:pPr>
      <w:tabs>
        <w:tab w:val="clear" w:pos="680"/>
      </w:tabs>
      <w:spacing w:before="60" w:after="60"/>
    </w:pPr>
  </w:style>
  <w:style w:type="paragraph" w:customStyle="1" w:styleId="SubHeading2">
    <w:name w:val="SubHeading2"/>
    <w:basedOn w:val="HeadingBase"/>
    <w:rsid w:val="00A67811"/>
    <w:pPr>
      <w:spacing w:before="240" w:after="60"/>
    </w:pPr>
    <w:rPr>
      <w:sz w:val="20"/>
    </w:rPr>
  </w:style>
  <w:style w:type="paragraph" w:customStyle="1" w:styleId="SubHeading1">
    <w:name w:val="SubHeading1"/>
    <w:basedOn w:val="HeadingBase"/>
    <w:rsid w:val="00A67811"/>
    <w:pPr>
      <w:spacing w:before="240" w:after="60"/>
    </w:pPr>
    <w:rPr>
      <w:color w:val="918585"/>
      <w:sz w:val="22"/>
    </w:rPr>
  </w:style>
  <w:style w:type="paragraph" w:customStyle="1" w:styleId="SideHeading">
    <w:name w:val="Side Heading"/>
    <w:basedOn w:val="HeadingBase"/>
    <w:rsid w:val="00A67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811"/>
    <w:pPr>
      <w:numPr>
        <w:numId w:val="12"/>
      </w:numPr>
    </w:pPr>
  </w:style>
  <w:style w:type="paragraph" w:styleId="PlainText">
    <w:name w:val="Plain Text"/>
    <w:basedOn w:val="Normal"/>
    <w:link w:val="PlainTextChar"/>
    <w:rsid w:val="00A67811"/>
    <w:rPr>
      <w:sz w:val="20"/>
    </w:rPr>
  </w:style>
  <w:style w:type="character" w:customStyle="1" w:styleId="PlainTextChar">
    <w:name w:val="Plain Text Char"/>
    <w:basedOn w:val="DefaultParagraphFont"/>
    <w:link w:val="PlainText"/>
    <w:rsid w:val="00A678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7811"/>
    <w:rPr>
      <w:b/>
      <w:smallCaps/>
    </w:rPr>
  </w:style>
  <w:style w:type="paragraph" w:customStyle="1" w:styleId="TableListNumber">
    <w:name w:val="Table List Number"/>
    <w:basedOn w:val="ListNumber"/>
    <w:rsid w:val="00A67811"/>
    <w:pPr>
      <w:numPr>
        <w:numId w:val="0"/>
      </w:numPr>
    </w:pPr>
  </w:style>
  <w:style w:type="paragraph" w:styleId="TOC4">
    <w:name w:val="toc 4"/>
    <w:basedOn w:val="TOCBase"/>
    <w:next w:val="Normal"/>
    <w:semiHidden/>
    <w:rsid w:val="00A67811"/>
    <w:pPr>
      <w:tabs>
        <w:tab w:val="right" w:leader="dot" w:pos="9071"/>
      </w:tabs>
      <w:ind w:left="1701"/>
    </w:pPr>
  </w:style>
  <w:style w:type="paragraph" w:customStyle="1" w:styleId="ListAlpha">
    <w:name w:val="List Alpha"/>
    <w:basedOn w:val="List"/>
    <w:rsid w:val="00A67811"/>
    <w:pPr>
      <w:numPr>
        <w:numId w:val="9"/>
      </w:numPr>
    </w:pPr>
  </w:style>
  <w:style w:type="paragraph" w:customStyle="1" w:styleId="ListAlpha2">
    <w:name w:val="List Alpha 2"/>
    <w:basedOn w:val="List2"/>
    <w:rsid w:val="00A67811"/>
    <w:pPr>
      <w:numPr>
        <w:numId w:val="8"/>
      </w:numPr>
    </w:pPr>
  </w:style>
  <w:style w:type="paragraph" w:styleId="List2">
    <w:name w:val="List 2"/>
    <w:basedOn w:val="BodyText"/>
    <w:rsid w:val="00A67811"/>
    <w:pPr>
      <w:tabs>
        <w:tab w:val="left" w:pos="680"/>
      </w:tabs>
      <w:spacing w:before="60" w:after="60"/>
      <w:ind w:left="680" w:hanging="340"/>
    </w:pPr>
  </w:style>
  <w:style w:type="paragraph" w:styleId="List3">
    <w:name w:val="List 3"/>
    <w:basedOn w:val="BodyText"/>
    <w:rsid w:val="00A67811"/>
    <w:pPr>
      <w:tabs>
        <w:tab w:val="left" w:pos="1021"/>
      </w:tabs>
      <w:spacing w:before="60" w:after="60"/>
      <w:ind w:left="1020" w:hanging="340"/>
    </w:pPr>
  </w:style>
  <w:style w:type="paragraph" w:styleId="List4">
    <w:name w:val="List 4"/>
    <w:basedOn w:val="BodyText"/>
    <w:rsid w:val="00A67811"/>
    <w:pPr>
      <w:tabs>
        <w:tab w:val="left" w:pos="1361"/>
      </w:tabs>
      <w:spacing w:before="60" w:after="60"/>
      <w:ind w:left="1361" w:hanging="340"/>
    </w:pPr>
  </w:style>
  <w:style w:type="paragraph" w:styleId="List5">
    <w:name w:val="List 5"/>
    <w:basedOn w:val="BodyText"/>
    <w:rsid w:val="00A67811"/>
    <w:pPr>
      <w:tabs>
        <w:tab w:val="left" w:pos="1701"/>
      </w:tabs>
      <w:spacing w:before="60" w:after="60"/>
      <w:ind w:left="1701" w:hanging="340"/>
    </w:pPr>
  </w:style>
  <w:style w:type="paragraph" w:styleId="ListBullet3">
    <w:name w:val="List Bullet 3"/>
    <w:basedOn w:val="List3"/>
    <w:rsid w:val="00A67811"/>
    <w:pPr>
      <w:numPr>
        <w:numId w:val="15"/>
      </w:numPr>
      <w:tabs>
        <w:tab w:val="clear" w:pos="1021"/>
      </w:tabs>
      <w:ind w:left="1037" w:hanging="357"/>
    </w:pPr>
  </w:style>
  <w:style w:type="paragraph" w:styleId="ListBullet4">
    <w:name w:val="List Bullet 4"/>
    <w:basedOn w:val="List4"/>
    <w:rsid w:val="00A67811"/>
    <w:pPr>
      <w:numPr>
        <w:numId w:val="3"/>
      </w:numPr>
    </w:pPr>
  </w:style>
  <w:style w:type="paragraph" w:styleId="ListBullet5">
    <w:name w:val="List Bullet 5"/>
    <w:basedOn w:val="List5"/>
    <w:rsid w:val="00A67811"/>
    <w:pPr>
      <w:numPr>
        <w:numId w:val="4"/>
      </w:numPr>
    </w:pPr>
  </w:style>
  <w:style w:type="paragraph" w:styleId="ListContinue2">
    <w:name w:val="List Continue 2"/>
    <w:basedOn w:val="List2"/>
    <w:rsid w:val="00A67811"/>
    <w:pPr>
      <w:ind w:firstLine="0"/>
    </w:pPr>
  </w:style>
  <w:style w:type="paragraph" w:styleId="ListContinue3">
    <w:name w:val="List Continue 3"/>
    <w:basedOn w:val="List3"/>
    <w:rsid w:val="00A67811"/>
    <w:pPr>
      <w:ind w:left="1021" w:firstLine="0"/>
    </w:pPr>
  </w:style>
  <w:style w:type="paragraph" w:styleId="ListContinue4">
    <w:name w:val="List Continue 4"/>
    <w:basedOn w:val="List4"/>
    <w:rsid w:val="00A67811"/>
    <w:pPr>
      <w:ind w:firstLine="0"/>
    </w:pPr>
  </w:style>
  <w:style w:type="paragraph" w:styleId="ListContinue5">
    <w:name w:val="List Continue 5"/>
    <w:basedOn w:val="List5"/>
    <w:rsid w:val="00A67811"/>
    <w:pPr>
      <w:ind w:firstLine="0"/>
    </w:pPr>
  </w:style>
  <w:style w:type="paragraph" w:styleId="ListNumber3">
    <w:name w:val="List Number 3"/>
    <w:basedOn w:val="List3"/>
    <w:rsid w:val="00A67811"/>
    <w:pPr>
      <w:numPr>
        <w:numId w:val="5"/>
      </w:numPr>
    </w:pPr>
  </w:style>
  <w:style w:type="paragraph" w:styleId="ListNumber4">
    <w:name w:val="List Number 4"/>
    <w:basedOn w:val="List4"/>
    <w:rsid w:val="00A67811"/>
    <w:pPr>
      <w:numPr>
        <w:numId w:val="6"/>
      </w:numPr>
    </w:pPr>
  </w:style>
  <w:style w:type="paragraph" w:styleId="ListNumber5">
    <w:name w:val="List Number 5"/>
    <w:basedOn w:val="List5"/>
    <w:rsid w:val="00A67811"/>
    <w:pPr>
      <w:numPr>
        <w:numId w:val="7"/>
      </w:numPr>
    </w:pPr>
  </w:style>
  <w:style w:type="paragraph" w:styleId="BlockText">
    <w:name w:val="Block Text"/>
    <w:basedOn w:val="Normal"/>
    <w:rsid w:val="00A67811"/>
    <w:pPr>
      <w:spacing w:after="120"/>
      <w:ind w:left="1440" w:right="1440"/>
    </w:pPr>
  </w:style>
  <w:style w:type="character" w:customStyle="1" w:styleId="Subscript">
    <w:name w:val="Subscript"/>
    <w:basedOn w:val="DefaultParagraphFont"/>
    <w:rsid w:val="00A67811"/>
    <w:rPr>
      <w:sz w:val="16"/>
      <w:vertAlign w:val="subscript"/>
    </w:rPr>
  </w:style>
  <w:style w:type="character" w:customStyle="1" w:styleId="Superscript">
    <w:name w:val="Superscript"/>
    <w:basedOn w:val="DefaultParagraphFont"/>
    <w:rsid w:val="00A67811"/>
    <w:rPr>
      <w:sz w:val="16"/>
      <w:vertAlign w:val="superscript"/>
    </w:rPr>
  </w:style>
  <w:style w:type="character" w:customStyle="1" w:styleId="Symbols">
    <w:name w:val="Symbols"/>
    <w:basedOn w:val="DefaultParagraphFont"/>
    <w:rsid w:val="00A67811"/>
    <w:rPr>
      <w:rFonts w:ascii="Symbol" w:hAnsi="Symbol"/>
    </w:rPr>
  </w:style>
  <w:style w:type="character" w:customStyle="1" w:styleId="MenuOptions">
    <w:name w:val="Menu Options"/>
    <w:basedOn w:val="DefaultParagraphFont"/>
    <w:rsid w:val="00A67811"/>
    <w:rPr>
      <w:rFonts w:ascii="Arial Narrow" w:hAnsi="Arial Narrow"/>
      <w:smallCaps/>
    </w:rPr>
  </w:style>
  <w:style w:type="character" w:customStyle="1" w:styleId="Buttons">
    <w:name w:val="Buttons"/>
    <w:basedOn w:val="DefaultParagraphFont"/>
    <w:rsid w:val="00A67811"/>
    <w:rPr>
      <w:b/>
    </w:rPr>
  </w:style>
  <w:style w:type="character" w:customStyle="1" w:styleId="Underlined">
    <w:name w:val="Underlined"/>
    <w:basedOn w:val="DefaultParagraphFont"/>
    <w:rsid w:val="00A67811"/>
    <w:rPr>
      <w:u w:val="single"/>
    </w:rPr>
  </w:style>
  <w:style w:type="paragraph" w:customStyle="1" w:styleId="TableBodyTextRight">
    <w:name w:val="Table Body Text Right"/>
    <w:basedOn w:val="TableBodyText"/>
    <w:rsid w:val="00A67811"/>
    <w:pPr>
      <w:widowControl w:val="0"/>
      <w:autoSpaceDE w:val="0"/>
      <w:autoSpaceDN w:val="0"/>
      <w:adjustRightInd w:val="0"/>
      <w:jc w:val="right"/>
    </w:pPr>
    <w:rPr>
      <w:rFonts w:cs="Arial"/>
      <w:szCs w:val="18"/>
    </w:rPr>
  </w:style>
  <w:style w:type="paragraph" w:customStyle="1" w:styleId="CopyrightText">
    <w:name w:val="Copyright Text"/>
    <w:basedOn w:val="BodyText"/>
    <w:rsid w:val="00A67811"/>
    <w:rPr>
      <w:sz w:val="18"/>
    </w:rPr>
  </w:style>
  <w:style w:type="paragraph" w:customStyle="1" w:styleId="BodySmallRight">
    <w:name w:val="Body Small Right"/>
    <w:basedOn w:val="BodyTextRight"/>
    <w:rsid w:val="00A67811"/>
    <w:rPr>
      <w:sz w:val="18"/>
      <w:szCs w:val="18"/>
    </w:rPr>
  </w:style>
  <w:style w:type="paragraph" w:customStyle="1" w:styleId="MarginEdition">
    <w:name w:val="Margin Edition"/>
    <w:basedOn w:val="MarginNote"/>
    <w:rsid w:val="00A67811"/>
    <w:pPr>
      <w:spacing w:before="0" w:after="0"/>
    </w:pPr>
    <w:rPr>
      <w:rFonts w:ascii="Times New Roman" w:hAnsi="Times New Roman"/>
      <w:color w:val="999999"/>
    </w:rPr>
  </w:style>
  <w:style w:type="paragraph" w:customStyle="1" w:styleId="Spacer">
    <w:name w:val="Spacer"/>
    <w:basedOn w:val="Normal"/>
    <w:rsid w:val="00A67811"/>
    <w:rPr>
      <w:sz w:val="2"/>
      <w:szCs w:val="2"/>
    </w:rPr>
  </w:style>
  <w:style w:type="character" w:customStyle="1" w:styleId="Small">
    <w:name w:val="Small"/>
    <w:basedOn w:val="DefaultParagraphFont"/>
    <w:rsid w:val="00A67811"/>
    <w:rPr>
      <w:sz w:val="16"/>
    </w:rPr>
  </w:style>
  <w:style w:type="paragraph" w:customStyle="1" w:styleId="WideTable">
    <w:name w:val="Wide Table"/>
    <w:basedOn w:val="Normal"/>
    <w:rsid w:val="00A67811"/>
    <w:pPr>
      <w:ind w:left="-1418"/>
    </w:pPr>
    <w:rPr>
      <w:sz w:val="2"/>
      <w:szCs w:val="2"/>
    </w:rPr>
  </w:style>
  <w:style w:type="character" w:styleId="PageNumber">
    <w:name w:val="page number"/>
    <w:basedOn w:val="DefaultParagraphFont"/>
    <w:rsid w:val="00A67811"/>
  </w:style>
  <w:style w:type="paragraph" w:styleId="Quote">
    <w:name w:val="Quote"/>
    <w:basedOn w:val="Heading1"/>
    <w:link w:val="QuoteChar"/>
    <w:qFormat/>
    <w:rsid w:val="00A67811"/>
    <w:rPr>
      <w:b w:val="0"/>
      <w:sz w:val="72"/>
      <w:szCs w:val="72"/>
      <w:lang w:val="en-NZ"/>
    </w:rPr>
  </w:style>
  <w:style w:type="character" w:customStyle="1" w:styleId="QuoteChar">
    <w:name w:val="Quote Char"/>
    <w:basedOn w:val="DefaultParagraphFont"/>
    <w:link w:val="Quote"/>
    <w:rsid w:val="00A67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811"/>
    <w:pPr>
      <w:pageBreakBefore/>
    </w:pPr>
  </w:style>
  <w:style w:type="paragraph" w:customStyle="1" w:styleId="Border">
    <w:name w:val="Border"/>
    <w:basedOn w:val="Normal"/>
    <w:qFormat/>
    <w:rsid w:val="00A67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811"/>
    <w:rPr>
      <w:b/>
      <w:bCs/>
      <w:i/>
      <w:iCs/>
      <w:color w:val="auto"/>
    </w:rPr>
  </w:style>
  <w:style w:type="paragraph" w:styleId="IntenseQuote">
    <w:name w:val="Intense Quote"/>
    <w:basedOn w:val="Normal"/>
    <w:next w:val="Normal"/>
    <w:link w:val="IntenseQuoteChar"/>
    <w:uiPriority w:val="30"/>
    <w:qFormat/>
    <w:rsid w:val="00A67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8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7811"/>
    <w:rPr>
      <w:smallCaps/>
      <w:color w:val="auto"/>
      <w:u w:val="single"/>
    </w:rPr>
  </w:style>
  <w:style w:type="character" w:styleId="IntenseReference">
    <w:name w:val="Intense Reference"/>
    <w:basedOn w:val="DefaultParagraphFont"/>
    <w:uiPriority w:val="32"/>
    <w:qFormat/>
    <w:rsid w:val="00A67811"/>
    <w:rPr>
      <w:b/>
      <w:bCs/>
      <w:smallCaps/>
      <w:color w:val="auto"/>
      <w:spacing w:val="5"/>
      <w:u w:val="single"/>
    </w:rPr>
  </w:style>
  <w:style w:type="paragraph" w:customStyle="1" w:styleId="2ColumnHeading">
    <w:name w:val="2Column Heading"/>
    <w:basedOn w:val="BodyText"/>
    <w:qFormat/>
    <w:rsid w:val="00A67811"/>
    <w:pPr>
      <w:spacing w:after="60"/>
      <w:ind w:left="-2268"/>
    </w:pPr>
    <w:rPr>
      <w:b/>
    </w:rPr>
  </w:style>
  <w:style w:type="paragraph" w:customStyle="1" w:styleId="Heading1TOC">
    <w:name w:val="Heading1 TOC"/>
    <w:basedOn w:val="Normal"/>
    <w:qFormat/>
    <w:rsid w:val="00A67811"/>
    <w:pPr>
      <w:spacing w:before="240" w:after="120"/>
    </w:pPr>
    <w:rPr>
      <w:rFonts w:ascii="Times New Roman" w:hAnsi="Times New Roman"/>
      <w:b/>
      <w:sz w:val="32"/>
    </w:rPr>
  </w:style>
  <w:style w:type="paragraph" w:customStyle="1" w:styleId="Heading2TOC">
    <w:name w:val="Heading2 TOC"/>
    <w:basedOn w:val="Normal"/>
    <w:qFormat/>
    <w:rsid w:val="00A67811"/>
    <w:pPr>
      <w:spacing w:before="240" w:after="60"/>
    </w:pPr>
    <w:rPr>
      <w:rFonts w:ascii="Times New Roman" w:hAnsi="Times New Roman"/>
      <w:b/>
      <w:sz w:val="28"/>
    </w:rPr>
  </w:style>
  <w:style w:type="character" w:customStyle="1" w:styleId="Underline">
    <w:name w:val="Underline"/>
    <w:basedOn w:val="DefaultParagraphFont"/>
    <w:qFormat/>
    <w:rsid w:val="00A67811"/>
    <w:rPr>
      <w:u w:val="single"/>
    </w:rPr>
  </w:style>
  <w:style w:type="character" w:customStyle="1" w:styleId="BoldandItalics">
    <w:name w:val="Bold and Italics"/>
    <w:qFormat/>
    <w:rsid w:val="00A67811"/>
    <w:rPr>
      <w:b/>
      <w:i/>
      <w:u w:val="none"/>
    </w:rPr>
  </w:style>
  <w:style w:type="paragraph" w:styleId="BalloonText">
    <w:name w:val="Balloon Text"/>
    <w:basedOn w:val="Normal"/>
    <w:link w:val="BalloonTextChar"/>
    <w:rsid w:val="00A67811"/>
    <w:rPr>
      <w:rFonts w:ascii="Tahoma" w:hAnsi="Tahoma" w:cs="Tahoma"/>
      <w:sz w:val="16"/>
      <w:szCs w:val="16"/>
    </w:rPr>
  </w:style>
  <w:style w:type="character" w:customStyle="1" w:styleId="BalloonTextChar">
    <w:name w:val="Balloon Text Char"/>
    <w:basedOn w:val="DefaultParagraphFont"/>
    <w:link w:val="BalloonText"/>
    <w:rsid w:val="00A678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8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8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2228</Words>
  <Characters>13432</Characters>
  <Application>Microsoft Office Word</Application>
  <DocSecurity>0</DocSecurity>
  <Lines>530</Lines>
  <Paragraphs>210</Paragraphs>
  <ScaleCrop>false</ScaleCrop>
  <Company>Author-it Software Corporation Ltd.</Company>
  <LinksUpToDate>false</LinksUpToDate>
  <CharactersWithSpaces>15488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UETTDRIS72A Diagnose and rectify faults in distributed generation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2012-05-26T12:14:00Z</dcterms:created>
  <dcterms:modified xsi:type="dcterms:W3CDTF">2012-05-26T12:14:00Z</dcterms:modified>
</cp:coreProperties>
</file>