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612" w:rsidP="00100612">
      <w:pPr>
        <w:pStyle w:val="Title"/>
      </w:pPr>
      <w:bookmarkStart w:id="0" w:name="_GoBack"/>
      <w:bookmarkEnd w:id="0"/>
      <w:r>
        <w:fldChar w:fldCharType="begin"/>
      </w:r>
      <w:r>
        <w:instrText xml:space="preserve"> TITLE   \* MERGEFORMAT </w:instrText>
      </w:r>
      <w:r>
        <w:fldChar w:fldCharType="separate"/>
      </w:r>
      <w:r>
        <w:t>UETTDRIS70A Diagnose and rectify faults in electrical energy distribution systems</w:t>
      </w:r>
      <w:r>
        <w:fldChar w:fldCharType="end"/>
      </w:r>
    </w:p>
    <w:p w:rsidR="00100612" w:rsidP="00100612">
      <w:pPr>
        <w:pStyle w:val="Version"/>
        <w:sectPr w:rsidSect="00A46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291" w:rsidP="00A46291">
      <w:pPr>
        <w:pStyle w:val="SuperHeading"/>
      </w:pPr>
      <w:r w:rsidRPr="00A46291">
        <w:t>UETTDRIS70A Diagnose and rectify faults in electrical energy distribution systems</w:t>
      </w:r>
    </w:p>
    <w:p w:rsidR="00000000" w:rsidRPr="00A46291" w:rsidP="00A46291">
      <w:pPr>
        <w:pStyle w:val="Heading1"/>
      </w:pPr>
      <w:bookmarkStart w:id="1" w:name="O_463161"/>
      <w:bookmarkEnd w:id="1"/>
      <w:r w:rsidRPr="00A46291">
        <w:t>Modification History</w:t>
      </w:r>
    </w:p>
    <w:p w:rsidR="00000000" w:rsidRPr="00A46291" w:rsidP="00A46291">
      <w:pPr>
        <w:pStyle w:val="BodyText"/>
      </w:pPr>
      <w:r w:rsidRPr="00A46291">
        <w:t>Not applicable.</w:t>
      </w:r>
    </w:p>
    <w:p w:rsidR="00000000" w:rsidRPr="00A46291" w:rsidP="00A46291">
      <w:pPr>
        <w:pStyle w:val="AllowPageBreak"/>
      </w:pPr>
    </w:p>
    <w:p w:rsidR="00000000" w:rsidRPr="00A46291" w:rsidP="00A46291">
      <w:pPr>
        <w:pStyle w:val="Heading1"/>
      </w:pPr>
      <w:bookmarkStart w:id="2" w:name="O_463159"/>
      <w:bookmarkEnd w:id="2"/>
      <w:r w:rsidRPr="00A46291">
        <w:t>Unit Descriptor</w:t>
      </w:r>
    </w:p>
    <w:tbl>
      <w:tblPr>
        <w:tblW w:w="0" w:type="auto"/>
        <w:tblLayout w:type="fixed"/>
        <w:tblCellMar>
          <w:left w:w="62" w:type="dxa"/>
          <w:right w:w="62" w:type="dxa"/>
        </w:tblCellMar>
        <w:tblLook w:val="0000"/>
      </w:tblPr>
      <w:tblGrid>
        <w:gridCol w:w="2700"/>
        <w:gridCol w:w="5760"/>
      </w:tblGrid>
      <w:tr w:rsidTr="001006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1)</w:t>
            </w:r>
            <w:r w:rsidRPr="00A46291">
              <w:t xml:space="preserve"> </w:t>
            </w:r>
            <w:r w:rsidRPr="00A46291">
              <w:rPr>
                <w:rStyle w:val="SpecialBold"/>
              </w:rPr>
              <w:t>Scope:</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2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1.1) Descriptor</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This unit covers diagnosing and rectifying faults in networks supplying electrical energy to consumers. The unit encompasses safe working practices, interpreting diagrams and technical data, applying knowledge of energy supply and reticulation systems to l</w:t>
            </w:r>
            <w:r w:rsidRPr="00A46291">
              <w:t>ogical fault finding processes, implementing fault rectification, safety and functional testing and reporting work activities and outcomes.</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3" w:name="O_463148"/>
      <w:bookmarkEnd w:id="3"/>
      <w:r w:rsidRPr="00A46291">
        <w:t>Application of the Unit</w:t>
      </w:r>
    </w:p>
    <w:tbl>
      <w:tblPr>
        <w:tblW w:w="0" w:type="auto"/>
        <w:tblLayout w:type="fixed"/>
        <w:tblCellMar>
          <w:left w:w="62" w:type="dxa"/>
          <w:right w:w="62" w:type="dxa"/>
        </w:tblCellMar>
        <w:tblLook w:val="0000"/>
      </w:tblPr>
      <w:tblGrid>
        <w:gridCol w:w="2672"/>
        <w:gridCol w:w="5699"/>
      </w:tblGrid>
      <w:tr w:rsidTr="001006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2)</w:t>
            </w:r>
          </w:p>
        </w:tc>
      </w:tr>
      <w:tr w:rsidTr="0010061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This unit is intended as an additional competency to relevant competencies previously acquired. It is suitable for employment-based programs under an approved contract of training at the aligned AQF 5 level or higher.</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4" w:name="O_463155"/>
      <w:bookmarkEnd w:id="4"/>
      <w:r w:rsidRPr="00A46291">
        <w:t>Licensing/Regulator</w:t>
      </w:r>
      <w:r w:rsidRPr="00A46291">
        <w:t>y Information</w:t>
      </w:r>
    </w:p>
    <w:tbl>
      <w:tblPr>
        <w:tblW w:w="0" w:type="auto"/>
        <w:tblLayout w:type="fixed"/>
        <w:tblCellMar>
          <w:left w:w="62" w:type="dxa"/>
          <w:right w:w="62" w:type="dxa"/>
        </w:tblCellMar>
        <w:tblLook w:val="0000"/>
      </w:tblPr>
      <w:tblGrid>
        <w:gridCol w:w="2700"/>
        <w:gridCol w:w="5760"/>
      </w:tblGrid>
      <w:tr w:rsidTr="001006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 xml:space="preserve">3) </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The skills and knowledge described in this unit require a license to practice in the workplace where plant and equipment operate at voltage above 50 V a.c. or 120 V d.c. However other conditions may apply in some jur</w:t>
            </w:r>
            <w:r w:rsidRPr="00A46291">
              <w:t xml:space="preserve">isdictions subject to regulations related to electrical work. Practice in the workplace and during training is also subject to regulations directly related to occupational </w:t>
            </w:r>
            <w:r w:rsidRPr="00A46291">
              <w:t>health and safety and where applicable contracts of training such as apprenticeships</w:t>
            </w:r>
            <w:r w:rsidRPr="00A46291">
              <w:t>.</w:t>
            </w:r>
          </w:p>
          <w:p w:rsidR="00000000" w:rsidRPr="00A46291" w:rsidP="00A46291">
            <w:pPr>
              <w:pStyle w:val="BodyText"/>
            </w:pPr>
            <w:r w:rsidRPr="00A46291">
              <w:t>Note:</w:t>
            </w:r>
          </w:p>
          <w:p w:rsidR="00000000" w:rsidRPr="00A46291" w:rsidP="00A46291">
            <w:pPr>
              <w:pStyle w:val="BodyText"/>
            </w:pPr>
            <w:r w:rsidRPr="00A46291">
              <w:t>1. Compliance with permits may be required in various jurisdictions and typically relates to the operation of plant, machinery and equipment such as elevating work platforms, powder operated fixing tools, power operated tools, vehicles, road signag</w:t>
            </w:r>
            <w:r w:rsidRPr="00A46291">
              <w:t>e and traffic control and lifting equipment. Permits may also be required for some work environments such as confined spaces, working aloft, near live electrical apparatus and site rehabilitation.</w:t>
            </w:r>
          </w:p>
          <w:p w:rsidR="00000000" w:rsidRPr="00A46291" w:rsidP="00A46291">
            <w:pPr>
              <w:pStyle w:val="BodyText"/>
            </w:pPr>
            <w:r w:rsidRPr="00A46291">
              <w:t>2. Compliance may be required in various jurisdictions rela</w:t>
            </w:r>
            <w:r w:rsidRPr="00A46291">
              <w:t>ting to currency in First Aid, confined space, lifting and risk safety measures.</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5" w:name="O_463156"/>
      <w:bookmarkEnd w:id="5"/>
      <w:r w:rsidRPr="00A46291">
        <w:t>Pre-Requisites</w:t>
      </w:r>
    </w:p>
    <w:tbl>
      <w:tblPr>
        <w:tblW w:w="0" w:type="auto"/>
        <w:tblLayout w:type="fixed"/>
        <w:tblCellMar>
          <w:left w:w="62" w:type="dxa"/>
          <w:right w:w="62" w:type="dxa"/>
        </w:tblCellMar>
        <w:tblLook w:val="0000"/>
      </w:tblPr>
      <w:tblGrid>
        <w:gridCol w:w="2700"/>
        <w:gridCol w:w="1980"/>
        <w:gridCol w:w="3780"/>
      </w:tblGrid>
      <w:tr w:rsidTr="001006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 xml:space="preserve">4) </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4.1)</w:t>
            </w:r>
          </w:p>
        </w:tc>
      </w:tr>
      <w:tr w:rsidTr="00100612">
        <w:tblPrEx>
          <w:tblW w:w="0" w:type="auto"/>
          <w:tblLayout w:type="fixed"/>
          <w:tblCellMar>
            <w:left w:w="62" w:type="dxa"/>
            <w:right w:w="62" w:type="dxa"/>
          </w:tblCellMar>
          <w:tblLook w:val="0000"/>
        </w:tblPrEx>
        <w:trPr>
          <w:trHeight w:val="227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Granting of competency in this unit shall be made only after competency in the following unit(s) has/have been confirmed.</w:t>
            </w:r>
          </w:p>
          <w:p w:rsidR="00000000" w:rsidRPr="00A46291" w:rsidP="00A46291">
            <w:pPr>
              <w:pStyle w:val="BodyText"/>
            </w:pPr>
            <w:r w:rsidRPr="00A46291">
              <w:t xml:space="preserve">Where pre-requisite pathways have been identified. All competencies in the Common Unit Group must be have been completed plus all the </w:t>
            </w:r>
            <w:r w:rsidRPr="00A46291">
              <w:t>competencies in one (1) of the identified Pathway Unit Group(s):</w:t>
            </w:r>
          </w:p>
          <w:p w:rsidR="00000000" w:rsidP="00A46291">
            <w:pPr>
              <w:pStyle w:val="BodyText"/>
              <w:rPr>
                <w:lang w:val="en-NZ"/>
              </w:rPr>
            </w:pPr>
            <w:r w:rsidRPr="00A46291">
              <w:t>Common Unit Group</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Unit Code</w:t>
            </w:r>
          </w:p>
        </w:tc>
        <w:tc>
          <w:tcPr>
            <w:tcW w:w="378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Unit Title</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Apply Occupational Health and Safety regulations, codes and practices in the workplace</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Fabricate, assemble and dismantle utilities industry components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d.c. Circuits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 xml:space="preserve">Fix and secure electrotechnology </w:t>
            </w:r>
            <w:r w:rsidRPr="00A46291">
              <w:t>equipment</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Use drawings, diagrams, schedules, standards, codes and specifications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electromagnetic devices and related circuits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low voltage a.c. Circuits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single and three phase low voltage machines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Terminate cables, cords and acces</w:t>
            </w:r>
            <w:r w:rsidRPr="00A46291">
              <w:t>sories for low voltage circuits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energy supply network equipment</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UETTDRIS68A</w:t>
            </w:r>
          </w:p>
        </w:tc>
        <w:tc>
          <w:tcPr>
            <w:tcW w:w="37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Solve problems in energy supply network protection equipment and systems</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46291">
            <w:pPr>
              <w:pStyle w:val="BodyText"/>
              <w:rPr>
                <w:lang w:val="en-NZ"/>
              </w:rPr>
            </w:pPr>
            <w:r w:rsidRPr="00A46291">
              <w:t>UETTDRIS69A</w:t>
            </w:r>
          </w:p>
        </w:tc>
        <w:tc>
          <w:tcPr>
            <w:tcW w:w="3780" w:type="dxa"/>
            <w:tcBorders>
              <w:top w:val="nil"/>
              <w:left w:val="nil"/>
              <w:bottom w:val="nil"/>
              <w:right w:val="nil"/>
            </w:tcBorders>
            <w:tcMar>
              <w:top w:w="0" w:type="dxa"/>
              <w:left w:w="62" w:type="dxa"/>
              <w:bottom w:w="0" w:type="dxa"/>
              <w:right w:w="62" w:type="dxa"/>
            </w:tcMar>
            <w:vAlign w:val="center"/>
          </w:tcPr>
          <w:p w:rsidR="00000000" w:rsidRPr="00A46291" w:rsidP="00A46291">
            <w:pPr>
              <w:pStyle w:val="BodyText"/>
            </w:pPr>
            <w:r w:rsidRPr="00A46291">
              <w:t>Diagnose and rectify faults in energy supply apparatus</w:t>
            </w:r>
          </w:p>
        </w:tc>
      </w:tr>
    </w:tbl>
    <w:p w:rsidR="00000000" w:rsidRPr="00A46291" w:rsidP="00A4629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061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 xml:space="preserve">4.2) </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Participants are best equipped to achieve competency in this unit if they have reading, writing and numeracy skills indicated by the following scales. Description of each scale is given in Volume 2, Part 3 ‘</w:t>
            </w:r>
            <w:r w:rsidRPr="00A46291">
              <w:t>Literacy and Numeracy’</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Reading</w:t>
            </w:r>
          </w:p>
        </w:tc>
        <w:tc>
          <w:tcPr>
            <w:tcW w:w="81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5</w:t>
            </w:r>
          </w:p>
        </w:tc>
        <w:tc>
          <w:tcPr>
            <w:tcW w:w="99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Writing</w:t>
            </w: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5</w:t>
            </w:r>
          </w:p>
        </w:tc>
        <w:tc>
          <w:tcPr>
            <w:tcW w:w="12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Numeracy</w:t>
            </w:r>
          </w:p>
        </w:tc>
        <w:tc>
          <w:tcPr>
            <w:tcW w:w="72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5</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6" w:name="O_463152"/>
      <w:bookmarkEnd w:id="6"/>
      <w:r w:rsidRPr="00A46291">
        <w:t>Employability Skills Information</w:t>
      </w:r>
    </w:p>
    <w:tbl>
      <w:tblPr>
        <w:tblW w:w="0" w:type="auto"/>
        <w:tblLayout w:type="fixed"/>
        <w:tblCellMar>
          <w:left w:w="62" w:type="dxa"/>
          <w:right w:w="62" w:type="dxa"/>
        </w:tblCellMar>
        <w:tblLook w:val="0000"/>
      </w:tblPr>
      <w:tblGrid>
        <w:gridCol w:w="2700"/>
        <w:gridCol w:w="5760"/>
      </w:tblGrid>
      <w:tr w:rsidTr="001006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 xml:space="preserve">5) </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The required outcomes described in this unit of competency contain applicable facets of Employability Skil</w:t>
            </w:r>
            <w:r w:rsidRPr="00A46291">
              <w:t>ls. The Employability Skills Summary of the qualification in which this unit of competency is packaged will assist in identifying Employability Skill requirements.</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7" w:name="O_463151"/>
      <w:bookmarkEnd w:id="7"/>
      <w:r w:rsidRPr="00A46291">
        <w:t>Elements and Performance Criteria Pre-Content</w:t>
      </w:r>
    </w:p>
    <w:tbl>
      <w:tblPr>
        <w:tblW w:w="0" w:type="auto"/>
        <w:tblLayout w:type="fixed"/>
        <w:tblCellMar>
          <w:left w:w="62" w:type="dxa"/>
          <w:right w:w="62" w:type="dxa"/>
        </w:tblCellMar>
        <w:tblLook w:val="0000"/>
      </w:tblPr>
      <w:tblGrid>
        <w:gridCol w:w="2700"/>
        <w:gridCol w:w="5760"/>
      </w:tblGrid>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6)</w:t>
            </w:r>
            <w:r w:rsidRPr="00A4629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Performance Criteria describe the required performance needed to demonstrate achievement of the element. Assessment of performance is to be consistent with the Evidence Guide.</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8" w:name="O_463150"/>
      <w:bookmarkEnd w:id="8"/>
      <w:r w:rsidRPr="00A4629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0061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PERFORMANCE CRITERIA</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w:t>
            </w:r>
          </w:p>
        </w:tc>
        <w:tc>
          <w:tcPr>
            <w:tcW w:w="2340" w:type="dxa"/>
            <w:vMerge w:val="restart"/>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1.1</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 xml:space="preserve">OHS procedures for a given work area are identified, obtained and understood. </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1.2</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Established OHS risk control measures and procedures in preparation for the work are followed.</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1.3</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 xml:space="preserve">Safety hazards which have not previously been identified are documented and risk control measures devised and implemented in consultation with </w:t>
            </w:r>
            <w:r w:rsidRPr="00A46291">
              <w:t>appropriate personnel.</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1.4</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The extent of faults is determined from reports and other documentation and fro discussion with appropriate personnel</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1.5</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Appropriate personnel are consulted to ensure the work is coordinated effectively with others involve</w:t>
            </w:r>
            <w:r w:rsidRPr="00A46291">
              <w:t>d on the work site</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1.6</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Tools, equipment and testing devices needed to diagnose faults are obtained in accordance with established procedures and checked for correct operation and safety.</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w:t>
            </w:r>
          </w:p>
        </w:tc>
        <w:tc>
          <w:tcPr>
            <w:tcW w:w="2340" w:type="dxa"/>
            <w:vMerge w:val="restart"/>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2.1</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OHS risk control measures and procedures for carrying out the work are followed.</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2.2</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The need to test or measure live is determined in strict accordance with OHS requirements and when necessary conducted within established safety procedures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2.3</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Circuits/machines/plant are checked as being isolated where necessary in strict accordance OHS requirements and procedures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2.4</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Logical diagnostic methods are applied to diagnose energy supply apparatus faults employing measurements and estimations of sy</w:t>
            </w:r>
            <w:r w:rsidRPr="00A46291">
              <w:t>stem operating parameters referenced to system operational requirements.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2.5</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Suspected fault scenarios are tested as being the source of system problems.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2.6</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Source of the fault is identified and appropriately competent persons are engaged to rectify the fault where it is outside the scope of the control system.</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2.7</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Faults in the apparatus components are rectified to raise energy supply apparatus to its oper</w:t>
            </w:r>
            <w:r w:rsidRPr="00A46291">
              <w:t>ation standard.</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2.8</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System is tested to verify that it operates as intended and to specified requirements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2.9</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Decisions for dealing with unexpected situations are made from discussions with appropriate persons and job specifications and requirements.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2.10</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Methods for dealing with unexpected situations are selected on the basis of safety and specified work outcomes.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2.11</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Diagnosis and rectification activities are carried out efficiently without unnecessary waste of materials or damage to apparatus and the surrounding environment or services and using sustainable energy practices.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3</w:t>
            </w:r>
          </w:p>
        </w:tc>
        <w:tc>
          <w:tcPr>
            <w:tcW w:w="234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 xml:space="preserve">Complete and report fault diagnosis and </w:t>
            </w:r>
            <w:r w:rsidRPr="00A46291">
              <w:t>rectification activities</w:t>
            </w: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3.1</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OHS work completion risk control measures and procedures are followed.</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3.2</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Work site is made safe in accordance with established safety procedures.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3.3</w:t>
            </w:r>
          </w:p>
        </w:tc>
        <w:tc>
          <w:tcPr>
            <w:tcW w:w="48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 xml:space="preserve">Rectification of faults is documented in accordance with established </w:t>
            </w:r>
            <w:r w:rsidRPr="00A46291">
              <w:t>procedures.</w:t>
            </w:r>
          </w:p>
        </w:tc>
      </w:tr>
      <w:tr w:rsidTr="0010061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3.4</w:t>
            </w:r>
          </w:p>
        </w:tc>
        <w:tc>
          <w:tcPr>
            <w:tcW w:w="48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 xml:space="preserve">Appropriate person or persons notified, in accordance with established procedures, that the system faults have been rectified </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9" w:name="O_463158"/>
      <w:bookmarkEnd w:id="9"/>
      <w:r w:rsidRPr="00A46291">
        <w:t>Required Skills and Knowledge</w:t>
      </w:r>
    </w:p>
    <w:tbl>
      <w:tblPr>
        <w:tblW w:w="0" w:type="auto"/>
        <w:tblLayout w:type="fixed"/>
        <w:tblCellMar>
          <w:left w:w="62" w:type="dxa"/>
          <w:right w:w="62" w:type="dxa"/>
        </w:tblCellMar>
        <w:tblLook w:val="0000"/>
      </w:tblPr>
      <w:tblGrid>
        <w:gridCol w:w="8460"/>
      </w:tblGrid>
      <w:tr w:rsidTr="001006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REQUIRED SKILLS AND KNOWLEDGE</w:t>
            </w:r>
          </w:p>
        </w:tc>
      </w:tr>
      <w:tr w:rsidTr="0010061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8)</w:t>
            </w:r>
            <w:r w:rsidRPr="00A46291">
              <w:t xml:space="preserve"> This describes the essential skills and knowledge and their level, required for this unit.</w:t>
            </w:r>
          </w:p>
          <w:p w:rsidR="00000000" w:rsidRPr="00A46291" w:rsidP="00A46291">
            <w:pPr>
              <w:pStyle w:val="BodyText"/>
            </w:pPr>
            <w:r w:rsidRPr="00A46291">
              <w:t>Evidence shall show that knowledge has been acquired of safe working practices and diagnosing and rectifying faults in electrical energy distribution systems.</w:t>
            </w:r>
          </w:p>
          <w:p w:rsidR="00000000" w:rsidRPr="00A46291" w:rsidP="00A46291">
            <w:pPr>
              <w:pStyle w:val="BodyText"/>
            </w:pPr>
            <w:r w:rsidRPr="00A46291">
              <w:t>All k</w:t>
            </w:r>
            <w:r w:rsidRPr="00A46291">
              <w:t>nowledge and skills detailed in this unit should be contextualised to current industry practices and technologies.</w:t>
            </w:r>
          </w:p>
          <w:p w:rsidR="00000000" w:rsidRPr="00A46291" w:rsidP="00A46291">
            <w:pPr>
              <w:pStyle w:val="BodyText"/>
            </w:pPr>
            <w:r w:rsidRPr="00A46291">
              <w:t>KS01-TIS70A</w:t>
            </w:r>
            <w:r w:rsidRPr="00A46291">
              <w:tab/>
              <w:t>Electrical power distribution systems diagnostic</w:t>
            </w:r>
          </w:p>
          <w:p w:rsidR="00000000" w:rsidRPr="00A46291" w:rsidP="00A46291">
            <w:pPr>
              <w:pStyle w:val="BodyText"/>
            </w:pPr>
            <w:r w:rsidRPr="00A46291">
              <w:t>Evidence shall show an understanding of diagnosing faults in power distribution systems to an extent indicated by the following aspects:</w:t>
            </w:r>
          </w:p>
          <w:p w:rsidR="00000000" w:rsidRPr="00A46291" w:rsidP="00A46291">
            <w:pPr>
              <w:pStyle w:val="BodyText"/>
            </w:pPr>
            <w:r w:rsidRPr="00A46291">
              <w:t>T1</w:t>
            </w:r>
            <w:r w:rsidRPr="00A46291">
              <w:tab/>
              <w:t>Distribution system overview including encompassing:</w:t>
            </w:r>
          </w:p>
          <w:p w:rsidR="00000000" w:rsidRPr="00A46291" w:rsidP="00A46291">
            <w:pPr>
              <w:pStyle w:val="ListBullet"/>
            </w:pPr>
            <w:r w:rsidRPr="00A46291">
              <w:t xml:space="preserve">regulatory conditions of supply and utilisation </w:t>
            </w:r>
          </w:p>
          <w:p w:rsidR="00000000" w:rsidRPr="00A46291" w:rsidP="00A46291">
            <w:pPr>
              <w:pStyle w:val="ListBullet"/>
            </w:pPr>
            <w:r w:rsidRPr="00A46291">
              <w:t>compliance wit</w:t>
            </w:r>
            <w:r w:rsidRPr="00A46291">
              <w:t>h Australian Standards.</w:t>
            </w:r>
          </w:p>
          <w:p w:rsidR="00000000" w:rsidRPr="00A46291" w:rsidP="00A46291">
            <w:pPr>
              <w:pStyle w:val="ListBullet"/>
            </w:pPr>
            <w:r w:rsidRPr="00A46291">
              <w:t>reticulation system including overhead/underground, urban/rural, HV customers and high-rise building systems. The effects of industrial customers</w:t>
            </w:r>
          </w:p>
          <w:p w:rsidR="00000000" w:rsidRPr="00A46291" w:rsidP="00A46291">
            <w:pPr>
              <w:pStyle w:val="ListBullet"/>
            </w:pPr>
            <w:r w:rsidRPr="00A46291">
              <w:t>methods used to ensure continuity of supply.</w:t>
            </w:r>
          </w:p>
          <w:p w:rsidR="00000000" w:rsidRPr="00A46291" w:rsidP="00A46291">
            <w:pPr>
              <w:pStyle w:val="ListBullet"/>
            </w:pPr>
            <w:r w:rsidRPr="00A46291">
              <w:t>types of substations in current use.</w:t>
            </w:r>
          </w:p>
          <w:p w:rsidR="00000000" w:rsidRPr="00A46291" w:rsidP="00A46291">
            <w:pPr>
              <w:pStyle w:val="ListBullet"/>
            </w:pPr>
            <w:r w:rsidRPr="00A46291">
              <w:t>syst</w:t>
            </w:r>
            <w:r w:rsidRPr="00A46291">
              <w:t>ems of distribution used, (primary and secondary)</w:t>
            </w:r>
          </w:p>
          <w:p w:rsidR="00000000" w:rsidRPr="00A46291" w:rsidP="00A46291">
            <w:pPr>
              <w:pStyle w:val="ListBullet"/>
            </w:pPr>
            <w:r w:rsidRPr="00A46291">
              <w:t>voltage levels, power factor, wave-form distortion and transient loading</w:t>
            </w:r>
          </w:p>
          <w:p w:rsidR="00000000" w:rsidRPr="00A46291" w:rsidP="00A46291">
            <w:pPr>
              <w:pStyle w:val="ListBullet"/>
            </w:pPr>
            <w:r w:rsidRPr="00A46291">
              <w:t>supply quality</w:t>
            </w:r>
          </w:p>
          <w:p w:rsidR="00000000" w:rsidRPr="00A46291" w:rsidP="00A46291">
            <w:pPr>
              <w:pStyle w:val="ListBullet"/>
            </w:pPr>
            <w:r w:rsidRPr="00A46291">
              <w:t>load curve profiles (residential/industrial/commercial)</w:t>
            </w:r>
          </w:p>
          <w:p w:rsidR="00000000" w:rsidRPr="00A46291" w:rsidP="00A46291">
            <w:pPr>
              <w:pStyle w:val="ListBullet"/>
            </w:pPr>
            <w:r w:rsidRPr="00A46291">
              <w:t>types of feeders</w:t>
            </w:r>
          </w:p>
          <w:p w:rsidR="00000000" w:rsidRPr="00A46291" w:rsidP="00A46291">
            <w:pPr>
              <w:pStyle w:val="ListBullet"/>
            </w:pPr>
            <w:r w:rsidRPr="00A46291">
              <w:t>distribution systems (urban, rural single-pha</w:t>
            </w:r>
            <w:r w:rsidRPr="00A46291">
              <w:t>se systems, SWER, spur, parallel and ring systems etc.)</w:t>
            </w:r>
          </w:p>
          <w:p w:rsidR="00000000" w:rsidRPr="00A46291" w:rsidP="00A46291">
            <w:pPr>
              <w:pStyle w:val="BodyText"/>
            </w:pPr>
            <w:r w:rsidRPr="00A46291">
              <w:t>T2</w:t>
            </w:r>
            <w:r w:rsidRPr="00A46291">
              <w:tab/>
              <w:t>Overhead lines and installation encompassing:</w:t>
            </w:r>
          </w:p>
          <w:p w:rsidR="00000000" w:rsidRPr="00A46291" w:rsidP="00A46291">
            <w:pPr>
              <w:pStyle w:val="ListBullet"/>
            </w:pPr>
            <w:r w:rsidRPr="00A46291">
              <w:t>industry and safety regulations</w:t>
            </w:r>
          </w:p>
          <w:p w:rsidR="00000000" w:rsidRPr="00A46291" w:rsidP="00A46291">
            <w:pPr>
              <w:pStyle w:val="ListBullet"/>
            </w:pPr>
            <w:r w:rsidRPr="00A46291">
              <w:t>overhead conductors</w:t>
            </w:r>
          </w:p>
          <w:p w:rsidR="00000000" w:rsidRPr="00A46291" w:rsidP="00A46291">
            <w:pPr>
              <w:pStyle w:val="ListBullet"/>
            </w:pPr>
            <w:r w:rsidRPr="00A46291">
              <w:t>conductor material</w:t>
            </w:r>
          </w:p>
          <w:p w:rsidR="00000000" w:rsidRPr="00A46291" w:rsidP="00A46291">
            <w:pPr>
              <w:pStyle w:val="ListBullet"/>
            </w:pPr>
            <w:r w:rsidRPr="00A46291">
              <w:t>current rating factors (heating, voltage drops, power losses)</w:t>
            </w:r>
          </w:p>
          <w:p w:rsidR="00000000" w:rsidRPr="00A46291" w:rsidP="00A46291">
            <w:pPr>
              <w:pStyle w:val="ListBullet"/>
            </w:pPr>
            <w:r w:rsidRPr="00A46291">
              <w:t>aerial bundled cab</w:t>
            </w:r>
            <w:r w:rsidRPr="00A46291">
              <w:t>les (HV and LV)</w:t>
            </w:r>
          </w:p>
          <w:p w:rsidR="00000000" w:rsidRPr="00A46291" w:rsidP="00A46291">
            <w:pPr>
              <w:pStyle w:val="ListBullet"/>
            </w:pPr>
            <w:r w:rsidRPr="00A46291">
              <w:t>covered conductors - characteristics of lines and cables including the calculation of R, X and B for different arrangements of conductor. Typical values for actual lines. Transposition. Models based on line length. Voltage and line regulati</w:t>
            </w:r>
            <w:r w:rsidRPr="00A46291">
              <w:t>on</w:t>
            </w:r>
          </w:p>
          <w:p w:rsidR="00000000" w:rsidRPr="00A46291" w:rsidP="00A46291">
            <w:pPr>
              <w:pStyle w:val="ListBullet"/>
            </w:pPr>
            <w:r w:rsidRPr="00A46291">
              <w:t>overhead line poles</w:t>
            </w:r>
          </w:p>
          <w:p w:rsidR="00000000" w:rsidRPr="00A46291" w:rsidP="00A46291">
            <w:pPr>
              <w:pStyle w:val="ListBullet"/>
            </w:pPr>
            <w:r w:rsidRPr="00A46291">
              <w:t>types (wood, concrete and steel)</w:t>
            </w:r>
          </w:p>
          <w:p w:rsidR="00000000" w:rsidRPr="00A46291" w:rsidP="00A46291">
            <w:pPr>
              <w:pStyle w:val="ListBullet"/>
            </w:pPr>
            <w:r w:rsidRPr="00A46291">
              <w:t>installation of poles (tooling, rake, life, labelling, sinking)</w:t>
            </w:r>
          </w:p>
          <w:p w:rsidR="00000000" w:rsidRPr="00A46291" w:rsidP="00A46291">
            <w:pPr>
              <w:pStyle w:val="ListBullet"/>
            </w:pPr>
            <w:r w:rsidRPr="00A46291">
              <w:t>maintenance of poles – above &amp; below ground</w:t>
            </w:r>
          </w:p>
          <w:p w:rsidR="00000000" w:rsidRPr="00A46291" w:rsidP="00A46291">
            <w:pPr>
              <w:pStyle w:val="ListBullet"/>
            </w:pPr>
            <w:r w:rsidRPr="00A46291">
              <w:t>pole strength and loads</w:t>
            </w:r>
          </w:p>
          <w:p w:rsidR="00000000" w:rsidRPr="00A46291" w:rsidP="00A46291">
            <w:pPr>
              <w:pStyle w:val="ListBullet"/>
            </w:pPr>
            <w:r w:rsidRPr="00A46291">
              <w:t>crossarms</w:t>
            </w:r>
          </w:p>
          <w:p w:rsidR="00000000" w:rsidRPr="00A46291" w:rsidP="00A46291">
            <w:pPr>
              <w:pStyle w:val="ListBullet"/>
            </w:pPr>
            <w:r w:rsidRPr="00A46291">
              <w:t>types and standard sizes</w:t>
            </w:r>
          </w:p>
          <w:p w:rsidR="00000000" w:rsidRPr="00A46291" w:rsidP="00A46291">
            <w:pPr>
              <w:pStyle w:val="ListBullet"/>
            </w:pPr>
            <w:r w:rsidRPr="00A46291">
              <w:t>insulators</w:t>
            </w:r>
          </w:p>
          <w:p w:rsidR="00000000" w:rsidRPr="00A46291" w:rsidP="00A46291">
            <w:pPr>
              <w:pStyle w:val="ListBullet"/>
            </w:pPr>
            <w:r w:rsidRPr="00A46291">
              <w:t>insulation types</w:t>
            </w:r>
          </w:p>
          <w:p w:rsidR="00000000" w:rsidRPr="00A46291" w:rsidP="00A46291">
            <w:pPr>
              <w:pStyle w:val="ListBullet"/>
            </w:pPr>
            <w:r w:rsidRPr="00A46291">
              <w:t>types (pin, suspension or disc, shackle)</w:t>
            </w:r>
          </w:p>
          <w:p w:rsidR="00000000" w:rsidRPr="00A46291" w:rsidP="00A46291">
            <w:pPr>
              <w:pStyle w:val="ListBullet"/>
            </w:pPr>
            <w:r w:rsidRPr="00A46291">
              <w:t>creepage, necessary clearances</w:t>
            </w:r>
          </w:p>
          <w:p w:rsidR="00000000" w:rsidRPr="00A46291" w:rsidP="00A46291">
            <w:pPr>
              <w:pStyle w:val="ListBullet"/>
            </w:pPr>
            <w:r w:rsidRPr="00A46291">
              <w:t>arcing horns, insulator mounting</w:t>
            </w:r>
          </w:p>
          <w:p w:rsidR="00000000" w:rsidRPr="00A46291" w:rsidP="00A46291">
            <w:pPr>
              <w:pStyle w:val="ListBullet"/>
            </w:pPr>
            <w:r w:rsidRPr="00A46291">
              <w:t>structure types</w:t>
            </w:r>
          </w:p>
          <w:p w:rsidR="00000000" w:rsidRPr="00A46291" w:rsidP="00A46291">
            <w:pPr>
              <w:pStyle w:val="ListBullet"/>
            </w:pPr>
            <w:r w:rsidRPr="00A46291">
              <w:t>mechanical properties (working strength, maximum tension, limiting size)</w:t>
            </w:r>
          </w:p>
          <w:p w:rsidR="00000000" w:rsidRPr="00A46291" w:rsidP="00A46291">
            <w:pPr>
              <w:pStyle w:val="ListBullet"/>
            </w:pPr>
            <w:r w:rsidRPr="00A46291">
              <w:t>interpretation of stringing charts</w:t>
            </w:r>
          </w:p>
          <w:p w:rsidR="00000000" w:rsidRPr="00A46291" w:rsidP="00A46291">
            <w:pPr>
              <w:pStyle w:val="ListBullet"/>
            </w:pPr>
            <w:r w:rsidRPr="00A46291">
              <w:t>determination of sag (by ca</w:t>
            </w:r>
            <w:r w:rsidRPr="00A46291">
              <w:t>lculations or measurement and/or tension measurement)</w:t>
            </w:r>
          </w:p>
          <w:p w:rsidR="00000000" w:rsidRPr="00A46291" w:rsidP="00A46291">
            <w:pPr>
              <w:pStyle w:val="ListBullet"/>
            </w:pPr>
            <w:r w:rsidRPr="00A46291">
              <w:t>sight and wave sagging, sag correction</w:t>
            </w:r>
          </w:p>
          <w:p w:rsidR="00000000" w:rsidRPr="00A46291" w:rsidP="00A46291">
            <w:pPr>
              <w:pStyle w:val="ListBullet"/>
            </w:pPr>
            <w:r w:rsidRPr="00A46291">
              <w:t>stays</w:t>
            </w:r>
          </w:p>
          <w:p w:rsidR="00000000" w:rsidRPr="00A46291" w:rsidP="00A46291">
            <w:pPr>
              <w:pStyle w:val="ListBullet"/>
            </w:pPr>
            <w:r w:rsidRPr="00A46291">
              <w:t>components, anchorage</w:t>
            </w:r>
          </w:p>
          <w:p w:rsidR="00000000" w:rsidRPr="00A46291" w:rsidP="00A46291">
            <w:pPr>
              <w:pStyle w:val="BodyText"/>
            </w:pPr>
            <w:r w:rsidRPr="00A46291">
              <w:t>T3</w:t>
            </w:r>
            <w:r w:rsidRPr="00A46291">
              <w:tab/>
              <w:t>Use of design schedules encompassing:</w:t>
            </w:r>
          </w:p>
          <w:p w:rsidR="00000000" w:rsidRPr="00A46291" w:rsidP="00A46291">
            <w:pPr>
              <w:pStyle w:val="ListBullet"/>
            </w:pPr>
            <w:r w:rsidRPr="00A46291">
              <w:t>sample design problems - common design practice line, voltage, structure types used, line devi</w:t>
            </w:r>
            <w:r w:rsidRPr="00A46291">
              <w:t>ation, span sag, crossarms, insulators and stays wind loading and line deviation loading basic surveying</w:t>
            </w:r>
          </w:p>
          <w:p w:rsidR="00000000" w:rsidRPr="00A46291" w:rsidP="00A46291">
            <w:pPr>
              <w:pStyle w:val="ListBullet"/>
            </w:pPr>
            <w:r w:rsidRPr="00A46291">
              <w:t>measurement of levels, deviation angle and compass bearings</w:t>
            </w:r>
          </w:p>
          <w:p w:rsidR="00000000" w:rsidRPr="00A46291" w:rsidP="00A46291">
            <w:pPr>
              <w:pStyle w:val="ListBullet"/>
            </w:pPr>
            <w:r w:rsidRPr="00A46291">
              <w:t>perform survey of short distribution line extension of produce field notes</w:t>
            </w:r>
          </w:p>
          <w:p w:rsidR="00000000" w:rsidRPr="00A46291" w:rsidP="00A46291">
            <w:pPr>
              <w:pStyle w:val="BodyText"/>
            </w:pPr>
            <w:r w:rsidRPr="00A46291">
              <w:t>T4</w:t>
            </w:r>
            <w:r w:rsidRPr="00A46291">
              <w:tab/>
              <w:t>Underground c</w:t>
            </w:r>
            <w:r w:rsidRPr="00A46291">
              <w:t>ables encompassing:</w:t>
            </w:r>
          </w:p>
          <w:p w:rsidR="00000000" w:rsidRPr="00A46291" w:rsidP="00A46291">
            <w:pPr>
              <w:pStyle w:val="ListBullet"/>
            </w:pPr>
            <w:r w:rsidRPr="00A46291">
              <w:t>cable types, ratings, core material, design considerations, cable dielectrics, insulating materials and abbreviations, electric stress, cable volt drop and volt drop calculations, cable termination, joints and installation.</w:t>
            </w:r>
          </w:p>
          <w:p w:rsidR="00000000" w:rsidRPr="00A46291" w:rsidP="00A46291">
            <w:pPr>
              <w:pStyle w:val="ListBullet"/>
            </w:pPr>
            <w:r w:rsidRPr="00A46291">
              <w:t>induction an</w:t>
            </w:r>
            <w:r w:rsidRPr="00A46291">
              <w:t>d eddy currents</w:t>
            </w:r>
          </w:p>
          <w:p w:rsidR="00000000" w:rsidRPr="00A46291" w:rsidP="00A46291">
            <w:pPr>
              <w:pStyle w:val="ListBullet"/>
            </w:pPr>
            <w:r w:rsidRPr="00A46291">
              <w:t>cable testing, cable fault location</w:t>
            </w:r>
          </w:p>
          <w:p w:rsidR="00000000" w:rsidRPr="00A46291" w:rsidP="00A46291">
            <w:pPr>
              <w:pStyle w:val="ListBullet"/>
            </w:pPr>
            <w:r w:rsidRPr="00A46291">
              <w:t>cable drawing</w:t>
            </w:r>
          </w:p>
          <w:p w:rsidR="00000000" w:rsidRPr="00A46291" w:rsidP="00A46291">
            <w:pPr>
              <w:pStyle w:val="BodyText"/>
            </w:pPr>
            <w:r w:rsidRPr="00A46291">
              <w:t>T5</w:t>
            </w:r>
            <w:r w:rsidRPr="00A46291">
              <w:tab/>
              <w:t>Voltage regulations of feeders and associated equipment encompassing:</w:t>
            </w:r>
          </w:p>
          <w:p w:rsidR="00000000" w:rsidRPr="00A46291" w:rsidP="00A46291">
            <w:pPr>
              <w:pStyle w:val="ListBullet"/>
            </w:pPr>
            <w:r w:rsidRPr="00A46291">
              <w:t>terminology used: distribution system, service line, customer’s terminals, customer voltage, utilisation voltage, bas</w:t>
            </w:r>
            <w:r w:rsidRPr="00A46291">
              <w:t>e voltage, voltage variation and bandwidth</w:t>
            </w:r>
          </w:p>
          <w:p w:rsidR="00000000" w:rsidRPr="00A46291" w:rsidP="00A46291">
            <w:pPr>
              <w:pStyle w:val="ListBullet"/>
            </w:pPr>
            <w:r w:rsidRPr="00A46291">
              <w:t>voltage limits and effects of voltage variation</w:t>
            </w:r>
          </w:p>
          <w:p w:rsidR="00000000" w:rsidRPr="00A46291" w:rsidP="00A46291">
            <w:pPr>
              <w:pStyle w:val="ListBullet"/>
            </w:pPr>
            <w:r w:rsidRPr="00A46291">
              <w:t>causes of variation: inductance, capacitance and reactance of distribution lines, transformers</w:t>
            </w:r>
          </w:p>
          <w:p w:rsidR="00000000" w:rsidRPr="00A46291" w:rsidP="00A46291">
            <w:pPr>
              <w:pStyle w:val="ListBullet"/>
            </w:pPr>
            <w:r w:rsidRPr="00A46291">
              <w:t>m</w:t>
            </w:r>
            <w:r w:rsidRPr="00A46291">
              <w:t>ethods of voltage control: off-load, on-load tap changers, voltage regulating relays, line drop compensation, different types of voltage regulators</w:t>
            </w:r>
          </w:p>
          <w:p w:rsidR="00000000" w:rsidRPr="00A46291" w:rsidP="00A46291">
            <w:pPr>
              <w:pStyle w:val="ListBullet"/>
            </w:pPr>
            <w:r w:rsidRPr="00A46291">
              <w:t>voltage profiles: principles, effect on voltage profiles, limits of voltage, voltage drops due to LV mains t</w:t>
            </w:r>
            <w:r w:rsidRPr="00A46291">
              <w:t>ransformers, tapsettings feeder and service lines</w:t>
            </w:r>
          </w:p>
          <w:p w:rsidR="00000000" w:rsidRPr="00A46291" w:rsidP="00A46291">
            <w:pPr>
              <w:pStyle w:val="ListBullet"/>
            </w:pPr>
            <w:r w:rsidRPr="00A46291">
              <w:t>determining volt drops for components within the profile.</w:t>
            </w:r>
          </w:p>
          <w:p w:rsidR="00000000" w:rsidRPr="00A46291" w:rsidP="00A46291">
            <w:pPr>
              <w:pStyle w:val="BodyText"/>
            </w:pPr>
            <w:r w:rsidRPr="00A46291">
              <w:t>T6</w:t>
            </w:r>
            <w:r w:rsidRPr="00A46291">
              <w:tab/>
              <w:t>Control of voltage. Conditions leading to voltage collapse and system disintegration. Effects on the system of high/low volts. Voltage control de</w:t>
            </w:r>
            <w:r w:rsidRPr="00A46291">
              <w:t>vices including encompassing:</w:t>
            </w:r>
          </w:p>
          <w:p w:rsidR="00000000" w:rsidRPr="00A46291" w:rsidP="00A46291">
            <w:pPr>
              <w:pStyle w:val="ListBullet"/>
            </w:pPr>
            <w:r w:rsidRPr="00A46291">
              <w:t>voltage regulators applied to generators and synchronous phase modifiers</w:t>
            </w:r>
          </w:p>
          <w:p w:rsidR="00000000" w:rsidRPr="00A46291" w:rsidP="00A46291">
            <w:pPr>
              <w:pStyle w:val="ListBullet"/>
            </w:pPr>
            <w:r w:rsidRPr="00A46291">
              <w:t>electromagnetic voltage regulators</w:t>
            </w:r>
          </w:p>
          <w:p w:rsidR="00000000" w:rsidRPr="00A46291" w:rsidP="00A46291">
            <w:pPr>
              <w:pStyle w:val="ListBullet"/>
            </w:pPr>
            <w:r w:rsidRPr="00A46291">
              <w:t>series and parallel capacitors</w:t>
            </w:r>
          </w:p>
          <w:p w:rsidR="00000000" w:rsidRPr="00A46291" w:rsidP="00A46291">
            <w:pPr>
              <w:pStyle w:val="ListBullet"/>
            </w:pPr>
            <w:r w:rsidRPr="00A46291">
              <w:t>OLTC transformers and static Var compensations (SVCs)</w:t>
            </w:r>
          </w:p>
          <w:p w:rsidR="00000000" w:rsidRPr="00A46291" w:rsidP="00A46291">
            <w:pPr>
              <w:pStyle w:val="BodyText"/>
            </w:pPr>
            <w:r w:rsidRPr="00A46291">
              <w:t>T7</w:t>
            </w:r>
            <w:r w:rsidRPr="00A46291">
              <w:tab/>
              <w:t>Range of devices covered by SV</w:t>
            </w:r>
            <w:r w:rsidRPr="00A46291">
              <w:t>Cs including encompassing:</w:t>
            </w:r>
          </w:p>
          <w:p w:rsidR="00000000" w:rsidRPr="00A46291" w:rsidP="00A46291">
            <w:pPr>
              <w:pStyle w:val="ListBullet"/>
            </w:pPr>
            <w:r w:rsidRPr="00A46291">
              <w:t>saturated reactor compensations (SRs)</w:t>
            </w:r>
          </w:p>
          <w:p w:rsidR="00000000" w:rsidRPr="00A46291" w:rsidP="00A46291">
            <w:pPr>
              <w:pStyle w:val="ListBullet"/>
            </w:pPr>
            <w:r w:rsidRPr="00A46291">
              <w:t>thyristor controlled reactor compensators (TCRs)</w:t>
            </w:r>
          </w:p>
          <w:p w:rsidR="00000000" w:rsidRPr="00A46291" w:rsidP="00A46291">
            <w:pPr>
              <w:pStyle w:val="ListBullet"/>
            </w:pPr>
            <w:r w:rsidRPr="00A46291">
              <w:t>combined TCR/TSCs and</w:t>
            </w:r>
          </w:p>
          <w:p w:rsidR="00000000" w:rsidRPr="00A46291" w:rsidP="00A46291">
            <w:pPr>
              <w:pStyle w:val="ListBullet"/>
            </w:pPr>
            <w:r w:rsidRPr="00A46291">
              <w:t>production of wave-form distorting harmonics and control devices</w:t>
            </w:r>
          </w:p>
          <w:p w:rsidR="00000000" w:rsidRPr="00A46291" w:rsidP="00A46291">
            <w:pPr>
              <w:pStyle w:val="BodyText"/>
            </w:pPr>
            <w:r w:rsidRPr="00A46291">
              <w:t>T8</w:t>
            </w:r>
            <w:r w:rsidRPr="00A46291">
              <w:tab/>
              <w:t xml:space="preserve">Importance of the location in the system of voltage </w:t>
            </w:r>
            <w:r w:rsidRPr="00A46291">
              <w:t>control devices.</w:t>
            </w:r>
          </w:p>
          <w:p w:rsidR="00000000" w:rsidRPr="00A46291" w:rsidP="00A46291">
            <w:pPr>
              <w:pStyle w:val="BodyText"/>
            </w:pPr>
            <w:r w:rsidRPr="00A46291">
              <w:t>T9</w:t>
            </w:r>
            <w:r w:rsidRPr="00A46291">
              <w:tab/>
              <w:t>Types of communication systems including telephone, power line carrier, dedicated cable, micro-wave links and fibre optics. Quantities and signals to be communicated. Advantages and disadvantages of the various systems. Equipment requir</w:t>
            </w:r>
            <w:r w:rsidRPr="00A46291">
              <w:t>ements.</w:t>
            </w:r>
          </w:p>
          <w:p w:rsidR="00000000" w:rsidRPr="00A46291" w:rsidP="00A46291">
            <w:pPr>
              <w:pStyle w:val="BodyText"/>
            </w:pPr>
            <w:r w:rsidRPr="00A46291">
              <w:t>T10</w:t>
            </w:r>
            <w:r w:rsidRPr="00A46291">
              <w:tab/>
              <w:t>Transient over-voltages in power systems. Switching and lightning overvoltages and their effect on different plant items. Transient over-voltage control and reduction using surge diverters, shield wires and CB are control. Insulation systems, i</w:t>
            </w:r>
            <w:r w:rsidRPr="00A46291">
              <w:t>nsulation co-ordination, insulation grading in plant items, bushings and capacitor bushings.</w:t>
            </w:r>
          </w:p>
          <w:p w:rsidR="00000000" w:rsidRPr="00A46291" w:rsidP="00A46291">
            <w:pPr>
              <w:pStyle w:val="BodyText"/>
            </w:pPr>
            <w:r w:rsidRPr="00A46291">
              <w:t>T11</w:t>
            </w:r>
            <w:r w:rsidRPr="00A46291">
              <w:tab/>
              <w:t>The principles of operation, voltage and current range, breaking capacity and field of use of the following types of circuit breakers - bulk oil, small oil vol</w:t>
            </w:r>
            <w:r w:rsidRPr="00A46291">
              <w:t>ume, air break, vacuum and SF6 (double pressure and puffer types).</w:t>
            </w:r>
          </w:p>
          <w:p w:rsidR="00000000" w:rsidRPr="00A46291" w:rsidP="00A46291">
            <w:pPr>
              <w:pStyle w:val="BodyText"/>
            </w:pPr>
            <w:r w:rsidRPr="00A46291">
              <w:t>T12</w:t>
            </w:r>
            <w:r w:rsidRPr="00A46291">
              <w:tab/>
              <w:t>The types of isolators in use. Examples include duo-roll, blade and scissor type.</w:t>
            </w:r>
          </w:p>
          <w:p w:rsidR="00000000" w:rsidRPr="00A46291" w:rsidP="00A46291">
            <w:pPr>
              <w:pStyle w:val="BodyText"/>
            </w:pPr>
            <w:r w:rsidRPr="00A46291">
              <w:t>T13</w:t>
            </w:r>
            <w:r w:rsidRPr="00A46291">
              <w:tab/>
              <w:t>Circuit breaker auxiliary systems encompassing:</w:t>
            </w:r>
          </w:p>
          <w:p w:rsidR="00000000" w:rsidRPr="00A46291" w:rsidP="00A46291">
            <w:pPr>
              <w:pStyle w:val="ListBullet"/>
            </w:pPr>
            <w:r w:rsidRPr="00A46291">
              <w:t xml:space="preserve">d.c. systems including battery types, charging and </w:t>
            </w:r>
            <w:r w:rsidRPr="00A46291">
              <w:t xml:space="preserve">protection systems and earth fault detection systems </w:t>
            </w:r>
          </w:p>
          <w:p w:rsidR="00000000" w:rsidRPr="00A46291" w:rsidP="00A46291">
            <w:pPr>
              <w:pStyle w:val="ListBullet"/>
            </w:pPr>
            <w:r w:rsidRPr="00A46291">
              <w:t>SF6 conditioning, storage and handling system</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10" w:name="O_463153"/>
      <w:bookmarkEnd w:id="10"/>
      <w:r w:rsidRPr="00A46291">
        <w:t>Evidence Guide</w:t>
      </w:r>
    </w:p>
    <w:tbl>
      <w:tblPr>
        <w:tblW w:w="0" w:type="auto"/>
        <w:tblLayout w:type="fixed"/>
        <w:tblCellMar>
          <w:left w:w="62" w:type="dxa"/>
          <w:right w:w="62" w:type="dxa"/>
        </w:tblCellMar>
        <w:tblLook w:val="0000"/>
      </w:tblPr>
      <w:tblGrid>
        <w:gridCol w:w="8460"/>
      </w:tblGrid>
      <w:tr w:rsidTr="001006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EVIDENCE GUIDE</w:t>
            </w:r>
          </w:p>
        </w:tc>
      </w:tr>
      <w:tr w:rsidTr="001006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9)</w:t>
            </w:r>
            <w:r w:rsidRPr="00A46291">
              <w:t xml:space="preserve"> This provides essential advice for assessment of the unit. It must be read in conjunction with </w:t>
            </w:r>
            <w:r w:rsidRPr="00A46291">
              <w:t>the performance criteria and the range statement of the unit and the Training Package Assessment Guidelines.</w:t>
            </w:r>
          </w:p>
          <w:p w:rsidR="00000000" w:rsidRPr="00A46291" w:rsidP="00A46291">
            <w:pPr>
              <w:pStyle w:val="BodyText"/>
            </w:pPr>
            <w:r w:rsidRPr="00A46291">
              <w:t>The Evidence Guide forms an integral part of this unit. It must be used in conjunction with all parts of this unit and performed in accordance with</w:t>
            </w:r>
            <w:r w:rsidRPr="00A46291">
              <w:t xml:space="preserve"> the Assessment Guidelines of this Training Package.</w:t>
            </w:r>
          </w:p>
        </w:tc>
      </w:tr>
    </w:tbl>
    <w:p w:rsidR="00000000" w:rsidRPr="00A46291" w:rsidP="00A46291">
      <w:pPr>
        <w:pStyle w:val="BodyText"/>
      </w:pPr>
    </w:p>
    <w:tbl>
      <w:tblPr>
        <w:tblW w:w="0" w:type="auto"/>
        <w:tblLayout w:type="fixed"/>
        <w:tblCellMar>
          <w:left w:w="62" w:type="dxa"/>
          <w:right w:w="62" w:type="dxa"/>
        </w:tblCellMar>
        <w:tblLook w:val="0000"/>
      </w:tblPr>
      <w:tblGrid>
        <w:gridCol w:w="1890"/>
        <w:gridCol w:w="6570"/>
      </w:tblGrid>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9.1)</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 xml:space="preserve">Longitudinal competency development approaches to assessment, such as Profiling, require data to be reliably gathered in a form that can be </w:t>
            </w:r>
            <w:r w:rsidRPr="00A46291">
              <w:t>consistently interpreted over time. This approach is best utilised in Apprenticeship programs and reduces assessment intervention. It is the Industry’s preferred model for apprenticeships. However, where summative (or final) assessment is used it is to inc</w:t>
            </w:r>
            <w:r w:rsidRPr="00A46291">
              <w:t>lude the application of the competency in the normal work environment or, at a minimum, the application of the competency in a realistically simulated work environment. It is recognised that, in some circumstances, assessment in part or full can occur outs</w:t>
            </w:r>
            <w:r w:rsidRPr="00A46291">
              <w:t>ide the workplace. However, it must be in accordance with industry and regulatory policy.</w:t>
            </w:r>
          </w:p>
          <w:p w:rsidR="00000000" w:rsidRPr="00A46291" w:rsidP="00A46291">
            <w:pPr>
              <w:pStyle w:val="BodyText"/>
            </w:pPr>
            <w:r w:rsidRPr="00A46291">
              <w:t>Methods chosen for a particular assessment will be influenced by various factors. These include the extent of the assessment, the most effective locations for the ass</w:t>
            </w:r>
            <w:r w:rsidRPr="00A46291">
              <w:t>essment activities to take place, access to physical resources, additional safety measures that may be required and the critical nature of the competencies being assessed.</w:t>
            </w:r>
          </w:p>
          <w:p w:rsidR="00000000" w:rsidRPr="00A46291" w:rsidP="00A46291">
            <w:pPr>
              <w:pStyle w:val="BodyText"/>
            </w:pPr>
            <w:r w:rsidRPr="00A46291">
              <w:t>The critical safety nature of working with electricity, electrical equipment, gas or</w:t>
            </w:r>
            <w:r w:rsidRPr="00A46291">
              <w:t xml:space="preserve"> any other hazardous substance/material carries risk in deeming a person competent. Sources of evidence need to be ‘rich’ in nature to minimise error in judgment.</w:t>
            </w:r>
          </w:p>
          <w:p w:rsidR="00000000" w:rsidRPr="00A46291" w:rsidP="00A46291">
            <w:pPr>
              <w:pStyle w:val="BodyText"/>
            </w:pPr>
            <w:r w:rsidRPr="00A46291">
              <w:t>Activities associated with normal every day work have a bearing on the decision as to how muc</w:t>
            </w:r>
            <w:r w:rsidRPr="00A46291">
              <w:t>h and how detailed the data gathered will contribute to its ‘richness’. Some skills are more critical to safety and operational requirements while the same skills may be more or less frequently practised. These points are raised for the assessors to consid</w:t>
            </w:r>
            <w:r w:rsidRPr="00A46291">
              <w:t>er when choosing an assessment method and developing assessment instruments. Sample assessment instruments are included for Assessors in the Assessment Guidelines of this Training Package.</w:t>
            </w:r>
          </w:p>
        </w:tc>
      </w:tr>
    </w:tbl>
    <w:p w:rsidR="00000000" w:rsidRPr="00A46291" w:rsidP="00A46291">
      <w:pPr>
        <w:pStyle w:val="BodyText"/>
      </w:pPr>
    </w:p>
    <w:tbl>
      <w:tblPr>
        <w:tblW w:w="0" w:type="auto"/>
        <w:tblLayout w:type="fixed"/>
        <w:tblCellMar>
          <w:left w:w="62" w:type="dxa"/>
          <w:right w:w="62" w:type="dxa"/>
        </w:tblCellMar>
        <w:tblLook w:val="0000"/>
      </w:tblPr>
      <w:tblGrid>
        <w:gridCol w:w="1890"/>
        <w:gridCol w:w="899"/>
        <w:gridCol w:w="523"/>
        <w:gridCol w:w="5148"/>
      </w:tblGrid>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Critical aspects of evidence required to demonstrate competency i</w:t>
            </w:r>
            <w:r w:rsidRPr="00A46291">
              <w:rPr>
                <w:rStyle w:val="SpecialBold"/>
              </w:rPr>
              <w:t>n this unit</w:t>
            </w:r>
          </w:p>
        </w:tc>
        <w:tc>
          <w:tcPr>
            <w:tcW w:w="6570" w:type="dxa"/>
            <w:gridSpan w:val="3"/>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9.2)</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Before the critical aspects of evidence are considered all prerequisites shall be met.</w:t>
            </w:r>
          </w:p>
          <w:p w:rsidR="00000000" w:rsidRPr="00A46291" w:rsidP="00A46291">
            <w:pPr>
              <w:pStyle w:val="BodyText"/>
            </w:pPr>
            <w:r w:rsidRPr="00A46291">
              <w:t>Evidence for competence in this unit shall be considered holistically.  Each element and associated performance criteria shall be demonstrated on at</w:t>
            </w:r>
            <w:r w:rsidRPr="00A46291">
              <w:t xml:space="preserve"> least two occasions in accordance with the ‘Assessment Guidelines – UET12’.  Evidence shall also comprise:</w:t>
            </w:r>
          </w:p>
          <w:p w:rsidR="00000000" w:rsidRPr="00A46291" w:rsidP="00A46291">
            <w:pPr>
              <w:pStyle w:val="ListBullet"/>
            </w:pPr>
            <w:r w:rsidRPr="00A46291">
              <w:t xml:space="preserve">A representative body of work performance demonstrated within the timeframes typically expected of the discipline, work function </w:t>
            </w:r>
            <w:r w:rsidRPr="00A46291">
              <w:t>and industrial environment. In particular this shall incorporate evidence that shows a candidate is able to:</w:t>
            </w:r>
          </w:p>
          <w:p w:rsidR="00000000" w:rsidRPr="00A46291" w:rsidP="00A46291">
            <w:pPr>
              <w:pStyle w:val="ListBullet2"/>
            </w:pPr>
            <w:r w:rsidRPr="00A46291">
              <w:t>Implement Occupational Health and Safety workplace procedures and practices including the use of risk control measures as specified in the perform</w:t>
            </w:r>
            <w:r w:rsidRPr="00A46291">
              <w:t>ance criteria and range statement</w:t>
            </w:r>
          </w:p>
          <w:p w:rsidR="00000000" w:rsidRPr="00A46291" w:rsidP="00A46291">
            <w:pPr>
              <w:pStyle w:val="ListBullet2"/>
            </w:pPr>
            <w:r w:rsidRPr="00A46291">
              <w:t>Apply sustainable energy principles and practices as specified in the performance criteria and range statement</w:t>
            </w:r>
          </w:p>
          <w:p w:rsidR="00000000" w:rsidRPr="00A46291" w:rsidP="00A46291">
            <w:pPr>
              <w:pStyle w:val="ListBullet2"/>
            </w:pPr>
            <w:r w:rsidRPr="00A46291">
              <w:t>Demonstrate an understanding of the essential knowledge and associated skills as described in this unit.  It ma</w:t>
            </w:r>
            <w:r w:rsidRPr="00A46291">
              <w:t xml:space="preserve">y be required by some jurisdictions that RTOs provide a percentile graded result for the purpose of regulatory or licensing requirements.   </w:t>
            </w:r>
          </w:p>
          <w:p w:rsidR="00000000" w:rsidRPr="00A46291" w:rsidP="00A46291">
            <w:pPr>
              <w:pStyle w:val="ListBullet2"/>
            </w:pPr>
            <w:r w:rsidRPr="00A46291">
              <w:t>Demonstrate an appropriate level of skills enabling employment</w:t>
            </w:r>
          </w:p>
          <w:p w:rsidR="00000000" w:rsidRPr="00A46291" w:rsidP="00A46291">
            <w:pPr>
              <w:pStyle w:val="ListBullet2"/>
            </w:pPr>
            <w:r w:rsidRPr="00A46291">
              <w:t>Conduct work observing the relevant Anti Discriminat</w:t>
            </w:r>
            <w:r w:rsidRPr="00A46291">
              <w:t>ion legislation, regulations, polices and workplace procedures</w:t>
            </w:r>
          </w:p>
          <w:p w:rsidR="00000000" w:rsidRPr="00A46291" w:rsidP="00A46291">
            <w:pPr>
              <w:pStyle w:val="ListBullet"/>
            </w:pPr>
            <w:r w:rsidRPr="00A46291">
              <w:t>Demonstrated consistent performance across a representative range of contexts from the prescribed items below:</w:t>
            </w:r>
          </w:p>
          <w:p w:rsidR="00000000" w:rsidP="00A46291">
            <w:pPr>
              <w:pStyle w:val="ListBullet2"/>
              <w:rPr>
                <w:lang w:val="en-NZ"/>
              </w:rPr>
            </w:pPr>
            <w:r w:rsidRPr="00A46291">
              <w:t>Diagnosing and rectifying faults in electrical energy distribution systems as des</w:t>
            </w:r>
            <w:r w:rsidRPr="00A46291">
              <w:t>cribed in 8) and including:</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A</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Applying logical diagnostic methods.</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B</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Using fault scenarios to test the cause of system faults.</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C</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Identifying faults and competency needed to rectify them.</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Rectifying faults in system controls.</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E</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Verifying that the system operates correctly.</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F</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Documenting fault rectification.</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G</w:t>
            </w:r>
          </w:p>
        </w:tc>
        <w:tc>
          <w:tcPr>
            <w:tcW w:w="5148"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Dealing with unplanned events by drawing on essential knowledge and skills to provide appropriate solutions incorporated in the holistic assessment with the above list</w:t>
            </w:r>
            <w:r w:rsidRPr="00A46291">
              <w:t>ed items.</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Note:</w:t>
            </w:r>
            <w:r w:rsidRPr="00A46291">
              <w:br/>
              <w:t xml:space="preserve">Successful completion of relevant vendor training may be used to contribute to evidence on which competency is deemed. In these cases the alignment of outcomes of vendor training with performance criteria and critical aspects of evidence </w:t>
            </w:r>
            <w:r w:rsidRPr="00A46291">
              <w:t>shall be clearly identified.</w:t>
            </w:r>
          </w:p>
        </w:tc>
      </w:tr>
    </w:tbl>
    <w:p w:rsidR="00000000" w:rsidRPr="00A46291" w:rsidP="00A46291">
      <w:pPr>
        <w:pStyle w:val="BodyText"/>
      </w:pPr>
    </w:p>
    <w:tbl>
      <w:tblPr>
        <w:tblW w:w="0" w:type="auto"/>
        <w:tblLayout w:type="fixed"/>
        <w:tblCellMar>
          <w:left w:w="62" w:type="dxa"/>
          <w:right w:w="62" w:type="dxa"/>
        </w:tblCellMar>
        <w:tblLook w:val="0000"/>
      </w:tblPr>
      <w:tblGrid>
        <w:gridCol w:w="1890"/>
        <w:gridCol w:w="6570"/>
      </w:tblGrid>
      <w:tr w:rsidTr="0010061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9.3)</w:t>
            </w:r>
          </w:p>
        </w:tc>
      </w:tr>
      <w:tr w:rsidTr="0010061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This unit should be assessed as it relates to normal work practice using procedures, information and resources typical of a workplace. This should include:</w:t>
            </w:r>
          </w:p>
          <w:p w:rsidR="00000000" w:rsidRPr="00A46291" w:rsidP="00A46291">
            <w:pPr>
              <w:pStyle w:val="ListBullet"/>
            </w:pPr>
            <w:r w:rsidRPr="00A46291">
              <w:t>OHS policy and work procedures and instructions.</w:t>
            </w:r>
          </w:p>
          <w:p w:rsidR="00000000" w:rsidRPr="00A46291" w:rsidP="00A46291">
            <w:pPr>
              <w:pStyle w:val="ListBullet"/>
            </w:pPr>
            <w:r w:rsidRPr="00A46291">
              <w:t>Suitable work environment, facilities, equipment and materials to undertake actual work as prescribed by this unit.</w:t>
            </w:r>
          </w:p>
          <w:p w:rsidR="00000000" w:rsidRPr="00A46291" w:rsidP="00A46291">
            <w:pPr>
              <w:pStyle w:val="BodyText"/>
            </w:pPr>
            <w:r w:rsidRPr="00A46291">
              <w:t>These should be part of the formal learning/assessment environment.</w:t>
            </w:r>
          </w:p>
          <w:p w:rsidR="00000000" w:rsidRPr="00A46291" w:rsidP="00A46291">
            <w:pPr>
              <w:pStyle w:val="BodyText"/>
            </w:pPr>
            <w:r w:rsidRPr="00A46291">
              <w:t>Note:</w:t>
            </w:r>
          </w:p>
          <w:p w:rsidR="00000000" w:rsidRPr="00A46291" w:rsidP="00A46291">
            <w:pPr>
              <w:pStyle w:val="BodyText"/>
            </w:pPr>
            <w:r w:rsidRPr="00A46291">
              <w:t>Where simulation is considered a suitable strategy for assessment, conditions must be authentic and as far as possible reproduce and replicate the workplace and be consistent with the approved industry simulation policy.</w:t>
            </w:r>
          </w:p>
          <w:p w:rsidR="00000000" w:rsidRPr="00A46291" w:rsidP="00A46291">
            <w:pPr>
              <w:pStyle w:val="BodyText"/>
            </w:pPr>
            <w:r w:rsidRPr="00A46291">
              <w:t>The resources used for assessment s</w:t>
            </w:r>
            <w:r w:rsidRPr="00A46291">
              <w:t>hould reflect current industry practices in relation to diagnosing and rectifying faults in electrical energy distribution systems.</w:t>
            </w:r>
          </w:p>
        </w:tc>
      </w:tr>
    </w:tbl>
    <w:p w:rsidR="00000000" w:rsidRPr="00A46291" w:rsidP="00A46291">
      <w:pPr>
        <w:pStyle w:val="BodyText"/>
      </w:pPr>
    </w:p>
    <w:tbl>
      <w:tblPr>
        <w:tblW w:w="0" w:type="auto"/>
        <w:tblLayout w:type="fixed"/>
        <w:tblCellMar>
          <w:left w:w="62" w:type="dxa"/>
          <w:right w:w="62" w:type="dxa"/>
        </w:tblCellMar>
        <w:tblLook w:val="0000"/>
      </w:tblPr>
      <w:tblGrid>
        <w:gridCol w:w="1890"/>
        <w:gridCol w:w="6570"/>
      </w:tblGrid>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9.4)</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This unit shall be assessed by methods given in Volume 1, Part 3 ‘Assessment Guidelines’.</w:t>
            </w:r>
          </w:p>
          <w:p w:rsidR="00000000" w:rsidRPr="00A46291" w:rsidP="00A46291">
            <w:pPr>
              <w:pStyle w:val="BodyText"/>
            </w:pPr>
            <w:r w:rsidRPr="00A46291">
              <w:t>Note</w:t>
            </w:r>
            <w:r w:rsidRPr="00A46291">
              <w:t>:</w:t>
            </w:r>
          </w:p>
          <w:p w:rsidR="00000000" w:rsidRPr="00A46291" w:rsidP="00A46291">
            <w:pPr>
              <w:pStyle w:val="BodyText"/>
            </w:pPr>
            <w:r w:rsidRPr="00A46291">
              <w:t>Competent performance with inherent safe working practices is expected in the industry to which this unit applies. This requires assessment in a structured environment which is primarily intended for learning/assessment and incorporates all necessary equ</w:t>
            </w:r>
            <w:r w:rsidRPr="00A46291">
              <w:t>ipment and facilities for learners to develop and demonstrate the essential knowledge and skills described in this unit.</w:t>
            </w:r>
          </w:p>
        </w:tc>
      </w:tr>
    </w:tbl>
    <w:p w:rsidR="00000000" w:rsidRPr="00A46291" w:rsidP="00A46291">
      <w:pPr>
        <w:pStyle w:val="BodyText"/>
      </w:pPr>
    </w:p>
    <w:tbl>
      <w:tblPr>
        <w:tblW w:w="0" w:type="auto"/>
        <w:tblLayout w:type="fixed"/>
        <w:tblCellMar>
          <w:left w:w="62" w:type="dxa"/>
          <w:right w:w="62" w:type="dxa"/>
        </w:tblCellMar>
        <w:tblLook w:val="0000"/>
      </w:tblPr>
      <w:tblGrid>
        <w:gridCol w:w="1890"/>
        <w:gridCol w:w="1530"/>
        <w:gridCol w:w="5040"/>
      </w:tblGrid>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9.5)</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For optimisation of training and assessment effort, competency development in this unit may be arranged concurrently with unit:</w:t>
            </w:r>
          </w:p>
        </w:tc>
      </w:tr>
      <w:tr w:rsidTr="0010061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t>UETTDRIS67A</w:t>
            </w:r>
          </w:p>
        </w:tc>
        <w:tc>
          <w:tcPr>
            <w:tcW w:w="504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Solve problems in energy supply network equipment</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11" w:name="O_463157"/>
      <w:bookmarkEnd w:id="11"/>
      <w:r w:rsidRPr="00A46291">
        <w:t>Range Statement</w:t>
      </w:r>
    </w:p>
    <w:tbl>
      <w:tblPr>
        <w:tblW w:w="0" w:type="auto"/>
        <w:tblLayout w:type="fixed"/>
        <w:tblCellMar>
          <w:left w:w="62" w:type="dxa"/>
          <w:right w:w="62" w:type="dxa"/>
        </w:tblCellMar>
        <w:tblLook w:val="0000"/>
      </w:tblPr>
      <w:tblGrid>
        <w:gridCol w:w="8460"/>
      </w:tblGrid>
      <w:tr w:rsidTr="0010061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RANGE STATEMENT</w:t>
            </w:r>
          </w:p>
        </w:tc>
      </w:tr>
      <w:tr w:rsidTr="0010061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10)</w:t>
            </w:r>
            <w:r w:rsidRPr="00A46291">
              <w:t xml:space="preserve"> This relates to the unit as a whole providing the range of contexts and conditions to which the performance criteria apply. It allows for different work environments and situations that will affect performance.</w:t>
            </w:r>
          </w:p>
          <w:p w:rsidR="00000000" w:rsidRPr="00A46291" w:rsidP="00A46291">
            <w:pPr>
              <w:pStyle w:val="BodyText"/>
            </w:pPr>
            <w:r w:rsidRPr="00A46291">
              <w:t xml:space="preserve">This unit shall be demonstrated in relation </w:t>
            </w:r>
            <w:r w:rsidRPr="00A46291">
              <w:t>to diagnosing and rectifying at least four faults in electrical energy reticulation system.</w:t>
            </w:r>
          </w:p>
          <w:p w:rsidR="00000000" w:rsidRPr="00A46291" w:rsidP="00A46291">
            <w:pPr>
              <w:pStyle w:val="BodyText"/>
            </w:pPr>
            <w:r w:rsidRPr="00A46291">
              <w:t>Generic terms used throughout this Vocational Standard shall be regarded as part of the Range Statement in which competency is demonstrated. The definition of these</w:t>
            </w:r>
            <w:r w:rsidRPr="00A46291">
              <w:t xml:space="preserve"> and other terms that apply are given in Volume 2, Part 2.1.</w:t>
            </w:r>
          </w:p>
        </w:tc>
      </w:tr>
    </w:tbl>
    <w:p w:rsidR="00000000" w:rsidRPr="00A46291" w:rsidP="00A46291">
      <w:pPr>
        <w:pStyle w:val="BodyText"/>
      </w:pPr>
    </w:p>
    <w:p w:rsidR="00000000" w:rsidRPr="00A46291" w:rsidP="00A46291">
      <w:pPr>
        <w:pStyle w:val="AllowPageBreak"/>
      </w:pPr>
    </w:p>
    <w:p w:rsidR="00000000" w:rsidRPr="00A46291" w:rsidP="00A46291">
      <w:pPr>
        <w:pStyle w:val="Heading1"/>
      </w:pPr>
      <w:bookmarkStart w:id="12" w:name="O_463160"/>
      <w:bookmarkEnd w:id="12"/>
      <w:r w:rsidRPr="00A46291">
        <w:t>Unit Sector(s)</w:t>
      </w:r>
    </w:p>
    <w:p w:rsidR="00000000" w:rsidRPr="00A46291" w:rsidP="00A46291">
      <w:pPr>
        <w:pStyle w:val="BodyText"/>
      </w:pPr>
      <w:r w:rsidRPr="00A46291">
        <w:t>Not applicable.</w:t>
      </w:r>
    </w:p>
    <w:p w:rsidR="00000000" w:rsidRPr="00A46291" w:rsidP="00A46291">
      <w:pPr>
        <w:pStyle w:val="AllowPageBreak"/>
      </w:pPr>
    </w:p>
    <w:p w:rsidR="00000000" w:rsidRPr="00A46291" w:rsidP="00A46291">
      <w:pPr>
        <w:pStyle w:val="Heading1"/>
      </w:pPr>
      <w:bookmarkStart w:id="13" w:name="O_463149"/>
      <w:bookmarkEnd w:id="13"/>
      <w:r w:rsidRPr="00A46291">
        <w:t>Competency Field</w:t>
      </w:r>
    </w:p>
    <w:tbl>
      <w:tblPr>
        <w:tblW w:w="0" w:type="auto"/>
        <w:tblLayout w:type="fixed"/>
        <w:tblCellMar>
          <w:left w:w="62" w:type="dxa"/>
          <w:right w:w="62" w:type="dxa"/>
        </w:tblCellMar>
        <w:tblLook w:val="0000"/>
      </w:tblPr>
      <w:tblGrid>
        <w:gridCol w:w="2700"/>
        <w:gridCol w:w="5760"/>
      </w:tblGrid>
      <w:tr w:rsidTr="001006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46291">
            <w:pPr>
              <w:pStyle w:val="BodyText"/>
              <w:rPr>
                <w:lang w:val="en-NZ"/>
              </w:rPr>
            </w:pPr>
            <w:r w:rsidRPr="00A46291">
              <w:rPr>
                <w:rStyle w:val="SpecialBold"/>
              </w:rPr>
              <w:t xml:space="preserve">11) </w:t>
            </w:r>
          </w:p>
        </w:tc>
      </w:tr>
      <w:tr w:rsidTr="001006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46291" w:rsidP="00A46291">
            <w:pPr>
              <w:pStyle w:val="BodyText"/>
            </w:pPr>
            <w:r w:rsidRPr="00A46291">
              <w:t>Electrical</w:t>
            </w:r>
          </w:p>
        </w:tc>
      </w:tr>
    </w:tbl>
    <w:p w:rsidR="00000000" w:rsidRPr="00A46291" w:rsidP="00A46291">
      <w:pPr>
        <w:pStyle w:val="BodyText"/>
      </w:pPr>
    </w:p>
    <w:p w:rsidR="00000000" w:rsidRPr="00A46291" w:rsidP="00A46291"/>
    <w:sectPr w:rsidSect="00A46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612" w:rsidP="001006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612" w:rsidP="00A462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00612" w:rsidP="00A462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0612" w:rsidP="00A462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1" w:rsidRPr="00100612" w:rsidP="001006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612" w:rsidRPr="002D2AF8" w:rsidP="00A46291">
    <w:pPr>
      <w:pStyle w:val="Header"/>
      <w:framePr w:wrap="around"/>
    </w:pPr>
    <w:r>
      <w:fldChar w:fldCharType="begin"/>
    </w:r>
    <w:r>
      <w:instrText xml:space="preserve"> TITLE   \* MERGEFORMAT </w:instrText>
    </w:r>
    <w:r>
      <w:fldChar w:fldCharType="separate"/>
    </w:r>
    <w:r>
      <w:t>UETTDRIS70A Diagnose and rectify faults in electrical energy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00612" w:rsidP="00A46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22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8F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89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291"/>
    <w:pPr>
      <w:spacing w:before="360" w:after="60"/>
      <w:outlineLvl w:val="0"/>
    </w:pPr>
    <w:rPr>
      <w:sz w:val="32"/>
    </w:rPr>
  </w:style>
  <w:style w:type="paragraph" w:styleId="Heading2">
    <w:name w:val="heading 2"/>
    <w:basedOn w:val="HeadingBase"/>
    <w:next w:val="BodyText"/>
    <w:link w:val="Heading2Char"/>
    <w:qFormat/>
    <w:rsid w:val="00A46291"/>
    <w:pPr>
      <w:keepLines/>
      <w:spacing w:before="240" w:after="120"/>
      <w:outlineLvl w:val="1"/>
    </w:pPr>
    <w:rPr>
      <w:sz w:val="28"/>
      <w:szCs w:val="40"/>
    </w:rPr>
  </w:style>
  <w:style w:type="paragraph" w:styleId="Heading3">
    <w:name w:val="heading 3"/>
    <w:basedOn w:val="HeadingBase"/>
    <w:next w:val="BodyText"/>
    <w:link w:val="Heading3Char"/>
    <w:qFormat/>
    <w:rsid w:val="00A46291"/>
    <w:pPr>
      <w:spacing w:before="180" w:after="120"/>
      <w:outlineLvl w:val="2"/>
    </w:pPr>
    <w:rPr>
      <w:spacing w:val="-10"/>
      <w:kern w:val="32"/>
    </w:rPr>
  </w:style>
  <w:style w:type="paragraph" w:styleId="Heading4">
    <w:name w:val="heading 4"/>
    <w:basedOn w:val="HeadingBase"/>
    <w:next w:val="BodyText"/>
    <w:link w:val="Heading4Char"/>
    <w:qFormat/>
    <w:rsid w:val="00A46291"/>
    <w:pPr>
      <w:spacing w:before="160" w:after="120"/>
      <w:outlineLvl w:val="3"/>
    </w:pPr>
    <w:rPr>
      <w:sz w:val="22"/>
    </w:rPr>
  </w:style>
  <w:style w:type="paragraph" w:styleId="Heading5">
    <w:name w:val="heading 5"/>
    <w:basedOn w:val="HeadingBase"/>
    <w:next w:val="Normal"/>
    <w:link w:val="Heading5Char"/>
    <w:qFormat/>
    <w:rsid w:val="00A46291"/>
    <w:pPr>
      <w:spacing w:before="80"/>
      <w:outlineLvl w:val="4"/>
    </w:pPr>
    <w:rPr>
      <w:color w:val="918585"/>
      <w:sz w:val="20"/>
    </w:rPr>
  </w:style>
  <w:style w:type="paragraph" w:styleId="Heading6">
    <w:name w:val="heading 6"/>
    <w:basedOn w:val="HeadingBase"/>
    <w:next w:val="Normal"/>
    <w:link w:val="Heading6Char"/>
    <w:qFormat/>
    <w:rsid w:val="00A46291"/>
    <w:pPr>
      <w:spacing w:before="60"/>
      <w:outlineLvl w:val="5"/>
    </w:pPr>
    <w:rPr>
      <w:color w:val="918585"/>
      <w:sz w:val="20"/>
    </w:rPr>
  </w:style>
  <w:style w:type="paragraph" w:styleId="Heading7">
    <w:name w:val="heading 7"/>
    <w:basedOn w:val="Normal"/>
    <w:next w:val="Normal"/>
    <w:link w:val="Heading7Char"/>
    <w:qFormat/>
    <w:rsid w:val="00A46291"/>
    <w:pPr>
      <w:ind w:left="720"/>
      <w:outlineLvl w:val="6"/>
    </w:pPr>
    <w:rPr>
      <w:i/>
    </w:rPr>
  </w:style>
  <w:style w:type="paragraph" w:styleId="Heading8">
    <w:name w:val="heading 8"/>
    <w:basedOn w:val="Normal"/>
    <w:next w:val="Normal"/>
    <w:link w:val="Heading8Char"/>
    <w:qFormat/>
    <w:rsid w:val="00A46291"/>
    <w:pPr>
      <w:ind w:left="720"/>
      <w:outlineLvl w:val="7"/>
    </w:pPr>
    <w:rPr>
      <w:i/>
    </w:rPr>
  </w:style>
  <w:style w:type="paragraph" w:styleId="Heading9">
    <w:name w:val="heading 9"/>
    <w:basedOn w:val="Normal"/>
    <w:next w:val="Normal"/>
    <w:link w:val="Heading9Char"/>
    <w:qFormat/>
    <w:rsid w:val="00A46291"/>
    <w:pPr>
      <w:ind w:left="720"/>
      <w:outlineLvl w:val="8"/>
    </w:pPr>
    <w:rPr>
      <w:i/>
    </w:rPr>
  </w:style>
  <w:style w:type="character" w:default="1" w:styleId="DefaultParagraphFont">
    <w:name w:val="Default Paragraph Font"/>
    <w:uiPriority w:val="1"/>
    <w:unhideWhenUsed/>
    <w:rsid w:val="00A46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291"/>
  </w:style>
  <w:style w:type="character" w:customStyle="1" w:styleId="Heading1Char">
    <w:name w:val="Heading 1 Char"/>
    <w:basedOn w:val="DefaultParagraphFont"/>
    <w:link w:val="Heading1"/>
    <w:rsid w:val="00A46291"/>
    <w:rPr>
      <w:rFonts w:ascii="Times New Roman" w:eastAsia="Times New Roman" w:hAnsi="Times New Roman" w:cs="Times New Roman"/>
      <w:b/>
      <w:sz w:val="32"/>
      <w:szCs w:val="20"/>
      <w:lang w:eastAsia="en-US"/>
    </w:rPr>
  </w:style>
  <w:style w:type="paragraph" w:styleId="BodyText">
    <w:name w:val="Body Text"/>
    <w:basedOn w:val="Normal"/>
    <w:link w:val="BodyTextChar"/>
    <w:rsid w:val="00A462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291"/>
    <w:rPr>
      <w:rFonts w:ascii="Times New Roman" w:eastAsia="Times New Roman" w:hAnsi="Times New Roman" w:cs="Times New Roman"/>
      <w:sz w:val="24"/>
      <w:lang w:eastAsia="en-US"/>
    </w:rPr>
  </w:style>
  <w:style w:type="paragraph" w:styleId="Footer">
    <w:name w:val="footer"/>
    <w:basedOn w:val="Normal"/>
    <w:link w:val="FooterChar"/>
    <w:rsid w:val="00A46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291"/>
    <w:rPr>
      <w:rFonts w:ascii="Times New Roman" w:eastAsia="Times New Roman" w:hAnsi="Times New Roman" w:cs="Times New Roman"/>
      <w:sz w:val="16"/>
      <w:lang w:eastAsia="en-US"/>
    </w:rPr>
  </w:style>
  <w:style w:type="paragraph" w:styleId="ListBullet">
    <w:name w:val="List Bullet"/>
    <w:basedOn w:val="List"/>
    <w:rsid w:val="00A46291"/>
    <w:pPr>
      <w:numPr>
        <w:numId w:val="13"/>
      </w:numPr>
      <w:tabs>
        <w:tab w:val="clear" w:pos="340"/>
      </w:tabs>
      <w:spacing w:before="40" w:after="40"/>
    </w:pPr>
  </w:style>
  <w:style w:type="character" w:customStyle="1" w:styleId="SpecialBold">
    <w:name w:val="Special Bold"/>
    <w:basedOn w:val="DefaultParagraphFont"/>
    <w:rsid w:val="00A46291"/>
    <w:rPr>
      <w:b/>
      <w:spacing w:val="0"/>
    </w:rPr>
  </w:style>
  <w:style w:type="paragraph" w:styleId="ListBullet2">
    <w:name w:val="List Bullet 2"/>
    <w:basedOn w:val="List2"/>
    <w:rsid w:val="00A46291"/>
    <w:pPr>
      <w:numPr>
        <w:numId w:val="14"/>
      </w:numPr>
      <w:tabs>
        <w:tab w:val="clear" w:pos="680"/>
      </w:tabs>
    </w:pPr>
  </w:style>
  <w:style w:type="paragraph" w:customStyle="1" w:styleId="SuperHeading">
    <w:name w:val="SuperHeading"/>
    <w:basedOn w:val="Normal"/>
    <w:rsid w:val="00A46291"/>
    <w:pPr>
      <w:spacing w:before="240" w:after="120"/>
      <w:outlineLvl w:val="0"/>
    </w:pPr>
    <w:rPr>
      <w:rFonts w:ascii="Times New Roman" w:hAnsi="Times New Roman"/>
      <w:b/>
      <w:sz w:val="28"/>
    </w:rPr>
  </w:style>
  <w:style w:type="paragraph" w:customStyle="1" w:styleId="AllowPageBreak">
    <w:name w:val="AllowPageBreak"/>
    <w:rsid w:val="00A46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291"/>
    <w:rPr>
      <w:rFonts w:ascii="Courier New" w:eastAsia="Times New Roman" w:hAnsi="Courier New" w:cs="Times New Roman"/>
      <w:i/>
      <w:szCs w:val="20"/>
      <w:lang w:eastAsia="en-US"/>
    </w:rPr>
  </w:style>
  <w:style w:type="paragraph" w:customStyle="1" w:styleId="HeadingBase">
    <w:name w:val="Heading Base"/>
    <w:rsid w:val="00A46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291"/>
    <w:pPr>
      <w:tabs>
        <w:tab w:val="right" w:leader="dot" w:pos="9072"/>
      </w:tabs>
      <w:ind w:left="567"/>
    </w:pPr>
    <w:rPr>
      <w:szCs w:val="22"/>
    </w:rPr>
  </w:style>
  <w:style w:type="paragraph" w:customStyle="1" w:styleId="TOCBase">
    <w:name w:val="TOC Base"/>
    <w:rsid w:val="00A46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291"/>
    <w:pPr>
      <w:tabs>
        <w:tab w:val="right" w:leader="dot" w:pos="9072"/>
      </w:tabs>
      <w:spacing w:before="40" w:after="40"/>
      <w:ind w:left="284"/>
    </w:pPr>
    <w:rPr>
      <w:rFonts w:ascii="Times New Roman" w:hAnsi="Times New Roman"/>
    </w:rPr>
  </w:style>
  <w:style w:type="paragraph" w:styleId="TOC1">
    <w:name w:val="toc 1"/>
    <w:basedOn w:val="TOCBase"/>
    <w:next w:val="Normal"/>
    <w:rsid w:val="00A462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291"/>
    <w:pPr>
      <w:spacing w:before="5040"/>
      <w:jc w:val="center"/>
    </w:pPr>
    <w:rPr>
      <w:sz w:val="48"/>
      <w:szCs w:val="72"/>
      <w:lang w:val="en-US"/>
    </w:rPr>
  </w:style>
  <w:style w:type="character" w:customStyle="1" w:styleId="TitleChar">
    <w:name w:val="Title Char"/>
    <w:basedOn w:val="DefaultParagraphFont"/>
    <w:link w:val="Title"/>
    <w:rsid w:val="00A46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291"/>
    <w:pPr>
      <w:tabs>
        <w:tab w:val="left" w:pos="3600"/>
        <w:tab w:val="left" w:pos="3958"/>
      </w:tabs>
    </w:pPr>
  </w:style>
  <w:style w:type="paragraph" w:styleId="List">
    <w:name w:val="List"/>
    <w:basedOn w:val="BodyText"/>
    <w:next w:val="BodyText"/>
    <w:rsid w:val="00A46291"/>
    <w:pPr>
      <w:tabs>
        <w:tab w:val="left" w:pos="340"/>
      </w:tabs>
      <w:spacing w:before="60" w:after="60"/>
      <w:ind w:left="340" w:hanging="340"/>
    </w:pPr>
  </w:style>
  <w:style w:type="paragraph" w:customStyle="1" w:styleId="Note">
    <w:name w:val="Note"/>
    <w:basedOn w:val="BodyText"/>
    <w:rsid w:val="00A46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291"/>
    <w:pPr>
      <w:framePr w:wrap="auto" w:hAnchor="text" w:y="6049"/>
    </w:pPr>
    <w:rPr>
      <w:color w:val="000000"/>
      <w:sz w:val="40"/>
    </w:rPr>
  </w:style>
  <w:style w:type="paragraph" w:customStyle="1" w:styleId="TOCTitle">
    <w:name w:val="TOCTitle"/>
    <w:basedOn w:val="Heading1"/>
    <w:rsid w:val="00A46291"/>
    <w:pPr>
      <w:spacing w:after="240"/>
      <w:jc w:val="center"/>
      <w:outlineLvl w:val="9"/>
    </w:pPr>
    <w:rPr>
      <w:caps/>
    </w:rPr>
  </w:style>
  <w:style w:type="paragraph" w:customStyle="1" w:styleId="Version">
    <w:name w:val="Version"/>
    <w:rsid w:val="00A46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291"/>
    <w:pPr>
      <w:keepNext w:val="0"/>
      <w:tabs>
        <w:tab w:val="right" w:pos="4176"/>
      </w:tabs>
      <w:ind w:left="198" w:hanging="198"/>
    </w:pPr>
    <w:rPr>
      <w:rFonts w:ascii="Garamond" w:hAnsi="Garamond"/>
    </w:rPr>
  </w:style>
  <w:style w:type="paragraph" w:styleId="IndexHeading">
    <w:name w:val="index heading"/>
    <w:basedOn w:val="Normal"/>
    <w:next w:val="Index1"/>
    <w:semiHidden/>
    <w:rsid w:val="00A46291"/>
    <w:pPr>
      <w:spacing w:before="120" w:after="120"/>
    </w:pPr>
    <w:rPr>
      <w:rFonts w:ascii="Arial" w:hAnsi="Arial"/>
      <w:b/>
      <w:color w:val="918585"/>
      <w:sz w:val="24"/>
    </w:rPr>
  </w:style>
  <w:style w:type="paragraph" w:styleId="Header">
    <w:name w:val="header"/>
    <w:basedOn w:val="Normal"/>
    <w:link w:val="HeaderChar"/>
    <w:rsid w:val="00A46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291"/>
    <w:rPr>
      <w:rFonts w:ascii="Times New Roman" w:eastAsia="Times New Roman" w:hAnsi="Times New Roman" w:cs="Times New Roman"/>
      <w:sz w:val="16"/>
      <w:szCs w:val="20"/>
      <w:lang w:val="en-GB" w:eastAsia="en-US"/>
    </w:rPr>
  </w:style>
  <w:style w:type="paragraph" w:customStyle="1" w:styleId="Chapter">
    <w:name w:val="Chapter"/>
    <w:basedOn w:val="Normal"/>
    <w:rsid w:val="00A46291"/>
    <w:pPr>
      <w:spacing w:before="240"/>
    </w:pPr>
    <w:rPr>
      <w:rFonts w:ascii="Times New Roman" w:hAnsi="Times New Roman"/>
      <w:smallCaps/>
      <w:spacing w:val="80"/>
      <w:sz w:val="28"/>
    </w:rPr>
  </w:style>
  <w:style w:type="paragraph" w:customStyle="1" w:styleId="InChapter">
    <w:name w:val="InChapter"/>
    <w:basedOn w:val="Heading3"/>
    <w:rsid w:val="00A46291"/>
    <w:pPr>
      <w:spacing w:after="240"/>
      <w:outlineLvl w:val="9"/>
    </w:pPr>
    <w:rPr>
      <w:noProof/>
    </w:rPr>
  </w:style>
  <w:style w:type="paragraph" w:styleId="Index2">
    <w:name w:val="index 2"/>
    <w:basedOn w:val="Normal"/>
    <w:next w:val="Normal"/>
    <w:semiHidden/>
    <w:rsid w:val="00A46291"/>
    <w:pPr>
      <w:tabs>
        <w:tab w:val="right" w:pos="4176"/>
      </w:tabs>
      <w:ind w:left="568" w:hanging="284"/>
    </w:pPr>
    <w:rPr>
      <w:rFonts w:ascii="Garamond" w:hAnsi="Garamond"/>
    </w:rPr>
  </w:style>
  <w:style w:type="paragraph" w:customStyle="1" w:styleId="Byline">
    <w:name w:val="Byline"/>
    <w:rsid w:val="00A46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291"/>
    <w:pPr>
      <w:tabs>
        <w:tab w:val="clear" w:pos="3600"/>
        <w:tab w:val="clear" w:pos="3958"/>
      </w:tabs>
      <w:jc w:val="right"/>
    </w:pPr>
  </w:style>
  <w:style w:type="character" w:styleId="Emphasis">
    <w:name w:val="Emphasis"/>
    <w:basedOn w:val="DefaultParagraphFont"/>
    <w:qFormat/>
    <w:rsid w:val="00A46291"/>
    <w:rPr>
      <w:i/>
    </w:rPr>
  </w:style>
  <w:style w:type="paragraph" w:styleId="Caption">
    <w:name w:val="caption"/>
    <w:basedOn w:val="BodyText"/>
    <w:next w:val="Normal"/>
    <w:qFormat/>
    <w:rsid w:val="00A46291"/>
    <w:pPr>
      <w:framePr w:w="2268" w:hSpace="181" w:vSpace="181" w:wrap="around" w:vAnchor="text" w:hAnchor="page" w:x="1135" w:y="285" w:anchorLock="1"/>
    </w:pPr>
    <w:rPr>
      <w:i/>
    </w:rPr>
  </w:style>
  <w:style w:type="paragraph" w:customStyle="1" w:styleId="MiniTOCTitle">
    <w:name w:val="MiniTOCTitle"/>
    <w:basedOn w:val="Heading4"/>
    <w:rsid w:val="00A46291"/>
    <w:pPr>
      <w:spacing w:before="240"/>
      <w:outlineLvl w:val="9"/>
    </w:pPr>
    <w:rPr>
      <w:noProof/>
      <w:sz w:val="24"/>
    </w:rPr>
  </w:style>
  <w:style w:type="paragraph" w:customStyle="1" w:styleId="MiniTOCItem">
    <w:name w:val="MiniTOCItem"/>
    <w:basedOn w:val="ListBullet"/>
    <w:rsid w:val="00A46291"/>
    <w:pPr>
      <w:numPr>
        <w:numId w:val="0"/>
      </w:numPr>
      <w:tabs>
        <w:tab w:val="right" w:leader="dot" w:pos="6521"/>
      </w:tabs>
      <w:spacing w:before="0" w:after="0"/>
    </w:pPr>
  </w:style>
  <w:style w:type="paragraph" w:customStyle="1" w:styleId="TOFTitle">
    <w:name w:val="TOFTitle"/>
    <w:basedOn w:val="TOCTitle"/>
    <w:rsid w:val="00A46291"/>
  </w:style>
  <w:style w:type="paragraph" w:styleId="TableofFigures">
    <w:name w:val="table of figures"/>
    <w:basedOn w:val="Normal"/>
    <w:next w:val="Normal"/>
    <w:semiHidden/>
    <w:rsid w:val="00A46291"/>
    <w:pPr>
      <w:tabs>
        <w:tab w:val="right" w:leader="dot" w:pos="9072"/>
      </w:tabs>
      <w:ind w:left="970" w:hanging="403"/>
    </w:pPr>
    <w:rPr>
      <w:rFonts w:ascii="Times New Roman" w:hAnsi="Times New Roman"/>
      <w:b/>
    </w:rPr>
  </w:style>
  <w:style w:type="paragraph" w:styleId="ListNumber">
    <w:name w:val="List Number"/>
    <w:basedOn w:val="List"/>
    <w:rsid w:val="00A46291"/>
    <w:pPr>
      <w:numPr>
        <w:numId w:val="11"/>
      </w:numPr>
    </w:pPr>
  </w:style>
  <w:style w:type="character" w:customStyle="1" w:styleId="WingdingSymbols">
    <w:name w:val="Wingding Symbols"/>
    <w:rsid w:val="00A46291"/>
    <w:rPr>
      <w:rFonts w:ascii="Wingdings" w:hAnsi="Wingdings"/>
    </w:rPr>
  </w:style>
  <w:style w:type="paragraph" w:customStyle="1" w:styleId="TableHeading">
    <w:name w:val="Table Heading"/>
    <w:basedOn w:val="HeadingBase"/>
    <w:rsid w:val="00A46291"/>
    <w:pPr>
      <w:keepLines/>
      <w:pBdr>
        <w:bottom w:val="single" w:sz="6" w:space="1" w:color="918585"/>
      </w:pBdr>
      <w:spacing w:before="240"/>
    </w:pPr>
  </w:style>
  <w:style w:type="character" w:customStyle="1" w:styleId="HotSpot">
    <w:name w:val="HotSpot"/>
    <w:rsid w:val="00A46291"/>
    <w:rPr>
      <w:color w:val="0033CC"/>
      <w:u w:val="none"/>
    </w:rPr>
  </w:style>
  <w:style w:type="paragraph" w:customStyle="1" w:styleId="BodyTextRight">
    <w:name w:val="Body Text Right"/>
    <w:basedOn w:val="BodyText"/>
    <w:rsid w:val="00A46291"/>
    <w:pPr>
      <w:spacing w:before="0" w:after="0"/>
      <w:jc w:val="right"/>
    </w:pPr>
  </w:style>
  <w:style w:type="paragraph" w:styleId="Index3">
    <w:name w:val="index 3"/>
    <w:basedOn w:val="ListNumber2"/>
    <w:next w:val="Normal"/>
    <w:semiHidden/>
    <w:rsid w:val="00A46291"/>
    <w:pPr>
      <w:numPr>
        <w:numId w:val="0"/>
      </w:numPr>
      <w:tabs>
        <w:tab w:val="right" w:leader="dot" w:pos="4176"/>
      </w:tabs>
    </w:pPr>
  </w:style>
  <w:style w:type="paragraph" w:styleId="ListNumber2">
    <w:name w:val="List Number 2"/>
    <w:basedOn w:val="List2"/>
    <w:rsid w:val="00A46291"/>
    <w:pPr>
      <w:numPr>
        <w:numId w:val="10"/>
      </w:numPr>
      <w:tabs>
        <w:tab w:val="clear" w:pos="1060"/>
      </w:tabs>
    </w:pPr>
  </w:style>
  <w:style w:type="paragraph" w:customStyle="1" w:styleId="MarginNote">
    <w:name w:val="Margin Note"/>
    <w:basedOn w:val="BodyText"/>
    <w:rsid w:val="00A46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291"/>
    <w:rPr>
      <w:sz w:val="32"/>
    </w:rPr>
  </w:style>
  <w:style w:type="paragraph" w:customStyle="1" w:styleId="HeadingProcedure">
    <w:name w:val="Heading Procedure"/>
    <w:basedOn w:val="HeadingBase"/>
    <w:next w:val="Normal"/>
    <w:rsid w:val="00A46291"/>
    <w:pPr>
      <w:tabs>
        <w:tab w:val="left" w:pos="0"/>
      </w:tabs>
      <w:spacing w:before="120" w:after="60"/>
    </w:pPr>
    <w:rPr>
      <w:i/>
      <w:color w:val="918585"/>
      <w:sz w:val="22"/>
    </w:rPr>
  </w:style>
  <w:style w:type="paragraph" w:customStyle="1" w:styleId="TableBodyText">
    <w:name w:val="Table Body Text"/>
    <w:basedOn w:val="BodyText"/>
    <w:rsid w:val="00A46291"/>
    <w:pPr>
      <w:spacing w:before="60" w:after="60"/>
    </w:pPr>
  </w:style>
  <w:style w:type="paragraph" w:styleId="ListContinue">
    <w:name w:val="List Continue"/>
    <w:basedOn w:val="List"/>
    <w:rsid w:val="00A46291"/>
    <w:pPr>
      <w:ind w:firstLine="0"/>
    </w:pPr>
  </w:style>
  <w:style w:type="paragraph" w:customStyle="1" w:styleId="ListNote">
    <w:name w:val="List Note"/>
    <w:basedOn w:val="List"/>
    <w:rsid w:val="00A46291"/>
    <w:pPr>
      <w:pBdr>
        <w:top w:val="single" w:sz="6" w:space="2" w:color="918585"/>
        <w:bottom w:val="single" w:sz="6" w:space="2" w:color="918585"/>
      </w:pBdr>
      <w:tabs>
        <w:tab w:val="left" w:pos="1021"/>
      </w:tabs>
      <w:ind w:firstLine="0"/>
    </w:pPr>
  </w:style>
  <w:style w:type="paragraph" w:customStyle="1" w:styleId="Warning">
    <w:name w:val="Warning"/>
    <w:basedOn w:val="BodyText"/>
    <w:rsid w:val="00A46291"/>
    <w:pPr>
      <w:shd w:val="clear" w:color="auto" w:fill="D9D9D9"/>
      <w:tabs>
        <w:tab w:val="left" w:pos="992"/>
      </w:tabs>
      <w:ind w:left="119" w:right="119"/>
    </w:pPr>
    <w:rPr>
      <w:sz w:val="20"/>
    </w:rPr>
  </w:style>
  <w:style w:type="paragraph" w:customStyle="1" w:styleId="MarginIcons">
    <w:name w:val="Margin Icons"/>
    <w:basedOn w:val="BodyText"/>
    <w:rsid w:val="00A46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291"/>
    <w:rPr>
      <w:rFonts w:ascii="Courier New" w:hAnsi="Courier New"/>
    </w:rPr>
  </w:style>
  <w:style w:type="paragraph" w:customStyle="1" w:styleId="NoteBullet">
    <w:name w:val="Note Bullet"/>
    <w:basedOn w:val="Note"/>
    <w:rsid w:val="00A46291"/>
    <w:pPr>
      <w:tabs>
        <w:tab w:val="clear" w:pos="680"/>
      </w:tabs>
      <w:spacing w:before="60" w:after="60"/>
    </w:pPr>
  </w:style>
  <w:style w:type="paragraph" w:customStyle="1" w:styleId="SubHeading2">
    <w:name w:val="SubHeading2"/>
    <w:basedOn w:val="HeadingBase"/>
    <w:rsid w:val="00A46291"/>
    <w:pPr>
      <w:spacing w:before="240" w:after="60"/>
    </w:pPr>
    <w:rPr>
      <w:sz w:val="20"/>
    </w:rPr>
  </w:style>
  <w:style w:type="paragraph" w:customStyle="1" w:styleId="SubHeading1">
    <w:name w:val="SubHeading1"/>
    <w:basedOn w:val="HeadingBase"/>
    <w:rsid w:val="00A46291"/>
    <w:pPr>
      <w:spacing w:before="240" w:after="60"/>
    </w:pPr>
    <w:rPr>
      <w:color w:val="918585"/>
      <w:sz w:val="22"/>
    </w:rPr>
  </w:style>
  <w:style w:type="paragraph" w:customStyle="1" w:styleId="SideHeading">
    <w:name w:val="Side Heading"/>
    <w:basedOn w:val="HeadingBase"/>
    <w:rsid w:val="00A46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291"/>
    <w:pPr>
      <w:numPr>
        <w:numId w:val="12"/>
      </w:numPr>
    </w:pPr>
  </w:style>
  <w:style w:type="paragraph" w:styleId="PlainText">
    <w:name w:val="Plain Text"/>
    <w:basedOn w:val="Normal"/>
    <w:link w:val="PlainTextChar"/>
    <w:rsid w:val="00A46291"/>
    <w:rPr>
      <w:sz w:val="20"/>
    </w:rPr>
  </w:style>
  <w:style w:type="character" w:customStyle="1" w:styleId="PlainTextChar">
    <w:name w:val="Plain Text Char"/>
    <w:basedOn w:val="DefaultParagraphFont"/>
    <w:link w:val="PlainText"/>
    <w:rsid w:val="00A46291"/>
    <w:rPr>
      <w:rFonts w:ascii="Courier New" w:eastAsia="Times New Roman" w:hAnsi="Courier New" w:cs="Times New Roman"/>
      <w:sz w:val="20"/>
      <w:szCs w:val="20"/>
      <w:lang w:eastAsia="en-US"/>
    </w:rPr>
  </w:style>
  <w:style w:type="character" w:customStyle="1" w:styleId="MenuOption">
    <w:name w:val="Menu Option"/>
    <w:basedOn w:val="DefaultParagraphFont"/>
    <w:rsid w:val="00A46291"/>
    <w:rPr>
      <w:b/>
      <w:smallCaps/>
    </w:rPr>
  </w:style>
  <w:style w:type="paragraph" w:customStyle="1" w:styleId="TableListNumber">
    <w:name w:val="Table List Number"/>
    <w:basedOn w:val="ListNumber"/>
    <w:rsid w:val="00A46291"/>
    <w:pPr>
      <w:numPr>
        <w:numId w:val="0"/>
      </w:numPr>
    </w:pPr>
  </w:style>
  <w:style w:type="paragraph" w:styleId="TOC4">
    <w:name w:val="toc 4"/>
    <w:basedOn w:val="TOCBase"/>
    <w:next w:val="Normal"/>
    <w:semiHidden/>
    <w:rsid w:val="00A46291"/>
    <w:pPr>
      <w:tabs>
        <w:tab w:val="right" w:leader="dot" w:pos="9071"/>
      </w:tabs>
      <w:ind w:left="1701"/>
    </w:pPr>
  </w:style>
  <w:style w:type="paragraph" w:customStyle="1" w:styleId="ListAlpha">
    <w:name w:val="List Alpha"/>
    <w:basedOn w:val="List"/>
    <w:rsid w:val="00A46291"/>
    <w:pPr>
      <w:numPr>
        <w:numId w:val="9"/>
      </w:numPr>
    </w:pPr>
  </w:style>
  <w:style w:type="paragraph" w:customStyle="1" w:styleId="ListAlpha2">
    <w:name w:val="List Alpha 2"/>
    <w:basedOn w:val="List2"/>
    <w:rsid w:val="00A46291"/>
    <w:pPr>
      <w:numPr>
        <w:numId w:val="8"/>
      </w:numPr>
    </w:pPr>
  </w:style>
  <w:style w:type="paragraph" w:styleId="List2">
    <w:name w:val="List 2"/>
    <w:basedOn w:val="BodyText"/>
    <w:rsid w:val="00A46291"/>
    <w:pPr>
      <w:tabs>
        <w:tab w:val="left" w:pos="680"/>
      </w:tabs>
      <w:spacing w:before="60" w:after="60"/>
      <w:ind w:left="680" w:hanging="340"/>
    </w:pPr>
  </w:style>
  <w:style w:type="paragraph" w:styleId="List3">
    <w:name w:val="List 3"/>
    <w:basedOn w:val="BodyText"/>
    <w:rsid w:val="00A46291"/>
    <w:pPr>
      <w:tabs>
        <w:tab w:val="left" w:pos="1021"/>
      </w:tabs>
      <w:spacing w:before="60" w:after="60"/>
      <w:ind w:left="1020" w:hanging="340"/>
    </w:pPr>
  </w:style>
  <w:style w:type="paragraph" w:styleId="List4">
    <w:name w:val="List 4"/>
    <w:basedOn w:val="BodyText"/>
    <w:rsid w:val="00A46291"/>
    <w:pPr>
      <w:tabs>
        <w:tab w:val="left" w:pos="1361"/>
      </w:tabs>
      <w:spacing w:before="60" w:after="60"/>
      <w:ind w:left="1361" w:hanging="340"/>
    </w:pPr>
  </w:style>
  <w:style w:type="paragraph" w:styleId="List5">
    <w:name w:val="List 5"/>
    <w:basedOn w:val="BodyText"/>
    <w:rsid w:val="00A46291"/>
    <w:pPr>
      <w:tabs>
        <w:tab w:val="left" w:pos="1701"/>
      </w:tabs>
      <w:spacing w:before="60" w:after="60"/>
      <w:ind w:left="1701" w:hanging="340"/>
    </w:pPr>
  </w:style>
  <w:style w:type="paragraph" w:styleId="ListBullet3">
    <w:name w:val="List Bullet 3"/>
    <w:basedOn w:val="List3"/>
    <w:rsid w:val="00A46291"/>
    <w:pPr>
      <w:numPr>
        <w:numId w:val="15"/>
      </w:numPr>
      <w:tabs>
        <w:tab w:val="clear" w:pos="1021"/>
      </w:tabs>
      <w:ind w:left="1037" w:hanging="357"/>
    </w:pPr>
  </w:style>
  <w:style w:type="paragraph" w:styleId="ListBullet4">
    <w:name w:val="List Bullet 4"/>
    <w:basedOn w:val="List4"/>
    <w:rsid w:val="00A46291"/>
    <w:pPr>
      <w:numPr>
        <w:numId w:val="3"/>
      </w:numPr>
    </w:pPr>
  </w:style>
  <w:style w:type="paragraph" w:styleId="ListBullet5">
    <w:name w:val="List Bullet 5"/>
    <w:basedOn w:val="List5"/>
    <w:rsid w:val="00A46291"/>
    <w:pPr>
      <w:numPr>
        <w:numId w:val="4"/>
      </w:numPr>
    </w:pPr>
  </w:style>
  <w:style w:type="paragraph" w:styleId="ListContinue2">
    <w:name w:val="List Continue 2"/>
    <w:basedOn w:val="List2"/>
    <w:rsid w:val="00A46291"/>
    <w:pPr>
      <w:ind w:firstLine="0"/>
    </w:pPr>
  </w:style>
  <w:style w:type="paragraph" w:styleId="ListContinue3">
    <w:name w:val="List Continue 3"/>
    <w:basedOn w:val="List3"/>
    <w:rsid w:val="00A46291"/>
    <w:pPr>
      <w:ind w:left="1021" w:firstLine="0"/>
    </w:pPr>
  </w:style>
  <w:style w:type="paragraph" w:styleId="ListContinue4">
    <w:name w:val="List Continue 4"/>
    <w:basedOn w:val="List4"/>
    <w:rsid w:val="00A46291"/>
    <w:pPr>
      <w:ind w:firstLine="0"/>
    </w:pPr>
  </w:style>
  <w:style w:type="paragraph" w:styleId="ListContinue5">
    <w:name w:val="List Continue 5"/>
    <w:basedOn w:val="List5"/>
    <w:rsid w:val="00A46291"/>
    <w:pPr>
      <w:ind w:firstLine="0"/>
    </w:pPr>
  </w:style>
  <w:style w:type="paragraph" w:styleId="ListNumber3">
    <w:name w:val="List Number 3"/>
    <w:basedOn w:val="List3"/>
    <w:rsid w:val="00A46291"/>
    <w:pPr>
      <w:numPr>
        <w:numId w:val="5"/>
      </w:numPr>
    </w:pPr>
  </w:style>
  <w:style w:type="paragraph" w:styleId="ListNumber4">
    <w:name w:val="List Number 4"/>
    <w:basedOn w:val="List4"/>
    <w:rsid w:val="00A46291"/>
    <w:pPr>
      <w:numPr>
        <w:numId w:val="6"/>
      </w:numPr>
    </w:pPr>
  </w:style>
  <w:style w:type="paragraph" w:styleId="ListNumber5">
    <w:name w:val="List Number 5"/>
    <w:basedOn w:val="List5"/>
    <w:rsid w:val="00A46291"/>
    <w:pPr>
      <w:numPr>
        <w:numId w:val="7"/>
      </w:numPr>
    </w:pPr>
  </w:style>
  <w:style w:type="paragraph" w:styleId="BlockText">
    <w:name w:val="Block Text"/>
    <w:basedOn w:val="Normal"/>
    <w:rsid w:val="00A46291"/>
    <w:pPr>
      <w:spacing w:after="120"/>
      <w:ind w:left="1440" w:right="1440"/>
    </w:pPr>
  </w:style>
  <w:style w:type="character" w:customStyle="1" w:styleId="Subscript">
    <w:name w:val="Subscript"/>
    <w:basedOn w:val="DefaultParagraphFont"/>
    <w:rsid w:val="00A46291"/>
    <w:rPr>
      <w:sz w:val="16"/>
      <w:vertAlign w:val="subscript"/>
    </w:rPr>
  </w:style>
  <w:style w:type="character" w:customStyle="1" w:styleId="Superscript">
    <w:name w:val="Superscript"/>
    <w:basedOn w:val="DefaultParagraphFont"/>
    <w:rsid w:val="00A46291"/>
    <w:rPr>
      <w:sz w:val="16"/>
      <w:vertAlign w:val="superscript"/>
    </w:rPr>
  </w:style>
  <w:style w:type="character" w:customStyle="1" w:styleId="Symbols">
    <w:name w:val="Symbols"/>
    <w:basedOn w:val="DefaultParagraphFont"/>
    <w:rsid w:val="00A46291"/>
    <w:rPr>
      <w:rFonts w:ascii="Symbol" w:hAnsi="Symbol"/>
    </w:rPr>
  </w:style>
  <w:style w:type="character" w:customStyle="1" w:styleId="MenuOptions">
    <w:name w:val="Menu Options"/>
    <w:basedOn w:val="DefaultParagraphFont"/>
    <w:rsid w:val="00A46291"/>
    <w:rPr>
      <w:rFonts w:ascii="Arial Narrow" w:hAnsi="Arial Narrow"/>
      <w:smallCaps/>
    </w:rPr>
  </w:style>
  <w:style w:type="character" w:customStyle="1" w:styleId="Buttons">
    <w:name w:val="Buttons"/>
    <w:basedOn w:val="DefaultParagraphFont"/>
    <w:rsid w:val="00A46291"/>
    <w:rPr>
      <w:b/>
    </w:rPr>
  </w:style>
  <w:style w:type="character" w:customStyle="1" w:styleId="Underlined">
    <w:name w:val="Underlined"/>
    <w:basedOn w:val="DefaultParagraphFont"/>
    <w:rsid w:val="00A46291"/>
    <w:rPr>
      <w:u w:val="single"/>
    </w:rPr>
  </w:style>
  <w:style w:type="paragraph" w:customStyle="1" w:styleId="TableBodyTextRight">
    <w:name w:val="Table Body Text Right"/>
    <w:basedOn w:val="TableBodyText"/>
    <w:rsid w:val="00A46291"/>
    <w:pPr>
      <w:widowControl w:val="0"/>
      <w:autoSpaceDE w:val="0"/>
      <w:autoSpaceDN w:val="0"/>
      <w:adjustRightInd w:val="0"/>
      <w:jc w:val="right"/>
    </w:pPr>
    <w:rPr>
      <w:rFonts w:cs="Arial"/>
      <w:szCs w:val="18"/>
    </w:rPr>
  </w:style>
  <w:style w:type="paragraph" w:customStyle="1" w:styleId="CopyrightText">
    <w:name w:val="Copyright Text"/>
    <w:basedOn w:val="BodyText"/>
    <w:rsid w:val="00A46291"/>
    <w:rPr>
      <w:sz w:val="18"/>
    </w:rPr>
  </w:style>
  <w:style w:type="paragraph" w:customStyle="1" w:styleId="BodySmallRight">
    <w:name w:val="Body Small Right"/>
    <w:basedOn w:val="BodyTextRight"/>
    <w:rsid w:val="00A46291"/>
    <w:rPr>
      <w:sz w:val="18"/>
      <w:szCs w:val="18"/>
    </w:rPr>
  </w:style>
  <w:style w:type="paragraph" w:customStyle="1" w:styleId="MarginEdition">
    <w:name w:val="Margin Edition"/>
    <w:basedOn w:val="MarginNote"/>
    <w:rsid w:val="00A46291"/>
    <w:pPr>
      <w:spacing w:before="0" w:after="0"/>
    </w:pPr>
    <w:rPr>
      <w:rFonts w:ascii="Times New Roman" w:hAnsi="Times New Roman"/>
      <w:color w:val="999999"/>
    </w:rPr>
  </w:style>
  <w:style w:type="paragraph" w:customStyle="1" w:styleId="Spacer">
    <w:name w:val="Spacer"/>
    <w:basedOn w:val="Normal"/>
    <w:rsid w:val="00A46291"/>
    <w:rPr>
      <w:sz w:val="2"/>
      <w:szCs w:val="2"/>
    </w:rPr>
  </w:style>
  <w:style w:type="character" w:customStyle="1" w:styleId="Small">
    <w:name w:val="Small"/>
    <w:basedOn w:val="DefaultParagraphFont"/>
    <w:rsid w:val="00A46291"/>
    <w:rPr>
      <w:sz w:val="16"/>
    </w:rPr>
  </w:style>
  <w:style w:type="paragraph" w:customStyle="1" w:styleId="WideTable">
    <w:name w:val="Wide Table"/>
    <w:basedOn w:val="Normal"/>
    <w:rsid w:val="00A46291"/>
    <w:pPr>
      <w:ind w:left="-1418"/>
    </w:pPr>
    <w:rPr>
      <w:sz w:val="2"/>
      <w:szCs w:val="2"/>
    </w:rPr>
  </w:style>
  <w:style w:type="character" w:styleId="PageNumber">
    <w:name w:val="page number"/>
    <w:basedOn w:val="DefaultParagraphFont"/>
    <w:rsid w:val="00A46291"/>
  </w:style>
  <w:style w:type="paragraph" w:styleId="Quote">
    <w:name w:val="Quote"/>
    <w:basedOn w:val="Heading1"/>
    <w:link w:val="QuoteChar"/>
    <w:qFormat/>
    <w:rsid w:val="00A46291"/>
    <w:rPr>
      <w:b w:val="0"/>
      <w:sz w:val="72"/>
      <w:szCs w:val="72"/>
      <w:lang w:val="en-NZ"/>
    </w:rPr>
  </w:style>
  <w:style w:type="character" w:customStyle="1" w:styleId="QuoteChar">
    <w:name w:val="Quote Char"/>
    <w:basedOn w:val="DefaultParagraphFont"/>
    <w:link w:val="Quote"/>
    <w:rsid w:val="00A46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291"/>
    <w:pPr>
      <w:pageBreakBefore/>
    </w:pPr>
  </w:style>
  <w:style w:type="paragraph" w:customStyle="1" w:styleId="Border">
    <w:name w:val="Border"/>
    <w:basedOn w:val="Normal"/>
    <w:qFormat/>
    <w:rsid w:val="00A46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291"/>
    <w:rPr>
      <w:b/>
      <w:bCs/>
      <w:i/>
      <w:iCs/>
      <w:color w:val="auto"/>
    </w:rPr>
  </w:style>
  <w:style w:type="paragraph" w:styleId="IntenseQuote">
    <w:name w:val="Intense Quote"/>
    <w:basedOn w:val="Normal"/>
    <w:next w:val="Normal"/>
    <w:link w:val="IntenseQuoteChar"/>
    <w:uiPriority w:val="30"/>
    <w:qFormat/>
    <w:rsid w:val="00A46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291"/>
    <w:rPr>
      <w:smallCaps/>
      <w:color w:val="auto"/>
      <w:u w:val="single"/>
    </w:rPr>
  </w:style>
  <w:style w:type="character" w:styleId="IntenseReference">
    <w:name w:val="Intense Reference"/>
    <w:basedOn w:val="DefaultParagraphFont"/>
    <w:uiPriority w:val="32"/>
    <w:qFormat/>
    <w:rsid w:val="00A46291"/>
    <w:rPr>
      <w:b/>
      <w:bCs/>
      <w:smallCaps/>
      <w:color w:val="auto"/>
      <w:spacing w:val="5"/>
      <w:u w:val="single"/>
    </w:rPr>
  </w:style>
  <w:style w:type="paragraph" w:customStyle="1" w:styleId="2ColumnHeading">
    <w:name w:val="2Column Heading"/>
    <w:basedOn w:val="BodyText"/>
    <w:qFormat/>
    <w:rsid w:val="00A46291"/>
    <w:pPr>
      <w:spacing w:after="60"/>
      <w:ind w:left="-2268"/>
    </w:pPr>
    <w:rPr>
      <w:b/>
    </w:rPr>
  </w:style>
  <w:style w:type="paragraph" w:customStyle="1" w:styleId="Heading1TOC">
    <w:name w:val="Heading1 TOC"/>
    <w:basedOn w:val="Normal"/>
    <w:qFormat/>
    <w:rsid w:val="00A46291"/>
    <w:pPr>
      <w:spacing w:before="240" w:after="120"/>
    </w:pPr>
    <w:rPr>
      <w:rFonts w:ascii="Times New Roman" w:hAnsi="Times New Roman"/>
      <w:b/>
      <w:sz w:val="32"/>
    </w:rPr>
  </w:style>
  <w:style w:type="paragraph" w:customStyle="1" w:styleId="Heading2TOC">
    <w:name w:val="Heading2 TOC"/>
    <w:basedOn w:val="Normal"/>
    <w:qFormat/>
    <w:rsid w:val="00A46291"/>
    <w:pPr>
      <w:spacing w:before="240" w:after="60"/>
    </w:pPr>
    <w:rPr>
      <w:rFonts w:ascii="Times New Roman" w:hAnsi="Times New Roman"/>
      <w:b/>
      <w:sz w:val="28"/>
    </w:rPr>
  </w:style>
  <w:style w:type="character" w:customStyle="1" w:styleId="Underline">
    <w:name w:val="Underline"/>
    <w:basedOn w:val="DefaultParagraphFont"/>
    <w:qFormat/>
    <w:rsid w:val="00A46291"/>
    <w:rPr>
      <w:u w:val="single"/>
    </w:rPr>
  </w:style>
  <w:style w:type="character" w:customStyle="1" w:styleId="BoldandItalics">
    <w:name w:val="Bold and Italics"/>
    <w:qFormat/>
    <w:rsid w:val="00A46291"/>
    <w:rPr>
      <w:b/>
      <w:i/>
      <w:u w:val="none"/>
    </w:rPr>
  </w:style>
  <w:style w:type="paragraph" w:styleId="BalloonText">
    <w:name w:val="Balloon Text"/>
    <w:basedOn w:val="Normal"/>
    <w:link w:val="BalloonTextChar"/>
    <w:rsid w:val="00A46291"/>
    <w:rPr>
      <w:rFonts w:ascii="Tahoma" w:hAnsi="Tahoma" w:cs="Tahoma"/>
      <w:sz w:val="16"/>
      <w:szCs w:val="16"/>
    </w:rPr>
  </w:style>
  <w:style w:type="character" w:customStyle="1" w:styleId="BalloonTextChar">
    <w:name w:val="Balloon Text Char"/>
    <w:basedOn w:val="DefaultParagraphFont"/>
    <w:link w:val="BalloonText"/>
    <w:rsid w:val="00A46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2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291"/>
    <w:rPr>
      <w:b/>
      <w:color w:val="660033"/>
      <w:spacing w:val="0"/>
    </w:rPr>
  </w:style>
  <w:style w:type="paragraph" w:customStyle="1" w:styleId="Nameditemlist">
    <w:name w:val="Named item list"/>
    <w:basedOn w:val="BodyText"/>
    <w:qFormat/>
    <w:rsid w:val="00A462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2764</Words>
  <Characters>16952</Characters>
  <Application>Microsoft Office Word</Application>
  <DocSecurity>0</DocSecurity>
  <Lines>613</Lines>
  <Paragraphs>268</Paragraphs>
  <ScaleCrop>false</ScaleCrop>
  <Company>Author-it Software Corporation Ltd.</Company>
  <LinksUpToDate>false</LinksUpToDate>
  <CharactersWithSpaces>19533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UETTDRIS70A Diagnose and rectify faults in electrical energy distribution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2012-10-10T01:32:00Z</dcterms:created>
  <dcterms:modified xsi:type="dcterms:W3CDTF">2012-10-10T01:32:00Z</dcterms:modified>
</cp:coreProperties>
</file>