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3A3F" w:rsidP="00543A3F">
      <w:pPr>
        <w:pStyle w:val="Title"/>
      </w:pPr>
      <w:r>
        <w:fldChar w:fldCharType="begin"/>
      </w:r>
      <w:r>
        <w:instrText xml:space="preserve"> TITLE   \* MERGEFORMAT </w:instrText>
      </w:r>
      <w:r>
        <w:fldChar w:fldCharType="separate"/>
      </w:r>
      <w:r>
        <w:t>UETTDRIS69A Diagnose and rectify faults in energy supply apparatus</w:t>
      </w:r>
      <w:r>
        <w:fldChar w:fldCharType="end"/>
      </w:r>
    </w:p>
    <w:p w:rsidR="00543A3F" w:rsidP="00543A3F">
      <w:pPr>
        <w:pStyle w:val="Version"/>
        <w:sectPr w:rsidSect="00AA32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3252" w:rsidP="00AA3252">
      <w:pPr>
        <w:pStyle w:val="SuperHeading"/>
      </w:pPr>
      <w:r w:rsidRPr="00AA3252">
        <w:t>UETTDRIS69A Diagnose and rectify faults in energy supply apparatus</w:t>
      </w:r>
    </w:p>
    <w:p w:rsidR="00000000" w:rsidRPr="00AA3252" w:rsidP="00AA3252">
      <w:pPr>
        <w:pStyle w:val="Heading1"/>
      </w:pPr>
      <w:bookmarkStart w:id="1" w:name="O_463106"/>
      <w:bookmarkEnd w:id="1"/>
      <w:r w:rsidRPr="00AA3252">
        <w:t>Modification History</w:t>
      </w:r>
    </w:p>
    <w:p w:rsidR="00000000" w:rsidRPr="00AA3252" w:rsidP="00AA3252">
      <w:pPr>
        <w:pStyle w:val="BodyText"/>
      </w:pPr>
      <w:r w:rsidRPr="00AA3252">
        <w:t>Not applicable.</w:t>
      </w:r>
    </w:p>
    <w:p w:rsidR="00000000" w:rsidRPr="00AA3252" w:rsidP="00AA3252">
      <w:pPr>
        <w:pStyle w:val="AllowPageBreak"/>
      </w:pPr>
    </w:p>
    <w:p w:rsidR="00000000" w:rsidRPr="00AA3252" w:rsidP="00AA3252">
      <w:pPr>
        <w:pStyle w:val="Heading1"/>
      </w:pPr>
      <w:bookmarkStart w:id="2" w:name="O_463102"/>
      <w:bookmarkEnd w:id="2"/>
      <w:r w:rsidRPr="00AA3252">
        <w:t>Unit Descriptor</w:t>
      </w:r>
    </w:p>
    <w:tbl>
      <w:tblPr>
        <w:tblW w:w="0" w:type="auto"/>
        <w:tblLayout w:type="fixed"/>
        <w:tblCellMar>
          <w:left w:w="62" w:type="dxa"/>
          <w:right w:w="62" w:type="dxa"/>
        </w:tblCellMar>
        <w:tblLook w:val="0000"/>
      </w:tblPr>
      <w:tblGrid>
        <w:gridCol w:w="2700"/>
        <w:gridCol w:w="5760"/>
      </w:tblGrid>
      <w:tr w:rsidTr="00543A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rPr>
                <w:rStyle w:val="SpecialBold"/>
              </w:rPr>
              <w:t>1)</w:t>
            </w:r>
            <w:r w:rsidRPr="00AA3252">
              <w:t xml:space="preserve"> </w:t>
            </w:r>
            <w:r w:rsidRPr="00AA3252">
              <w:rPr>
                <w:rStyle w:val="SpecialBold"/>
              </w:rPr>
              <w:t>Scope:</w:t>
            </w:r>
          </w:p>
        </w:tc>
      </w:tr>
      <w:tr w:rsidTr="00543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A325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rPr>
                <w:rStyle w:val="SpecialBold"/>
              </w:rPr>
              <w:t>1.1) Descriptor</w:t>
            </w:r>
          </w:p>
        </w:tc>
      </w:tr>
      <w:tr w:rsidTr="00543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t xml:space="preserve">This unit covers diagnosing and rectifying faults in apparatus in energy supply and distribution systems. The unit encompasses safe working practices, interpreting diagrams and technical data, applying knowledge of energy supply apparatus to logical fault </w:t>
            </w:r>
            <w:r w:rsidRPr="00AA3252">
              <w:t>finding processes, implementing fault rectification, safety and functional testing and reporting work activities and outcomes.</w:t>
            </w:r>
          </w:p>
        </w:tc>
      </w:tr>
    </w:tbl>
    <w:p w:rsidR="00000000" w:rsidRPr="00AA3252" w:rsidP="00AA3252">
      <w:pPr>
        <w:pStyle w:val="BodyText"/>
      </w:pPr>
    </w:p>
    <w:p w:rsidR="00000000" w:rsidRPr="00AA3252" w:rsidP="00AA3252">
      <w:pPr>
        <w:pStyle w:val="AllowPageBreak"/>
      </w:pPr>
    </w:p>
    <w:p w:rsidR="00000000" w:rsidRPr="00AA3252" w:rsidP="00AA3252">
      <w:pPr>
        <w:pStyle w:val="Heading1"/>
      </w:pPr>
      <w:bookmarkStart w:id="3" w:name="O_463089"/>
      <w:bookmarkEnd w:id="3"/>
      <w:r w:rsidRPr="00AA3252">
        <w:t>Application of the Unit</w:t>
      </w:r>
    </w:p>
    <w:tbl>
      <w:tblPr>
        <w:tblW w:w="0" w:type="auto"/>
        <w:tblLayout w:type="fixed"/>
        <w:tblCellMar>
          <w:left w:w="62" w:type="dxa"/>
          <w:right w:w="62" w:type="dxa"/>
        </w:tblCellMar>
        <w:tblLook w:val="0000"/>
      </w:tblPr>
      <w:tblGrid>
        <w:gridCol w:w="2672"/>
        <w:gridCol w:w="5699"/>
      </w:tblGrid>
      <w:tr w:rsidTr="00543A3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rPr>
                <w:rStyle w:val="SpecialBold"/>
              </w:rPr>
              <w:t>2)</w:t>
            </w:r>
          </w:p>
        </w:tc>
      </w:tr>
      <w:tr w:rsidTr="00543A3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t>This unit is intended as an additional competency to relevant competencies previously acquired. It is suitable for employment-based programs under an approved contract of training at the aligned AQF 5 level or higher.</w:t>
            </w:r>
          </w:p>
        </w:tc>
      </w:tr>
    </w:tbl>
    <w:p w:rsidR="00000000" w:rsidRPr="00AA3252" w:rsidP="00AA3252">
      <w:pPr>
        <w:pStyle w:val="BodyText"/>
      </w:pPr>
    </w:p>
    <w:p w:rsidR="00000000" w:rsidRPr="00AA3252" w:rsidP="00AA3252">
      <w:pPr>
        <w:pStyle w:val="AllowPageBreak"/>
      </w:pPr>
    </w:p>
    <w:p w:rsidR="00000000" w:rsidRPr="00AA3252" w:rsidP="00AA3252">
      <w:pPr>
        <w:pStyle w:val="Heading1"/>
      </w:pPr>
      <w:bookmarkStart w:id="4" w:name="O_463096"/>
      <w:bookmarkEnd w:id="4"/>
      <w:r w:rsidRPr="00AA3252">
        <w:t>Licensing/Regulator</w:t>
      </w:r>
      <w:r w:rsidRPr="00AA3252">
        <w:t>y Information</w:t>
      </w:r>
    </w:p>
    <w:tbl>
      <w:tblPr>
        <w:tblW w:w="0" w:type="auto"/>
        <w:tblLayout w:type="fixed"/>
        <w:tblCellMar>
          <w:left w:w="62" w:type="dxa"/>
          <w:right w:w="62" w:type="dxa"/>
        </w:tblCellMar>
        <w:tblLook w:val="0000"/>
      </w:tblPr>
      <w:tblGrid>
        <w:gridCol w:w="2700"/>
        <w:gridCol w:w="5760"/>
      </w:tblGrid>
      <w:tr w:rsidTr="00543A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rPr>
                <w:rStyle w:val="SpecialBold"/>
              </w:rPr>
              <w:t xml:space="preserve">3) </w:t>
            </w:r>
          </w:p>
        </w:tc>
      </w:tr>
      <w:tr w:rsidTr="00543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t>The skills and knowledge described in this unit require a license to practice in the workplace where plant and equipment operate at voltage above 50 V a.c. or 120 V d.c. However other conditions may apply in some jur</w:t>
            </w:r>
            <w:r w:rsidRPr="00AA3252">
              <w:t xml:space="preserve">isdictions subject to regulations related to electrical work. Practice in the workplace and during training is also subject to regulations directly related to occupational health and safety and where applicable contracts of </w:t>
            </w:r>
            <w:r w:rsidRPr="00AA3252">
              <w:t>training such as apprenticeships</w:t>
            </w:r>
            <w:r w:rsidRPr="00AA3252">
              <w:t>.</w:t>
            </w:r>
          </w:p>
          <w:p w:rsidR="00000000" w:rsidRPr="00AA3252" w:rsidP="00AA3252">
            <w:pPr>
              <w:pStyle w:val="BodyText"/>
            </w:pPr>
            <w:r w:rsidRPr="00AA3252">
              <w:t>Note:</w:t>
            </w:r>
          </w:p>
          <w:p w:rsidR="00000000" w:rsidRPr="00AA3252" w:rsidP="00AA3252">
            <w:pPr>
              <w:pStyle w:val="BodyText"/>
            </w:pPr>
            <w:r w:rsidRPr="00AA3252">
              <w:t>1. Compliance with permits may be required in various jurisdictions and typically relates to the operation of plant, machinery and equipment such as elevating work platforms, powder operated fixing tools, power operated tools, vehicles, road signag</w:t>
            </w:r>
            <w:r w:rsidRPr="00AA3252">
              <w:t>e and traffic control and lifting equipment. Permits may also be required for some work environments such as confined spaces, working aloft, near live electrical apparatus and site rehabilitation.</w:t>
            </w:r>
          </w:p>
          <w:p w:rsidR="00000000" w:rsidRPr="00AA3252" w:rsidP="00AA3252">
            <w:pPr>
              <w:pStyle w:val="BodyText"/>
            </w:pPr>
            <w:r w:rsidRPr="00AA3252">
              <w:t>2. Compliance may be required in various jurisdictions rela</w:t>
            </w:r>
            <w:r w:rsidRPr="00AA3252">
              <w:t>ting to currency in First Aid, confined space, lifting and risk safety measures.</w:t>
            </w:r>
          </w:p>
        </w:tc>
      </w:tr>
    </w:tbl>
    <w:p w:rsidR="00000000" w:rsidRPr="00AA3252" w:rsidP="00AA3252">
      <w:pPr>
        <w:pStyle w:val="BodyText"/>
      </w:pPr>
    </w:p>
    <w:p w:rsidR="00000000" w:rsidRPr="00AA3252" w:rsidP="00AA3252">
      <w:pPr>
        <w:pStyle w:val="AllowPageBreak"/>
      </w:pPr>
    </w:p>
    <w:p w:rsidR="00000000" w:rsidRPr="00AA3252" w:rsidP="00AA3252">
      <w:pPr>
        <w:pStyle w:val="Heading1"/>
      </w:pPr>
      <w:bookmarkStart w:id="5" w:name="O_463097"/>
      <w:bookmarkEnd w:id="5"/>
      <w:r w:rsidRPr="00AA3252">
        <w:t>Pre-Requisites</w:t>
      </w:r>
    </w:p>
    <w:tbl>
      <w:tblPr>
        <w:tblW w:w="0" w:type="auto"/>
        <w:tblLayout w:type="fixed"/>
        <w:tblCellMar>
          <w:left w:w="62" w:type="dxa"/>
          <w:right w:w="62" w:type="dxa"/>
        </w:tblCellMar>
        <w:tblLook w:val="0000"/>
      </w:tblPr>
      <w:tblGrid>
        <w:gridCol w:w="2700"/>
        <w:gridCol w:w="1980"/>
        <w:gridCol w:w="3780"/>
      </w:tblGrid>
      <w:tr w:rsidTr="00543A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rPr>
                <w:rStyle w:val="SpecialBold"/>
              </w:rPr>
              <w:t xml:space="preserve">4) </w:t>
            </w:r>
          </w:p>
        </w:tc>
      </w:tr>
      <w:tr w:rsidTr="00543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rPr>
                <w:rStyle w:val="SpecialBold"/>
              </w:rPr>
              <w:t>4.1)</w:t>
            </w:r>
          </w:p>
        </w:tc>
      </w:tr>
      <w:tr w:rsidTr="00543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t>Granting of competency in this unit shall be made only after competency in the following unit(s) has/have been confirmed.</w:t>
            </w:r>
          </w:p>
          <w:p w:rsidR="00000000" w:rsidRPr="00AA3252" w:rsidP="00AA3252">
            <w:pPr>
              <w:pStyle w:val="BodyText"/>
            </w:pPr>
            <w:r w:rsidRPr="00AA3252">
              <w:t xml:space="preserve">Where pre-requisite pathways have been identified. All competencies in the Common Unit Group must be have been completed plus all the </w:t>
            </w:r>
            <w:r w:rsidRPr="00AA3252">
              <w:t>competencies in one (1) of the identified Pathway Unit Group(s):</w:t>
            </w:r>
          </w:p>
          <w:p w:rsidR="00000000" w:rsidP="00AA3252">
            <w:pPr>
              <w:pStyle w:val="BodyText"/>
              <w:rPr>
                <w:lang w:val="en-NZ"/>
              </w:rPr>
            </w:pPr>
            <w:r w:rsidRPr="00AA3252">
              <w:t>Common Unit Group</w:t>
            </w:r>
          </w:p>
        </w:tc>
      </w:tr>
      <w:tr w:rsidTr="00543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Unit Code</w:t>
            </w:r>
          </w:p>
        </w:tc>
        <w:tc>
          <w:tcPr>
            <w:tcW w:w="378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Unit Title</w:t>
            </w:r>
          </w:p>
        </w:tc>
      </w:tr>
      <w:tr w:rsidTr="00543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A3252">
            <w:pPr>
              <w:pStyle w:val="BodyText"/>
              <w:rPr>
                <w:lang w:val="en-NZ"/>
              </w:rPr>
            </w:pPr>
            <w:r w:rsidRPr="00AA3252">
              <w:t>UEENEEE101A</w:t>
            </w:r>
          </w:p>
        </w:tc>
        <w:tc>
          <w:tcPr>
            <w:tcW w:w="3780" w:type="dxa"/>
            <w:tcBorders>
              <w:top w:val="nil"/>
              <w:left w:val="nil"/>
              <w:bottom w:val="nil"/>
              <w:right w:val="nil"/>
            </w:tcBorders>
            <w:tcMar>
              <w:top w:w="0" w:type="dxa"/>
              <w:left w:w="62" w:type="dxa"/>
              <w:bottom w:w="0" w:type="dxa"/>
              <w:right w:w="62" w:type="dxa"/>
            </w:tcMar>
            <w:vAlign w:val="center"/>
          </w:tcPr>
          <w:p w:rsidR="00000000" w:rsidP="00AA3252">
            <w:pPr>
              <w:pStyle w:val="BodyText"/>
              <w:rPr>
                <w:lang w:val="en-NZ"/>
              </w:rPr>
            </w:pPr>
            <w:r w:rsidRPr="00AA3252">
              <w:t>Apply Occupational Health and Safety regulations, codes and practices in the workplace</w:t>
            </w:r>
          </w:p>
        </w:tc>
      </w:tr>
      <w:tr w:rsidTr="00543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A3252">
            <w:pPr>
              <w:pStyle w:val="BodyText"/>
              <w:rPr>
                <w:lang w:val="en-NZ"/>
              </w:rPr>
            </w:pPr>
            <w:r w:rsidRPr="00AA3252">
              <w:t>UEENEEE102A</w:t>
            </w:r>
          </w:p>
        </w:tc>
        <w:tc>
          <w:tcPr>
            <w:tcW w:w="3780" w:type="dxa"/>
            <w:tcBorders>
              <w:top w:val="nil"/>
              <w:left w:val="nil"/>
              <w:bottom w:val="nil"/>
              <w:right w:val="nil"/>
            </w:tcBorders>
            <w:tcMar>
              <w:top w:w="0" w:type="dxa"/>
              <w:left w:w="62" w:type="dxa"/>
              <w:bottom w:w="0" w:type="dxa"/>
              <w:right w:w="62" w:type="dxa"/>
            </w:tcMar>
            <w:vAlign w:val="center"/>
          </w:tcPr>
          <w:p w:rsidR="00000000" w:rsidP="00AA3252">
            <w:pPr>
              <w:pStyle w:val="BodyText"/>
              <w:rPr>
                <w:lang w:val="en-NZ"/>
              </w:rPr>
            </w:pPr>
            <w:r w:rsidRPr="00AA3252">
              <w:t>Fabricate, assemble and dismantle utilities industry components</w:t>
            </w:r>
          </w:p>
        </w:tc>
      </w:tr>
      <w:tr w:rsidTr="00543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A3252">
            <w:pPr>
              <w:pStyle w:val="BodyText"/>
              <w:rPr>
                <w:lang w:val="en-NZ"/>
              </w:rPr>
            </w:pPr>
            <w:r w:rsidRPr="00AA3252">
              <w:t>UEENEEE104A</w:t>
            </w:r>
          </w:p>
        </w:tc>
        <w:tc>
          <w:tcPr>
            <w:tcW w:w="3780" w:type="dxa"/>
            <w:tcBorders>
              <w:top w:val="nil"/>
              <w:left w:val="nil"/>
              <w:bottom w:val="nil"/>
              <w:right w:val="nil"/>
            </w:tcBorders>
            <w:tcMar>
              <w:top w:w="0" w:type="dxa"/>
              <w:left w:w="62" w:type="dxa"/>
              <w:bottom w:w="0" w:type="dxa"/>
              <w:right w:w="62" w:type="dxa"/>
            </w:tcMar>
            <w:vAlign w:val="center"/>
          </w:tcPr>
          <w:p w:rsidR="00000000" w:rsidP="00AA3252">
            <w:pPr>
              <w:pStyle w:val="BodyText"/>
              <w:rPr>
                <w:lang w:val="en-NZ"/>
              </w:rPr>
            </w:pPr>
            <w:r w:rsidRPr="00AA3252">
              <w:t>Solve problems in d.c. Circuits</w:t>
            </w:r>
          </w:p>
        </w:tc>
      </w:tr>
      <w:tr w:rsidTr="00543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A3252">
            <w:pPr>
              <w:pStyle w:val="BodyText"/>
              <w:rPr>
                <w:lang w:val="en-NZ"/>
              </w:rPr>
            </w:pPr>
            <w:r w:rsidRPr="00AA3252">
              <w:t>UEENEEE105A</w:t>
            </w:r>
          </w:p>
        </w:tc>
        <w:tc>
          <w:tcPr>
            <w:tcW w:w="3780" w:type="dxa"/>
            <w:tcBorders>
              <w:top w:val="nil"/>
              <w:left w:val="nil"/>
              <w:bottom w:val="nil"/>
              <w:right w:val="nil"/>
            </w:tcBorders>
            <w:tcMar>
              <w:top w:w="0" w:type="dxa"/>
              <w:left w:w="62" w:type="dxa"/>
              <w:bottom w:w="0" w:type="dxa"/>
              <w:right w:w="62" w:type="dxa"/>
            </w:tcMar>
            <w:vAlign w:val="center"/>
          </w:tcPr>
          <w:p w:rsidR="00000000" w:rsidP="00AA3252">
            <w:pPr>
              <w:pStyle w:val="BodyText"/>
              <w:rPr>
                <w:lang w:val="en-NZ"/>
              </w:rPr>
            </w:pPr>
            <w:r w:rsidRPr="00AA3252">
              <w:t>Fix and secure electrotechnology equipment</w:t>
            </w:r>
          </w:p>
        </w:tc>
      </w:tr>
      <w:tr w:rsidTr="00543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A3252">
            <w:pPr>
              <w:pStyle w:val="BodyText"/>
              <w:rPr>
                <w:lang w:val="en-NZ"/>
              </w:rPr>
            </w:pPr>
            <w:r w:rsidRPr="00AA3252">
              <w:t>UEENEEE107A</w:t>
            </w:r>
          </w:p>
        </w:tc>
        <w:tc>
          <w:tcPr>
            <w:tcW w:w="3780" w:type="dxa"/>
            <w:tcBorders>
              <w:top w:val="nil"/>
              <w:left w:val="nil"/>
              <w:bottom w:val="nil"/>
              <w:right w:val="nil"/>
            </w:tcBorders>
            <w:tcMar>
              <w:top w:w="0" w:type="dxa"/>
              <w:left w:w="62" w:type="dxa"/>
              <w:bottom w:w="0" w:type="dxa"/>
              <w:right w:w="62" w:type="dxa"/>
            </w:tcMar>
            <w:vAlign w:val="center"/>
          </w:tcPr>
          <w:p w:rsidR="00000000" w:rsidP="00AA3252">
            <w:pPr>
              <w:pStyle w:val="BodyText"/>
              <w:rPr>
                <w:lang w:val="en-NZ"/>
              </w:rPr>
            </w:pPr>
            <w:r w:rsidRPr="00AA3252">
              <w:t>Use drawings, diagrams, schedules, standards, codes and specifications</w:t>
            </w:r>
          </w:p>
        </w:tc>
      </w:tr>
      <w:tr w:rsidTr="00543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A3252">
            <w:pPr>
              <w:pStyle w:val="BodyText"/>
              <w:rPr>
                <w:lang w:val="en-NZ"/>
              </w:rPr>
            </w:pPr>
            <w:r w:rsidRPr="00AA3252">
              <w:t>UE</w:t>
            </w:r>
            <w:r w:rsidRPr="00AA3252">
              <w:t>ENEEG101A</w:t>
            </w:r>
          </w:p>
        </w:tc>
        <w:tc>
          <w:tcPr>
            <w:tcW w:w="3780" w:type="dxa"/>
            <w:tcBorders>
              <w:top w:val="nil"/>
              <w:left w:val="nil"/>
              <w:bottom w:val="nil"/>
              <w:right w:val="nil"/>
            </w:tcBorders>
            <w:tcMar>
              <w:top w:w="0" w:type="dxa"/>
              <w:left w:w="62" w:type="dxa"/>
              <w:bottom w:w="0" w:type="dxa"/>
              <w:right w:w="62" w:type="dxa"/>
            </w:tcMar>
            <w:vAlign w:val="center"/>
          </w:tcPr>
          <w:p w:rsidR="00000000" w:rsidP="00AA3252">
            <w:pPr>
              <w:pStyle w:val="BodyText"/>
              <w:rPr>
                <w:lang w:val="en-NZ"/>
              </w:rPr>
            </w:pPr>
            <w:r w:rsidRPr="00AA3252">
              <w:t>Solve problems in electromagnetic devices and related circuits</w:t>
            </w:r>
          </w:p>
        </w:tc>
      </w:tr>
      <w:tr w:rsidTr="00543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A3252">
            <w:pPr>
              <w:pStyle w:val="BodyText"/>
              <w:rPr>
                <w:lang w:val="en-NZ"/>
              </w:rPr>
            </w:pPr>
            <w:r w:rsidRPr="00AA3252">
              <w:t>UEENEEG102A</w:t>
            </w:r>
          </w:p>
        </w:tc>
        <w:tc>
          <w:tcPr>
            <w:tcW w:w="3780" w:type="dxa"/>
            <w:tcBorders>
              <w:top w:val="nil"/>
              <w:left w:val="nil"/>
              <w:bottom w:val="nil"/>
              <w:right w:val="nil"/>
            </w:tcBorders>
            <w:tcMar>
              <w:top w:w="0" w:type="dxa"/>
              <w:left w:w="62" w:type="dxa"/>
              <w:bottom w:w="0" w:type="dxa"/>
              <w:right w:w="62" w:type="dxa"/>
            </w:tcMar>
            <w:vAlign w:val="center"/>
          </w:tcPr>
          <w:p w:rsidR="00000000" w:rsidP="00AA3252">
            <w:pPr>
              <w:pStyle w:val="BodyText"/>
              <w:rPr>
                <w:lang w:val="en-NZ"/>
              </w:rPr>
            </w:pPr>
            <w:r w:rsidRPr="00AA3252">
              <w:t>Solve problems in low voltage a.c. Circuits</w:t>
            </w:r>
          </w:p>
        </w:tc>
      </w:tr>
      <w:tr w:rsidTr="00543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A3252">
            <w:pPr>
              <w:pStyle w:val="BodyText"/>
              <w:rPr>
                <w:lang w:val="en-NZ"/>
              </w:rPr>
            </w:pPr>
            <w:r w:rsidRPr="00AA3252">
              <w:t>UEENEEG006A</w:t>
            </w:r>
          </w:p>
        </w:tc>
        <w:tc>
          <w:tcPr>
            <w:tcW w:w="3780" w:type="dxa"/>
            <w:tcBorders>
              <w:top w:val="nil"/>
              <w:left w:val="nil"/>
              <w:bottom w:val="nil"/>
              <w:right w:val="nil"/>
            </w:tcBorders>
            <w:tcMar>
              <w:top w:w="0" w:type="dxa"/>
              <w:left w:w="62" w:type="dxa"/>
              <w:bottom w:w="0" w:type="dxa"/>
              <w:right w:w="62" w:type="dxa"/>
            </w:tcMar>
            <w:vAlign w:val="center"/>
          </w:tcPr>
          <w:p w:rsidR="00000000" w:rsidP="00AA3252">
            <w:pPr>
              <w:pStyle w:val="BodyText"/>
              <w:rPr>
                <w:lang w:val="en-NZ"/>
              </w:rPr>
            </w:pPr>
            <w:r w:rsidRPr="00AA3252">
              <w:t>Solve problems in single and three phase low voltage machines</w:t>
            </w:r>
          </w:p>
        </w:tc>
      </w:tr>
      <w:tr w:rsidTr="00543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A3252">
            <w:pPr>
              <w:pStyle w:val="BodyText"/>
              <w:rPr>
                <w:lang w:val="en-NZ"/>
              </w:rPr>
            </w:pPr>
            <w:r w:rsidRPr="00AA3252">
              <w:t>UEENEEG106A</w:t>
            </w:r>
          </w:p>
        </w:tc>
        <w:tc>
          <w:tcPr>
            <w:tcW w:w="3780" w:type="dxa"/>
            <w:tcBorders>
              <w:top w:val="nil"/>
              <w:left w:val="nil"/>
              <w:bottom w:val="nil"/>
              <w:right w:val="nil"/>
            </w:tcBorders>
            <w:tcMar>
              <w:top w:w="0" w:type="dxa"/>
              <w:left w:w="62" w:type="dxa"/>
              <w:bottom w:w="0" w:type="dxa"/>
              <w:right w:w="62" w:type="dxa"/>
            </w:tcMar>
            <w:vAlign w:val="center"/>
          </w:tcPr>
          <w:p w:rsidR="00000000" w:rsidP="00AA3252">
            <w:pPr>
              <w:pStyle w:val="BodyText"/>
              <w:rPr>
                <w:lang w:val="en-NZ"/>
              </w:rPr>
            </w:pPr>
            <w:r w:rsidRPr="00AA3252">
              <w:t>Terminate cables, cords and accessories for low voltage circuits</w:t>
            </w:r>
          </w:p>
        </w:tc>
      </w:tr>
      <w:tr w:rsidTr="00543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A3252">
            <w:pPr>
              <w:pStyle w:val="BodyText"/>
              <w:rPr>
                <w:lang w:val="en-NZ"/>
              </w:rPr>
            </w:pPr>
            <w:r w:rsidRPr="00AA3252">
              <w:t>UETTDRIS67A</w:t>
            </w:r>
          </w:p>
        </w:tc>
        <w:tc>
          <w:tcPr>
            <w:tcW w:w="3780" w:type="dxa"/>
            <w:tcBorders>
              <w:top w:val="nil"/>
              <w:left w:val="nil"/>
              <w:bottom w:val="nil"/>
              <w:right w:val="nil"/>
            </w:tcBorders>
            <w:tcMar>
              <w:top w:w="0" w:type="dxa"/>
              <w:left w:w="62" w:type="dxa"/>
              <w:bottom w:w="0" w:type="dxa"/>
              <w:right w:w="62" w:type="dxa"/>
            </w:tcMar>
            <w:vAlign w:val="center"/>
          </w:tcPr>
          <w:p w:rsidR="00000000" w:rsidP="00AA3252">
            <w:pPr>
              <w:pStyle w:val="BodyText"/>
              <w:rPr>
                <w:lang w:val="en-NZ"/>
              </w:rPr>
            </w:pPr>
            <w:r w:rsidRPr="00AA3252">
              <w:t>Solve problems in energy supply network equipment</w:t>
            </w:r>
          </w:p>
        </w:tc>
      </w:tr>
      <w:tr w:rsidTr="00543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vAlign w:val="center"/>
          </w:tcPr>
          <w:p w:rsidR="00000000" w:rsidP="00AA3252">
            <w:pPr>
              <w:pStyle w:val="BodyText"/>
              <w:rPr>
                <w:lang w:val="en-NZ"/>
              </w:rPr>
            </w:pPr>
            <w:r w:rsidRPr="00AA3252">
              <w:t>UETTDRIS68A</w:t>
            </w:r>
          </w:p>
        </w:tc>
        <w:tc>
          <w:tcPr>
            <w:tcW w:w="3780" w:type="dxa"/>
            <w:tcBorders>
              <w:top w:val="nil"/>
              <w:left w:val="nil"/>
              <w:bottom w:val="nil"/>
              <w:right w:val="nil"/>
            </w:tcBorders>
            <w:tcMar>
              <w:top w:w="0" w:type="dxa"/>
              <w:left w:w="62" w:type="dxa"/>
              <w:bottom w:w="0" w:type="dxa"/>
              <w:right w:w="62" w:type="dxa"/>
            </w:tcMar>
            <w:vAlign w:val="center"/>
          </w:tcPr>
          <w:p w:rsidR="00000000" w:rsidRPr="00AA3252" w:rsidP="00AA3252">
            <w:pPr>
              <w:pStyle w:val="BodyText"/>
            </w:pPr>
            <w:r w:rsidRPr="00AA3252">
              <w:t>Solve problems in energy supply network protection equipment and systems</w:t>
            </w:r>
          </w:p>
        </w:tc>
      </w:tr>
    </w:tbl>
    <w:p w:rsidR="00000000" w:rsidRPr="00AA3252" w:rsidP="00AA325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543A3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rPr>
                <w:rStyle w:val="SpecialBold"/>
              </w:rPr>
              <w:t xml:space="preserve">4.2) </w:t>
            </w:r>
          </w:p>
        </w:tc>
      </w:tr>
      <w:tr w:rsidTr="00543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Participants are best equipped to achieve competency in this unit if they have reading, writing and numeracy skills indicated by the following scales. Description of each scale is given in Volume 2, Part 3 ‘Literacy and Numeracy’</w:t>
            </w:r>
          </w:p>
        </w:tc>
      </w:tr>
      <w:tr w:rsidTr="00543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Reading</w:t>
            </w:r>
          </w:p>
        </w:tc>
        <w:tc>
          <w:tcPr>
            <w:tcW w:w="81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5</w:t>
            </w:r>
          </w:p>
        </w:tc>
        <w:tc>
          <w:tcPr>
            <w:tcW w:w="99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Writing</w:t>
            </w:r>
          </w:p>
        </w:tc>
        <w:tc>
          <w:tcPr>
            <w:tcW w:w="90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5</w:t>
            </w:r>
          </w:p>
        </w:tc>
        <w:tc>
          <w:tcPr>
            <w:tcW w:w="126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Numeracy</w:t>
            </w:r>
          </w:p>
        </w:tc>
        <w:tc>
          <w:tcPr>
            <w:tcW w:w="720" w:type="dxa"/>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t>5</w:t>
            </w:r>
          </w:p>
        </w:tc>
      </w:tr>
    </w:tbl>
    <w:p w:rsidR="00000000" w:rsidRPr="00AA3252" w:rsidP="00AA3252">
      <w:pPr>
        <w:pStyle w:val="BodyText"/>
      </w:pPr>
    </w:p>
    <w:p w:rsidR="00000000" w:rsidRPr="00AA3252" w:rsidP="00AA3252">
      <w:pPr>
        <w:pStyle w:val="AllowPageBreak"/>
      </w:pPr>
    </w:p>
    <w:p w:rsidR="00000000" w:rsidRPr="00AA3252" w:rsidP="00AA3252">
      <w:pPr>
        <w:pStyle w:val="Heading1"/>
      </w:pPr>
      <w:bookmarkStart w:id="6" w:name="O_463093"/>
      <w:bookmarkEnd w:id="6"/>
      <w:r w:rsidRPr="00AA3252">
        <w:t>Employability Skills Information</w:t>
      </w:r>
    </w:p>
    <w:tbl>
      <w:tblPr>
        <w:tblW w:w="0" w:type="auto"/>
        <w:tblLayout w:type="fixed"/>
        <w:tblCellMar>
          <w:left w:w="62" w:type="dxa"/>
          <w:right w:w="62" w:type="dxa"/>
        </w:tblCellMar>
        <w:tblLook w:val="0000"/>
      </w:tblPr>
      <w:tblGrid>
        <w:gridCol w:w="2700"/>
        <w:gridCol w:w="5760"/>
      </w:tblGrid>
      <w:tr w:rsidTr="00543A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rPr>
                <w:rStyle w:val="SpecialBold"/>
              </w:rPr>
              <w:t xml:space="preserve">5) </w:t>
            </w:r>
          </w:p>
        </w:tc>
      </w:tr>
      <w:tr w:rsidTr="00543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t>The required outcomes described in this unit of competency contain applicable facets of Employability Skills. The Employability Skills Summary of the qualif</w:t>
            </w:r>
            <w:r w:rsidRPr="00AA3252">
              <w:t>ication in which this unit of competency is packaged will assist in identifying Employability Skill requirements.</w:t>
            </w:r>
          </w:p>
        </w:tc>
      </w:tr>
    </w:tbl>
    <w:p w:rsidR="00000000" w:rsidRPr="00AA3252" w:rsidP="00AA3252">
      <w:pPr>
        <w:pStyle w:val="BodyText"/>
      </w:pPr>
    </w:p>
    <w:p w:rsidR="00000000" w:rsidRPr="00AA3252" w:rsidP="00AA3252">
      <w:pPr>
        <w:pStyle w:val="AllowPageBreak"/>
      </w:pPr>
    </w:p>
    <w:p w:rsidR="00000000" w:rsidRPr="00AA3252" w:rsidP="00AA3252">
      <w:pPr>
        <w:pStyle w:val="Heading1"/>
      </w:pPr>
      <w:bookmarkStart w:id="7" w:name="O_463092"/>
      <w:bookmarkEnd w:id="7"/>
      <w:r w:rsidRPr="00AA3252">
        <w:t>Elements and Performance Criteria Pre-Content</w:t>
      </w:r>
    </w:p>
    <w:tbl>
      <w:tblPr>
        <w:tblW w:w="0" w:type="auto"/>
        <w:tblLayout w:type="fixed"/>
        <w:tblCellMar>
          <w:left w:w="62" w:type="dxa"/>
          <w:right w:w="62" w:type="dxa"/>
        </w:tblCellMar>
        <w:tblLook w:val="0000"/>
      </w:tblPr>
      <w:tblGrid>
        <w:gridCol w:w="2700"/>
        <w:gridCol w:w="5760"/>
      </w:tblGrid>
      <w:tr w:rsidTr="00543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rPr>
                <w:rStyle w:val="SpecialBold"/>
              </w:rPr>
              <w:t>6)</w:t>
            </w:r>
            <w:r w:rsidRPr="00AA325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t>Performance Criteria describe the required performance needed to demonstrate achievement of the element. Assessment of performance is to be consistent with the Evidence Guide.</w:t>
            </w:r>
          </w:p>
        </w:tc>
      </w:tr>
    </w:tbl>
    <w:p w:rsidR="00000000" w:rsidRPr="00AA3252" w:rsidP="00AA3252">
      <w:pPr>
        <w:pStyle w:val="BodyText"/>
      </w:pPr>
    </w:p>
    <w:p w:rsidR="00000000" w:rsidRPr="00AA3252" w:rsidP="00AA3252">
      <w:pPr>
        <w:pStyle w:val="AllowPageBreak"/>
      </w:pPr>
    </w:p>
    <w:p w:rsidR="00000000" w:rsidRPr="00AA3252" w:rsidP="00AA3252">
      <w:pPr>
        <w:pStyle w:val="Heading1"/>
      </w:pPr>
      <w:bookmarkStart w:id="8" w:name="O_463091"/>
      <w:bookmarkEnd w:id="8"/>
      <w:r w:rsidRPr="00AA325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43A3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rPr>
                <w:rStyle w:val="SpecialBold"/>
              </w:rPr>
              <w:t>PERFORMANCE CRITER</w:t>
            </w:r>
            <w:r w:rsidRPr="00AA3252">
              <w:rPr>
                <w:rStyle w:val="SpecialBold"/>
              </w:rPr>
              <w:t>IA</w:t>
            </w:r>
          </w:p>
        </w:tc>
      </w:tr>
      <w:tr w:rsidTr="00543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1</w:t>
            </w:r>
          </w:p>
        </w:tc>
        <w:tc>
          <w:tcPr>
            <w:tcW w:w="2296" w:type="dxa"/>
            <w:vMerge w:val="restart"/>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1.1</w:t>
            </w:r>
          </w:p>
        </w:tc>
        <w:tc>
          <w:tcPr>
            <w:tcW w:w="486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 xml:space="preserve">OHS procedures for a given work area are identified, obtained and understood. </w:t>
            </w:r>
          </w:p>
        </w:tc>
      </w:tr>
      <w:tr w:rsidTr="00543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1.2</w:t>
            </w:r>
          </w:p>
        </w:tc>
        <w:tc>
          <w:tcPr>
            <w:tcW w:w="486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Established OHS risk control measures and procedures in preparation for the work are followed.</w:t>
            </w:r>
          </w:p>
        </w:tc>
      </w:tr>
      <w:tr w:rsidTr="00543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1.3</w:t>
            </w:r>
          </w:p>
        </w:tc>
        <w:tc>
          <w:tcPr>
            <w:tcW w:w="486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Safety hazards which have not previously been identified are documented and risk control measures devised and implemented in consultation with appropriate personnel.</w:t>
            </w:r>
          </w:p>
        </w:tc>
      </w:tr>
      <w:tr w:rsidTr="00543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1.4</w:t>
            </w:r>
          </w:p>
        </w:tc>
        <w:tc>
          <w:tcPr>
            <w:tcW w:w="486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The extent of faults is determined from reports and other documentation and fro dis</w:t>
            </w:r>
            <w:r w:rsidRPr="00AA3252">
              <w:t>cussion with appropriate personnel</w:t>
            </w:r>
          </w:p>
        </w:tc>
      </w:tr>
      <w:tr w:rsidTr="00543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1.5</w:t>
            </w:r>
          </w:p>
        </w:tc>
        <w:tc>
          <w:tcPr>
            <w:tcW w:w="486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Appropriate personnel are consulted to ensure the work is coordinated effectively with others involved on the work site</w:t>
            </w:r>
          </w:p>
        </w:tc>
      </w:tr>
      <w:tr w:rsidTr="00543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1.6</w:t>
            </w:r>
          </w:p>
        </w:tc>
        <w:tc>
          <w:tcPr>
            <w:tcW w:w="486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Tools, equipment and testing devices needed to diagnose faults are obt</w:t>
            </w:r>
            <w:r w:rsidRPr="00AA3252">
              <w:t>ained in accordance with established procedures and checked for correct operation and safety.</w:t>
            </w:r>
          </w:p>
        </w:tc>
      </w:tr>
      <w:tr w:rsidTr="00543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2</w:t>
            </w:r>
          </w:p>
        </w:tc>
        <w:tc>
          <w:tcPr>
            <w:tcW w:w="2296" w:type="dxa"/>
            <w:vMerge w:val="restart"/>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Diagnose and rectify faults</w:t>
            </w:r>
          </w:p>
        </w:tc>
        <w:tc>
          <w:tcPr>
            <w:tcW w:w="90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2.1</w:t>
            </w:r>
          </w:p>
        </w:tc>
        <w:tc>
          <w:tcPr>
            <w:tcW w:w="486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OHS risk control measures and procedures for carrying out the work are followed.</w:t>
            </w:r>
          </w:p>
        </w:tc>
      </w:tr>
      <w:tr w:rsidTr="00543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2.2</w:t>
            </w:r>
          </w:p>
        </w:tc>
        <w:tc>
          <w:tcPr>
            <w:tcW w:w="486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The need to test or measure live is det</w:t>
            </w:r>
            <w:r w:rsidRPr="00AA3252">
              <w:t>ermined in strict accordance with OHS requirements and when necessary conducted within established safety procedures</w:t>
            </w:r>
          </w:p>
        </w:tc>
      </w:tr>
      <w:tr w:rsidTr="00543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2.3</w:t>
            </w:r>
          </w:p>
        </w:tc>
        <w:tc>
          <w:tcPr>
            <w:tcW w:w="486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Circuits/machines/plant are checked as being isolated where necessary in strict accordance OHS requirements and procedures</w:t>
            </w:r>
          </w:p>
        </w:tc>
      </w:tr>
      <w:tr w:rsidTr="00543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2.4</w:t>
            </w:r>
          </w:p>
        </w:tc>
        <w:tc>
          <w:tcPr>
            <w:tcW w:w="486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Logical diagnostic methods are applied to diagnose energy supply apparatus faults employing measurements and estimations of system operating parameters referenced to system operational requirements.</w:t>
            </w:r>
          </w:p>
        </w:tc>
      </w:tr>
      <w:tr w:rsidTr="00543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2.5</w:t>
            </w:r>
          </w:p>
        </w:tc>
        <w:tc>
          <w:tcPr>
            <w:tcW w:w="486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 xml:space="preserve">Suspected fault scenarios are tested as being the </w:t>
            </w:r>
            <w:r w:rsidRPr="00AA3252">
              <w:t>source of system problems.</w:t>
            </w:r>
          </w:p>
        </w:tc>
      </w:tr>
      <w:tr w:rsidTr="00543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2.6</w:t>
            </w:r>
          </w:p>
        </w:tc>
        <w:tc>
          <w:tcPr>
            <w:tcW w:w="486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Cause of the faults are identified and appropriately competent persons are engaged to rectify the fault where it is outside the scope of the control system.</w:t>
            </w:r>
          </w:p>
        </w:tc>
      </w:tr>
      <w:tr w:rsidTr="00543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2.7</w:t>
            </w:r>
          </w:p>
        </w:tc>
        <w:tc>
          <w:tcPr>
            <w:tcW w:w="486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Faults in the apparatus components are rectified to raise energy supply apparatus to its operation standard.</w:t>
            </w:r>
          </w:p>
        </w:tc>
      </w:tr>
      <w:tr w:rsidTr="00543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2.8</w:t>
            </w:r>
          </w:p>
        </w:tc>
        <w:tc>
          <w:tcPr>
            <w:tcW w:w="486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Apparatus is tested to verify that it operates as intended and to specified requirements</w:t>
            </w:r>
          </w:p>
        </w:tc>
      </w:tr>
      <w:tr w:rsidTr="00543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2.9</w:t>
            </w:r>
          </w:p>
        </w:tc>
        <w:tc>
          <w:tcPr>
            <w:tcW w:w="486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Decisions for dealing with unexpected situat</w:t>
            </w:r>
            <w:r w:rsidRPr="00AA3252">
              <w:t>ions are made from discussions with appropriate persons and job specifications and requirements.</w:t>
            </w:r>
          </w:p>
        </w:tc>
      </w:tr>
      <w:tr w:rsidTr="00543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2.10</w:t>
            </w:r>
          </w:p>
        </w:tc>
        <w:tc>
          <w:tcPr>
            <w:tcW w:w="486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Methods for dealing with unexpected situations are selected on the basis of safety and specified work outcomes.</w:t>
            </w:r>
          </w:p>
        </w:tc>
      </w:tr>
      <w:tr w:rsidTr="00543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2.11</w:t>
            </w:r>
          </w:p>
        </w:tc>
        <w:tc>
          <w:tcPr>
            <w:tcW w:w="486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Diag</w:t>
            </w:r>
            <w:r w:rsidRPr="00AA3252">
              <w:t>nosis and rectification activities are carried out efficiently without unnecessary waste of materials or damage to apparatus and the surrounding environment or services and using sustainable energy practices.</w:t>
            </w:r>
          </w:p>
        </w:tc>
      </w:tr>
      <w:tr w:rsidTr="00543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3</w:t>
            </w:r>
          </w:p>
        </w:tc>
        <w:tc>
          <w:tcPr>
            <w:tcW w:w="2296"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Complete and report fault diagnosis and rect</w:t>
            </w:r>
            <w:r w:rsidRPr="00AA3252">
              <w:t>ification activities</w:t>
            </w:r>
          </w:p>
        </w:tc>
        <w:tc>
          <w:tcPr>
            <w:tcW w:w="90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3.1</w:t>
            </w:r>
          </w:p>
        </w:tc>
        <w:tc>
          <w:tcPr>
            <w:tcW w:w="486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OHS work completion risk control measures and procedures are followed.</w:t>
            </w:r>
          </w:p>
        </w:tc>
      </w:tr>
      <w:tr w:rsidTr="00543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3.2</w:t>
            </w:r>
          </w:p>
        </w:tc>
        <w:tc>
          <w:tcPr>
            <w:tcW w:w="486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Work site is made safe in accordance with established safety procedures.</w:t>
            </w:r>
          </w:p>
        </w:tc>
      </w:tr>
      <w:tr w:rsidTr="00543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3.3</w:t>
            </w:r>
          </w:p>
        </w:tc>
        <w:tc>
          <w:tcPr>
            <w:tcW w:w="486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Rectification of faults is documented in accordance with established proc</w:t>
            </w:r>
            <w:r w:rsidRPr="00AA3252">
              <w:t>edures.</w:t>
            </w:r>
          </w:p>
        </w:tc>
      </w:tr>
      <w:tr w:rsidTr="00543A3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3.4</w:t>
            </w:r>
          </w:p>
        </w:tc>
        <w:tc>
          <w:tcPr>
            <w:tcW w:w="4860" w:type="dxa"/>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t xml:space="preserve">Appropriate person or persons notified, in accordance with established procedures, that the system faults have been rectified </w:t>
            </w:r>
          </w:p>
        </w:tc>
      </w:tr>
    </w:tbl>
    <w:p w:rsidR="00000000" w:rsidRPr="00AA3252" w:rsidP="00AA3252">
      <w:pPr>
        <w:pStyle w:val="BodyText"/>
      </w:pPr>
    </w:p>
    <w:p w:rsidR="00000000" w:rsidRPr="00AA3252" w:rsidP="00AA3252">
      <w:pPr>
        <w:pStyle w:val="AllowPageBreak"/>
      </w:pPr>
    </w:p>
    <w:p w:rsidR="00000000" w:rsidRPr="00AA3252" w:rsidP="00AA3252">
      <w:pPr>
        <w:pStyle w:val="Heading1"/>
      </w:pPr>
      <w:bookmarkStart w:id="9" w:name="O_463100"/>
      <w:bookmarkEnd w:id="9"/>
      <w:r w:rsidRPr="00AA3252">
        <w:t>Required Skills and Knowledge</w:t>
      </w:r>
    </w:p>
    <w:tbl>
      <w:tblPr>
        <w:tblW w:w="0" w:type="auto"/>
        <w:tblLayout w:type="fixed"/>
        <w:tblCellMar>
          <w:left w:w="62" w:type="dxa"/>
          <w:right w:w="62" w:type="dxa"/>
        </w:tblCellMar>
        <w:tblLook w:val="0000"/>
      </w:tblPr>
      <w:tblGrid>
        <w:gridCol w:w="8460"/>
      </w:tblGrid>
      <w:tr w:rsidTr="00543A3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rPr>
                <w:rStyle w:val="SpecialBold"/>
              </w:rPr>
              <w:t>REQUIRED SKILLS AND KNOWLEDGE</w:t>
            </w:r>
          </w:p>
        </w:tc>
      </w:tr>
      <w:tr w:rsidTr="00543A3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rPr>
                <w:rStyle w:val="SpecialBold"/>
              </w:rPr>
              <w:t>8)</w:t>
            </w:r>
            <w:r w:rsidRPr="00AA3252">
              <w:t xml:space="preserve"> This describes the essential skills and knowledge and their level, required for this unit.</w:t>
            </w:r>
          </w:p>
          <w:p w:rsidR="00000000" w:rsidRPr="00AA3252" w:rsidP="00AA3252">
            <w:pPr>
              <w:pStyle w:val="BodyText"/>
            </w:pPr>
            <w:r w:rsidRPr="00AA3252">
              <w:t>Evidence shall show that knowledge has been acquired of safe working practices and diagnosing and rectifying faults in energy supply apparatus.</w:t>
            </w:r>
          </w:p>
          <w:p w:rsidR="00000000" w:rsidRPr="00AA3252" w:rsidP="00AA3252">
            <w:pPr>
              <w:pStyle w:val="BodyText"/>
            </w:pPr>
            <w:r w:rsidRPr="00AA3252">
              <w:t>All knowledge and sk</w:t>
            </w:r>
            <w:r w:rsidRPr="00AA3252">
              <w:t>ills detailed in this unit should be contextualised to current industry practices and technologies.</w:t>
            </w:r>
          </w:p>
          <w:p w:rsidR="00000000" w:rsidRPr="00AA3252" w:rsidP="00AA3252">
            <w:pPr>
              <w:pStyle w:val="BodyText"/>
            </w:pPr>
            <w:r w:rsidRPr="00AA3252">
              <w:t>KS01-TIS69A</w:t>
            </w:r>
            <w:r w:rsidRPr="00AA3252">
              <w:tab/>
              <w:t>Electrical power system operations</w:t>
            </w:r>
          </w:p>
          <w:p w:rsidR="00000000" w:rsidRPr="00AA3252" w:rsidP="00AA3252">
            <w:pPr>
              <w:pStyle w:val="BodyText"/>
            </w:pPr>
            <w:r w:rsidRPr="00AA3252">
              <w:t>Evidence shall show an understanding of electrical power system operations to an extent indicated by the following aspects:</w:t>
            </w:r>
          </w:p>
          <w:p w:rsidR="00000000" w:rsidRPr="00AA3252" w:rsidP="00AA3252">
            <w:pPr>
              <w:pStyle w:val="BodyText"/>
            </w:pPr>
            <w:r w:rsidRPr="00AA3252">
              <w:t>T1</w:t>
            </w:r>
            <w:r w:rsidRPr="00AA3252">
              <w:tab/>
              <w:t>Control of voltage encompassing:</w:t>
            </w:r>
          </w:p>
          <w:p w:rsidR="00000000" w:rsidRPr="00AA3252" w:rsidP="00AA3252">
            <w:pPr>
              <w:pStyle w:val="ListBullet"/>
            </w:pPr>
            <w:r w:rsidRPr="00AA3252">
              <w:t>Conditions leading to voltage collapse and system disintegration.</w:t>
            </w:r>
          </w:p>
          <w:p w:rsidR="00000000" w:rsidRPr="00AA3252" w:rsidP="00AA3252">
            <w:pPr>
              <w:pStyle w:val="ListBullet"/>
            </w:pPr>
            <w:r w:rsidRPr="00AA3252">
              <w:t>Effects on the system of high</w:t>
            </w:r>
            <w:r w:rsidRPr="00AA3252">
              <w:t>/low volts</w:t>
            </w:r>
          </w:p>
          <w:p w:rsidR="00000000" w:rsidRPr="00AA3252" w:rsidP="00AA3252">
            <w:pPr>
              <w:pStyle w:val="ListBullet"/>
            </w:pPr>
            <w:r w:rsidRPr="00AA3252">
              <w:t>Voltage control devices - voltage regulators applied to generators and synchronous phase modifiers, electromagnetic voltage regulators, series and parallel capacitors, OLTC transformers and static Var compensations (SVCs) such as saturated react</w:t>
            </w:r>
            <w:r w:rsidRPr="00AA3252">
              <w:t>or compensations (SRs), thyristor controlled reactor compensators (TCRs), combined TCR/TSCs and the production of wave-form distorting harmonics and control devices.</w:t>
            </w:r>
          </w:p>
          <w:p w:rsidR="00000000" w:rsidRPr="00AA3252" w:rsidP="00AA3252">
            <w:pPr>
              <w:pStyle w:val="BodyText"/>
            </w:pPr>
            <w:r w:rsidRPr="00AA3252">
              <w:t>T2</w:t>
            </w:r>
            <w:r w:rsidRPr="00AA3252">
              <w:tab/>
              <w:t>The importance of the location in the system of voltage control devices.</w:t>
            </w:r>
          </w:p>
          <w:p w:rsidR="00000000" w:rsidRPr="00AA3252" w:rsidP="00AA3252">
            <w:pPr>
              <w:pStyle w:val="BodyText"/>
            </w:pPr>
            <w:r w:rsidRPr="00AA3252">
              <w:t>T3</w:t>
            </w:r>
            <w:r w:rsidRPr="00AA3252">
              <w:tab/>
              <w:t xml:space="preserve">The use of </w:t>
            </w:r>
            <w:r w:rsidRPr="00AA3252">
              <w:t>graphical methods to calculate the size of VAr regulating plant.</w:t>
            </w:r>
          </w:p>
          <w:p w:rsidR="00000000" w:rsidRPr="00AA3252" w:rsidP="00AA3252">
            <w:pPr>
              <w:pStyle w:val="BodyText"/>
            </w:pPr>
            <w:r w:rsidRPr="00AA3252">
              <w:t>T4</w:t>
            </w:r>
            <w:r w:rsidRPr="00AA3252">
              <w:tab/>
              <w:t>Control of power encompassing:</w:t>
            </w:r>
          </w:p>
          <w:p w:rsidR="00000000" w:rsidRPr="00AA3252" w:rsidP="00AA3252">
            <w:pPr>
              <w:pStyle w:val="ListBullet"/>
            </w:pPr>
            <w:r w:rsidRPr="00AA3252">
              <w:t>Base load and spinning reserve</w:t>
            </w:r>
          </w:p>
          <w:p w:rsidR="00000000" w:rsidRPr="00AA3252" w:rsidP="00AA3252">
            <w:pPr>
              <w:pStyle w:val="ListBullet"/>
            </w:pPr>
            <w:r w:rsidRPr="00AA3252">
              <w:t>Regulating machines</w:t>
            </w:r>
          </w:p>
          <w:p w:rsidR="00000000" w:rsidRPr="00AA3252" w:rsidP="00AA3252">
            <w:pPr>
              <w:pStyle w:val="ListBullet"/>
            </w:pPr>
            <w:r w:rsidRPr="00AA3252">
              <w:t>Rapid start plant,</w:t>
            </w:r>
          </w:p>
          <w:p w:rsidR="00000000" w:rsidRPr="00AA3252" w:rsidP="00AA3252">
            <w:pPr>
              <w:pStyle w:val="ListBullet"/>
            </w:pPr>
            <w:r w:rsidRPr="00AA3252">
              <w:t>Phase shifting transformers and various forms of load shedding.</w:t>
            </w:r>
          </w:p>
          <w:p w:rsidR="00000000" w:rsidRPr="00AA3252" w:rsidP="00AA3252">
            <w:pPr>
              <w:pStyle w:val="ListBullet"/>
            </w:pPr>
            <w:r w:rsidRPr="00AA3252">
              <w:t>Principles and practic</w:t>
            </w:r>
            <w:r w:rsidRPr="00AA3252">
              <w:t>es of automated control of individual machines</w:t>
            </w:r>
          </w:p>
          <w:p w:rsidR="00000000" w:rsidRPr="00AA3252" w:rsidP="00AA3252">
            <w:pPr>
              <w:pStyle w:val="ListBullet"/>
            </w:pPr>
            <w:r w:rsidRPr="00AA3252">
              <w:t>Stations and transmission/tie-line elements.</w:t>
            </w:r>
          </w:p>
          <w:p w:rsidR="00000000" w:rsidRPr="00AA3252" w:rsidP="00AA3252">
            <w:pPr>
              <w:pStyle w:val="ListBullet"/>
            </w:pPr>
            <w:r w:rsidRPr="00AA3252">
              <w:t>Synchronising power</w:t>
            </w:r>
          </w:p>
          <w:p w:rsidR="00000000" w:rsidRPr="00AA3252" w:rsidP="00AA3252">
            <w:pPr>
              <w:pStyle w:val="BodyText"/>
            </w:pPr>
            <w:r w:rsidRPr="00AA3252">
              <w:t>T5</w:t>
            </w:r>
            <w:r w:rsidRPr="00AA3252">
              <w:tab/>
              <w:t>The relationship between power and frequency encompassing:</w:t>
            </w:r>
          </w:p>
          <w:p w:rsidR="00000000" w:rsidRPr="00AA3252" w:rsidP="00AA3252">
            <w:pPr>
              <w:pStyle w:val="ListBullet"/>
            </w:pPr>
            <w:r w:rsidRPr="00AA3252">
              <w:t>Limiting values</w:t>
            </w:r>
          </w:p>
          <w:p w:rsidR="00000000" w:rsidRPr="00AA3252" w:rsidP="00AA3252">
            <w:pPr>
              <w:pStyle w:val="ListBullet"/>
            </w:pPr>
            <w:r w:rsidRPr="00AA3252">
              <w:t>Machine stabilising - steam by-pass, rapid valving, slip stabilis</w:t>
            </w:r>
            <w:r w:rsidRPr="00AA3252">
              <w:t xml:space="preserve">ers and over speed limiting. </w:t>
            </w:r>
          </w:p>
          <w:p w:rsidR="00000000" w:rsidRPr="00AA3252" w:rsidP="00AA3252">
            <w:pPr>
              <w:pStyle w:val="ListBullet"/>
            </w:pPr>
            <w:r w:rsidRPr="00AA3252">
              <w:t>Use of single pole generator CB's.</w:t>
            </w:r>
          </w:p>
          <w:p w:rsidR="00000000" w:rsidRPr="00AA3252" w:rsidP="00AA3252">
            <w:pPr>
              <w:pStyle w:val="ListBullet"/>
            </w:pPr>
            <w:r w:rsidRPr="00AA3252">
              <w:t>Use of machine AVR's as angular stabilisers.</w:t>
            </w:r>
          </w:p>
          <w:p w:rsidR="00000000" w:rsidRPr="00AA3252" w:rsidP="00AA3252">
            <w:pPr>
              <w:pStyle w:val="ListBullet"/>
            </w:pPr>
            <w:r w:rsidRPr="00AA3252">
              <w:t>Damped and un-damped system oscillations.</w:t>
            </w:r>
          </w:p>
          <w:p w:rsidR="00000000" w:rsidRPr="00AA3252" w:rsidP="00AA3252">
            <w:pPr>
              <w:pStyle w:val="ListBullet"/>
            </w:pPr>
            <w:r w:rsidRPr="00AA3252">
              <w:t>Relationship between fault clearance times and system stability.</w:t>
            </w:r>
          </w:p>
          <w:p w:rsidR="00000000" w:rsidRPr="00AA3252" w:rsidP="00AA3252">
            <w:pPr>
              <w:pStyle w:val="ListBullet"/>
            </w:pPr>
            <w:r w:rsidRPr="00AA3252">
              <w:t>Cal</w:t>
            </w:r>
            <w:r w:rsidRPr="00AA3252">
              <w:t>culation of critical clearance angles based on equal area criteria.</w:t>
            </w:r>
          </w:p>
          <w:p w:rsidR="00000000" w:rsidRPr="00AA3252" w:rsidP="00AA3252">
            <w:pPr>
              <w:pStyle w:val="BodyText"/>
            </w:pPr>
            <w:r w:rsidRPr="00AA3252">
              <w:t>T6</w:t>
            </w:r>
            <w:r w:rsidRPr="00AA3252">
              <w:tab/>
              <w:t>Types of communication systems encompassing:</w:t>
            </w:r>
          </w:p>
          <w:p w:rsidR="00000000" w:rsidRPr="00AA3252" w:rsidP="00AA3252">
            <w:pPr>
              <w:pStyle w:val="ListBullet"/>
            </w:pPr>
            <w:r w:rsidRPr="00AA3252">
              <w:t>Telephone, power line carrier, dedicated cable, microwave links and fibre optics.</w:t>
            </w:r>
          </w:p>
          <w:p w:rsidR="00000000" w:rsidRPr="00AA3252" w:rsidP="00AA3252">
            <w:pPr>
              <w:pStyle w:val="ListBullet"/>
            </w:pPr>
            <w:r w:rsidRPr="00AA3252">
              <w:t>Quantities and signals to be communicated.</w:t>
            </w:r>
          </w:p>
          <w:p w:rsidR="00000000" w:rsidRPr="00AA3252" w:rsidP="00AA3252">
            <w:pPr>
              <w:pStyle w:val="ListBullet"/>
            </w:pPr>
            <w:r w:rsidRPr="00AA3252">
              <w:t>Advantages and</w:t>
            </w:r>
            <w:r w:rsidRPr="00AA3252">
              <w:t xml:space="preserve"> disadvantages of the various systems.</w:t>
            </w:r>
          </w:p>
          <w:p w:rsidR="00000000" w:rsidRPr="00AA3252" w:rsidP="00AA3252">
            <w:pPr>
              <w:pStyle w:val="ListBullet"/>
            </w:pPr>
            <w:r w:rsidRPr="00AA3252">
              <w:t>Equipment requirements.</w:t>
            </w:r>
          </w:p>
          <w:p w:rsidR="00000000" w:rsidRPr="00AA3252" w:rsidP="00AA3252">
            <w:pPr>
              <w:pStyle w:val="BodyText"/>
            </w:pPr>
            <w:r w:rsidRPr="00AA3252">
              <w:t>T7</w:t>
            </w:r>
            <w:r w:rsidRPr="00AA3252">
              <w:tab/>
              <w:t>Transient over-voltages in power systems encompassing:</w:t>
            </w:r>
          </w:p>
          <w:p w:rsidR="00000000" w:rsidRPr="00AA3252" w:rsidP="00AA3252">
            <w:pPr>
              <w:pStyle w:val="ListBullet"/>
            </w:pPr>
            <w:r w:rsidRPr="00AA3252">
              <w:t>Switching and lightning overvoltages and their effect on different plant items.</w:t>
            </w:r>
          </w:p>
          <w:p w:rsidR="00000000" w:rsidRPr="00AA3252" w:rsidP="00AA3252">
            <w:pPr>
              <w:pStyle w:val="ListBullet"/>
            </w:pPr>
            <w:r w:rsidRPr="00AA3252">
              <w:t>Transient over-voltage control and reduction using sur</w:t>
            </w:r>
            <w:r w:rsidRPr="00AA3252">
              <w:t>ge diverters, shield wires and CB are control.</w:t>
            </w:r>
          </w:p>
          <w:p w:rsidR="00000000" w:rsidRPr="00AA3252" w:rsidP="00AA3252">
            <w:pPr>
              <w:pStyle w:val="ListBullet"/>
            </w:pPr>
            <w:r w:rsidRPr="00AA3252">
              <w:t>Insulation systems, insulation coordination, insulation grading in plant items, bushings and capacitor bushings.</w:t>
            </w:r>
          </w:p>
          <w:p w:rsidR="00000000" w:rsidRPr="00AA3252" w:rsidP="00AA3252">
            <w:pPr>
              <w:pStyle w:val="BodyText"/>
            </w:pPr>
            <w:r w:rsidRPr="00AA3252">
              <w:t>T8</w:t>
            </w:r>
            <w:r w:rsidRPr="00AA3252">
              <w:tab/>
              <w:t>Factors leading to the generation of corona encompassing:</w:t>
            </w:r>
          </w:p>
          <w:p w:rsidR="00000000" w:rsidRPr="00AA3252" w:rsidP="00AA3252">
            <w:pPr>
              <w:pStyle w:val="ListBullet"/>
            </w:pPr>
            <w:r w:rsidRPr="00AA3252">
              <w:t>Consequences of corona.</w:t>
            </w:r>
          </w:p>
          <w:p w:rsidR="00000000" w:rsidRPr="00AA3252" w:rsidP="00AA3252">
            <w:pPr>
              <w:pStyle w:val="ListBullet"/>
            </w:pPr>
            <w:r w:rsidRPr="00AA3252">
              <w:t xml:space="preserve">Reduction </w:t>
            </w:r>
            <w:r w:rsidRPr="00AA3252">
              <w:t>of corona</w:t>
            </w:r>
          </w:p>
          <w:p w:rsidR="00000000" w:rsidRPr="00AA3252" w:rsidP="00AA3252">
            <w:pPr>
              <w:pStyle w:val="ListBullet"/>
            </w:pPr>
            <w:r w:rsidRPr="00AA3252">
              <w:t>Conductor bundling, grading rings and conductor surface treatment.</w:t>
            </w:r>
          </w:p>
          <w:p w:rsidR="00000000" w:rsidRPr="00AA3252" w:rsidP="00AA3252">
            <w:pPr>
              <w:pStyle w:val="BodyText"/>
            </w:pPr>
            <w:r w:rsidRPr="00AA3252">
              <w:t>T9</w:t>
            </w:r>
            <w:r w:rsidRPr="00AA3252">
              <w:tab/>
              <w:t>Power System Protection encompassing:</w:t>
            </w:r>
          </w:p>
          <w:p w:rsidR="00000000" w:rsidRPr="00AA3252" w:rsidP="00AA3252">
            <w:pPr>
              <w:pStyle w:val="ListBullet"/>
            </w:pPr>
            <w:r w:rsidRPr="00AA3252">
              <w:t>Location of CT's in major plant items.</w:t>
            </w:r>
          </w:p>
          <w:p w:rsidR="00000000" w:rsidRPr="00AA3252" w:rsidP="00AA3252">
            <w:pPr>
              <w:pStyle w:val="ListBullet"/>
            </w:pPr>
            <w:r w:rsidRPr="00AA3252">
              <w:t>Earthing principles and devices.</w:t>
            </w:r>
          </w:p>
          <w:p w:rsidR="00000000" w:rsidRPr="00AA3252" w:rsidP="00AA3252">
            <w:pPr>
              <w:pStyle w:val="ListBullet"/>
            </w:pPr>
            <w:r w:rsidRPr="00AA3252">
              <w:t>Fault current control/limitation using neutral earthing compensat</w:t>
            </w:r>
            <w:r w:rsidRPr="00AA3252">
              <w:t>ors (NEC's), neutral point earth impedances, high conductivity shield wires and parallel feed interlocking.</w:t>
            </w:r>
          </w:p>
          <w:p w:rsidR="00000000" w:rsidRPr="00AA3252" w:rsidP="00AA3252">
            <w:pPr>
              <w:pStyle w:val="ListBullet"/>
            </w:pPr>
            <w:r w:rsidRPr="00AA3252">
              <w:t>Application of different types of protection.</w:t>
            </w:r>
          </w:p>
        </w:tc>
      </w:tr>
    </w:tbl>
    <w:p w:rsidR="00000000" w:rsidRPr="00AA3252" w:rsidP="00AA3252">
      <w:pPr>
        <w:pStyle w:val="BodyText"/>
      </w:pPr>
    </w:p>
    <w:p w:rsidR="00000000" w:rsidRPr="00AA3252" w:rsidP="00AA3252">
      <w:pPr>
        <w:pStyle w:val="AllowPageBreak"/>
      </w:pPr>
    </w:p>
    <w:p w:rsidR="00000000" w:rsidRPr="00AA3252" w:rsidP="00AA3252">
      <w:pPr>
        <w:pStyle w:val="Heading1"/>
      </w:pPr>
      <w:bookmarkStart w:id="10" w:name="O_463094"/>
      <w:bookmarkEnd w:id="10"/>
      <w:r w:rsidRPr="00AA3252">
        <w:t>Evidence Guide</w:t>
      </w:r>
    </w:p>
    <w:tbl>
      <w:tblPr>
        <w:tblW w:w="0" w:type="auto"/>
        <w:tblLayout w:type="fixed"/>
        <w:tblCellMar>
          <w:left w:w="62" w:type="dxa"/>
          <w:right w:w="62" w:type="dxa"/>
        </w:tblCellMar>
        <w:tblLook w:val="0000"/>
      </w:tblPr>
      <w:tblGrid>
        <w:gridCol w:w="8460"/>
      </w:tblGrid>
      <w:tr w:rsidTr="00543A3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rPr>
                <w:rStyle w:val="SpecialBold"/>
              </w:rPr>
              <w:t>EVIDENCE GUIDE</w:t>
            </w:r>
          </w:p>
        </w:tc>
      </w:tr>
      <w:tr w:rsidTr="00543A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rPr>
                <w:rStyle w:val="SpecialBold"/>
              </w:rPr>
              <w:t>9)</w:t>
            </w:r>
            <w:r w:rsidRPr="00AA3252">
              <w:t xml:space="preserve"> This provides essential advice for assessment of the unit. It must be read in conjunction with the performance criteria and the range statement of the unit and the Training Package Assessment Guidelines.</w:t>
            </w:r>
          </w:p>
          <w:p w:rsidR="00000000" w:rsidRPr="00AA3252" w:rsidP="00AA3252">
            <w:pPr>
              <w:pStyle w:val="BodyText"/>
            </w:pPr>
            <w:r w:rsidRPr="00AA3252">
              <w:t>The Evidence Guide forms an integral part of this unit. It must be used in conjunction with all parts of this unit and performed in accordance with the Assessment Guidelines of this Training Package.</w:t>
            </w:r>
          </w:p>
        </w:tc>
      </w:tr>
    </w:tbl>
    <w:p w:rsidR="00000000" w:rsidRPr="00AA3252" w:rsidP="00AA3252">
      <w:pPr>
        <w:pStyle w:val="BodyText"/>
      </w:pPr>
    </w:p>
    <w:tbl>
      <w:tblPr>
        <w:tblW w:w="0" w:type="auto"/>
        <w:tblLayout w:type="fixed"/>
        <w:tblCellMar>
          <w:left w:w="62" w:type="dxa"/>
          <w:right w:w="62" w:type="dxa"/>
        </w:tblCellMar>
        <w:tblLook w:val="0000"/>
      </w:tblPr>
      <w:tblGrid>
        <w:gridCol w:w="1890"/>
        <w:gridCol w:w="6570"/>
      </w:tblGrid>
      <w:tr w:rsidTr="00543A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rPr>
                <w:rStyle w:val="SpecialBold"/>
              </w:rPr>
              <w:t>9.1)</w:t>
            </w:r>
          </w:p>
        </w:tc>
      </w:tr>
      <w:tr w:rsidTr="00543A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t xml:space="preserve">Longitudinal competency </w:t>
            </w:r>
            <w:r w:rsidRPr="00AA3252">
              <w:t>development approaches to assessment, such as Profiling, require data to be reliably gathered in a form that can be consistently interpreted over time. This approach is best utilised in Apprenticeship programs and reduces assessment intervention. It is the</w:t>
            </w:r>
            <w:r w:rsidRPr="00AA3252">
              <w:t xml:space="preserve"> Industry’s preferred model for apprenticeships. However, where summative (or final) assessment is used it is to include the application of the competency in the normal work environment or, at a minimum, the application of the competency in a realistically</w:t>
            </w:r>
            <w:r w:rsidRPr="00AA3252">
              <w:t xml:space="preserve"> simulated work environment. It is recognised that, in some circumstances, assessment in part or full can occur outside the workplace. However, it must be in accordance with industry and regulatory policy.</w:t>
            </w:r>
          </w:p>
          <w:p w:rsidR="00000000" w:rsidRPr="00AA3252" w:rsidP="00AA3252">
            <w:pPr>
              <w:pStyle w:val="BodyText"/>
            </w:pPr>
            <w:r w:rsidRPr="00AA3252">
              <w:t>Methods chosen for a particular assessment will be</w:t>
            </w:r>
            <w:r w:rsidRPr="00AA3252">
              <w:t xml:space="preserve"> influenced by various factors. These include the extent of the assessment, the most effective locations for the assessment activities to take place, access to physical resources, additional safety measures that may be required and the critical nature of t</w:t>
            </w:r>
            <w:r w:rsidRPr="00AA3252">
              <w:t>he competencies being assessed.</w:t>
            </w:r>
          </w:p>
          <w:p w:rsidR="00000000" w:rsidRPr="00AA3252" w:rsidP="00AA3252">
            <w:pPr>
              <w:pStyle w:val="BodyText"/>
            </w:pPr>
            <w:r w:rsidRPr="00AA3252">
              <w:t>The critical safety nature of working with electricity, electrical equipment, gas or any other hazardous substance/material carries risk in deeming a person competent. Sources of evidence need to be ‘rich’ in nature to minim</w:t>
            </w:r>
            <w:r w:rsidRPr="00AA3252">
              <w:t>ise error in judgment.</w:t>
            </w:r>
          </w:p>
          <w:p w:rsidR="00000000" w:rsidRPr="00AA3252" w:rsidP="00AA3252">
            <w:pPr>
              <w:pStyle w:val="BodyText"/>
            </w:pPr>
            <w:r w:rsidRPr="00AA3252">
              <w:t>Activities associated with normal every day work have a bearing on the decision as to how much and how detailed the data gathered will contribute to its ‘richness’. Some skills are more critical to safety and operational requirements</w:t>
            </w:r>
            <w:r w:rsidRPr="00AA3252">
              <w:t xml:space="preserve"> while the same skills may be more or less frequently practised. These points are raised for the assessors to consider when choosing an assessment method and developing assessment instruments. Sample assessment instruments are included for Assessors in the</w:t>
            </w:r>
            <w:r w:rsidRPr="00AA3252">
              <w:t xml:space="preserve"> Assessment Guidelines of this Training Package.</w:t>
            </w:r>
          </w:p>
        </w:tc>
      </w:tr>
    </w:tbl>
    <w:p w:rsidR="00000000" w:rsidRPr="00AA3252" w:rsidP="00AA3252">
      <w:pPr>
        <w:pStyle w:val="BodyText"/>
      </w:pPr>
    </w:p>
    <w:tbl>
      <w:tblPr>
        <w:tblW w:w="0" w:type="auto"/>
        <w:tblLayout w:type="fixed"/>
        <w:tblCellMar>
          <w:left w:w="62" w:type="dxa"/>
          <w:right w:w="62" w:type="dxa"/>
        </w:tblCellMar>
        <w:tblLook w:val="0000"/>
      </w:tblPr>
      <w:tblGrid>
        <w:gridCol w:w="1890"/>
        <w:gridCol w:w="10"/>
        <w:gridCol w:w="904"/>
        <w:gridCol w:w="526"/>
        <w:gridCol w:w="5130"/>
      </w:tblGrid>
      <w:tr w:rsidTr="00543A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rPr>
                <w:rStyle w:val="SpecialBold"/>
              </w:rPr>
              <w:t>9.2)</w:t>
            </w:r>
          </w:p>
        </w:tc>
      </w:tr>
      <w:tr w:rsidTr="00543A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t>Before the critical aspects of evidence are considered all prerequisites shall be met.</w:t>
            </w:r>
          </w:p>
          <w:p w:rsidR="00000000" w:rsidRPr="00AA3252" w:rsidP="00AA3252">
            <w:pPr>
              <w:pStyle w:val="BodyText"/>
            </w:pPr>
            <w:r w:rsidRPr="00AA3252">
              <w:t>Evidence for competence in this unit shall be considered holistically.  Each element and associated performance criteria shall be demonstrated on at least two occasions in accordance with the ‘Assessment Guidelines – UET12’.  Evidence shall also comprise:</w:t>
            </w:r>
          </w:p>
          <w:p w:rsidR="00000000" w:rsidRPr="00AA3252" w:rsidP="00AA3252">
            <w:pPr>
              <w:pStyle w:val="ListBullet"/>
            </w:pPr>
            <w:r w:rsidRPr="00AA3252">
              <w:t>A representative body of work performance demonstrated within the timeframes typically expected of the discipline, work function and industrial environment. In particular this shall incorporate evidence that shows a candidate is able to:</w:t>
            </w:r>
          </w:p>
          <w:p w:rsidR="00000000" w:rsidRPr="00AA3252" w:rsidP="00AA3252">
            <w:pPr>
              <w:pStyle w:val="ListBullet2"/>
            </w:pPr>
            <w:r w:rsidRPr="00AA3252">
              <w:t>Implement Occupa</w:t>
            </w:r>
            <w:r w:rsidRPr="00AA3252">
              <w:t>tional Health and Safety workplace procedures and practices including the use of risk control measures as specified in the performance criteria and range statement</w:t>
            </w:r>
          </w:p>
          <w:p w:rsidR="00000000" w:rsidRPr="00AA3252" w:rsidP="00AA3252">
            <w:pPr>
              <w:pStyle w:val="ListBullet2"/>
            </w:pPr>
            <w:r w:rsidRPr="00AA3252">
              <w:t>Apply sustainable energy principles and practices as specified in the performance criteria and range statement</w:t>
            </w:r>
          </w:p>
          <w:p w:rsidR="00000000" w:rsidRPr="00AA3252" w:rsidP="00AA3252">
            <w:pPr>
              <w:pStyle w:val="ListBullet2"/>
            </w:pPr>
            <w:r w:rsidRPr="00AA3252">
              <w:t>Demonstrate an understanding of the essential knowledge and associated skills as described in this unit .  It may be required by some jurisdictio</w:t>
            </w:r>
            <w:r w:rsidRPr="00AA3252">
              <w:t xml:space="preserve">ns that RTOs provide a percentile graded result for the purpose of regulatory or licensing requirements.   </w:t>
            </w:r>
          </w:p>
          <w:p w:rsidR="00000000" w:rsidRPr="00AA3252" w:rsidP="00AA3252">
            <w:pPr>
              <w:pStyle w:val="ListBullet2"/>
            </w:pPr>
            <w:r w:rsidRPr="00AA3252">
              <w:t>Demonstrate an appropriate level of skills enabling employment</w:t>
            </w:r>
          </w:p>
          <w:p w:rsidR="00000000" w:rsidRPr="00AA3252" w:rsidP="00AA3252">
            <w:pPr>
              <w:pStyle w:val="ListBullet2"/>
            </w:pPr>
            <w:r w:rsidRPr="00AA3252">
              <w:t>Conduct work observing the relevant Anti Discrimination legislation, regulations, pol</w:t>
            </w:r>
            <w:r w:rsidRPr="00AA3252">
              <w:t>ices and workplace procedures</w:t>
            </w:r>
          </w:p>
          <w:p w:rsidR="00000000" w:rsidRPr="00AA3252" w:rsidP="00AA3252">
            <w:pPr>
              <w:pStyle w:val="ListBullet"/>
            </w:pPr>
            <w:r w:rsidRPr="00AA3252">
              <w:t>Demonstrated consistent performance across a representative range of contexts from the prescribed items below:</w:t>
            </w:r>
          </w:p>
          <w:p w:rsidR="00000000" w:rsidP="00AA3252">
            <w:pPr>
              <w:pStyle w:val="ListBullet2"/>
              <w:rPr>
                <w:lang w:val="en-NZ"/>
              </w:rPr>
            </w:pPr>
            <w:r w:rsidRPr="00AA3252">
              <w:t>Diagnosing and rectifying faults in energy supply apparatus as described in 8) and including:</w:t>
            </w:r>
          </w:p>
        </w:tc>
      </w:tr>
      <w:tr w:rsidTr="00543A3F">
        <w:tblPrEx>
          <w:tblW w:w="0" w:type="auto"/>
          <w:tblLayout w:type="fixed"/>
          <w:tblCellMar>
            <w:left w:w="62" w:type="dxa"/>
            <w:right w:w="62" w:type="dxa"/>
          </w:tblCellMar>
          <w:tblLook w:val="0000"/>
        </w:tblPrEx>
        <w:tc>
          <w:tcPr>
            <w:tcW w:w="19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6"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A</w:t>
            </w:r>
          </w:p>
        </w:tc>
        <w:tc>
          <w:tcPr>
            <w:tcW w:w="513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Applying logical diagnostic methods.</w:t>
            </w:r>
          </w:p>
        </w:tc>
      </w:tr>
      <w:tr w:rsidTr="00543A3F">
        <w:tblPrEx>
          <w:tblW w:w="0" w:type="auto"/>
          <w:tblLayout w:type="fixed"/>
          <w:tblCellMar>
            <w:left w:w="62" w:type="dxa"/>
            <w:right w:w="62" w:type="dxa"/>
          </w:tblCellMar>
          <w:tblLook w:val="0000"/>
        </w:tblPrEx>
        <w:trPr>
          <w:trHeight w:val="361"/>
        </w:trPr>
        <w:tc>
          <w:tcPr>
            <w:tcW w:w="19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6"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B</w:t>
            </w:r>
          </w:p>
        </w:tc>
        <w:tc>
          <w:tcPr>
            <w:tcW w:w="513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Using fault scenarios to test the cause of system faults.</w:t>
            </w:r>
          </w:p>
        </w:tc>
      </w:tr>
      <w:tr w:rsidTr="00543A3F">
        <w:tblPrEx>
          <w:tblW w:w="0" w:type="auto"/>
          <w:tblLayout w:type="fixed"/>
          <w:tblCellMar>
            <w:left w:w="62" w:type="dxa"/>
            <w:right w:w="62" w:type="dxa"/>
          </w:tblCellMar>
          <w:tblLook w:val="0000"/>
        </w:tblPrEx>
        <w:tc>
          <w:tcPr>
            <w:tcW w:w="19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6"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C</w:t>
            </w:r>
          </w:p>
        </w:tc>
        <w:tc>
          <w:tcPr>
            <w:tcW w:w="513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Identifying faults and competency needed to rectify them.</w:t>
            </w:r>
          </w:p>
        </w:tc>
      </w:tr>
      <w:tr w:rsidTr="00543A3F">
        <w:tblPrEx>
          <w:tblW w:w="0" w:type="auto"/>
          <w:tblLayout w:type="fixed"/>
          <w:tblCellMar>
            <w:left w:w="62" w:type="dxa"/>
            <w:right w:w="62" w:type="dxa"/>
          </w:tblCellMar>
          <w:tblLook w:val="0000"/>
        </w:tblPrEx>
        <w:tc>
          <w:tcPr>
            <w:tcW w:w="19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6"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D</w:t>
            </w:r>
          </w:p>
        </w:tc>
        <w:tc>
          <w:tcPr>
            <w:tcW w:w="513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Rectifying faults in system controls.</w:t>
            </w:r>
          </w:p>
        </w:tc>
      </w:tr>
      <w:tr w:rsidTr="00543A3F">
        <w:tblPrEx>
          <w:tblW w:w="0" w:type="auto"/>
          <w:tblLayout w:type="fixed"/>
          <w:tblCellMar>
            <w:left w:w="62" w:type="dxa"/>
            <w:right w:w="62" w:type="dxa"/>
          </w:tblCellMar>
          <w:tblLook w:val="0000"/>
        </w:tblPrEx>
        <w:tc>
          <w:tcPr>
            <w:tcW w:w="19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6"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E</w:t>
            </w:r>
          </w:p>
        </w:tc>
        <w:tc>
          <w:tcPr>
            <w:tcW w:w="513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Verifying that the system operates correctly.</w:t>
            </w:r>
          </w:p>
        </w:tc>
      </w:tr>
      <w:tr w:rsidTr="00543A3F">
        <w:tblPrEx>
          <w:tblW w:w="0" w:type="auto"/>
          <w:tblLayout w:type="fixed"/>
          <w:tblCellMar>
            <w:left w:w="62" w:type="dxa"/>
            <w:right w:w="62" w:type="dxa"/>
          </w:tblCellMar>
          <w:tblLook w:val="0000"/>
        </w:tblPrEx>
        <w:tc>
          <w:tcPr>
            <w:tcW w:w="19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6"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F</w:t>
            </w:r>
          </w:p>
        </w:tc>
        <w:tc>
          <w:tcPr>
            <w:tcW w:w="513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Documenting fault rectification.</w:t>
            </w:r>
          </w:p>
        </w:tc>
      </w:tr>
      <w:tr w:rsidTr="00543A3F">
        <w:tblPrEx>
          <w:tblW w:w="0" w:type="auto"/>
          <w:tblLayout w:type="fixed"/>
          <w:tblCellMar>
            <w:left w:w="62" w:type="dxa"/>
            <w:right w:w="62" w:type="dxa"/>
          </w:tblCellMar>
          <w:tblLook w:val="0000"/>
        </w:tblPrEx>
        <w:tc>
          <w:tcPr>
            <w:tcW w:w="19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6"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G</w:t>
            </w:r>
          </w:p>
        </w:tc>
        <w:tc>
          <w:tcPr>
            <w:tcW w:w="513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t>Dealing with unplanned events by drawing on essential knowledge and skills to provide appropriate solutions incorporated in the holistic assessment with the above listed items.</w:t>
            </w:r>
          </w:p>
        </w:tc>
      </w:tr>
      <w:tr w:rsidTr="00543A3F">
        <w:tblPrEx>
          <w:tblW w:w="0" w:type="auto"/>
          <w:tblLayout w:type="fixed"/>
          <w:tblCellMar>
            <w:left w:w="62" w:type="dxa"/>
            <w:right w:w="62" w:type="dxa"/>
          </w:tblCellMar>
          <w:tblLook w:val="0000"/>
        </w:tblPrEx>
        <w:tc>
          <w:tcPr>
            <w:tcW w:w="19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60" w:type="dxa"/>
            <w:gridSpan w:val="3"/>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t>Note:</w:t>
            </w:r>
            <w:r w:rsidRPr="00AA3252">
              <w:br/>
            </w:r>
            <w:r w:rsidRPr="00AA3252">
              <w:t>Successful completion of relevant vendor training may be used to contribute to evidence on which competency is deemed. In these cases the alignment of outcomes of vendor training with performance criteria and critical aspects of evidence shall be clearly i</w:t>
            </w:r>
            <w:r w:rsidRPr="00AA3252">
              <w:t>dentified.</w:t>
            </w:r>
          </w:p>
        </w:tc>
      </w:tr>
    </w:tbl>
    <w:p w:rsidR="00000000" w:rsidRPr="00AA3252" w:rsidP="00AA3252">
      <w:pPr>
        <w:pStyle w:val="BodyText"/>
      </w:pPr>
    </w:p>
    <w:tbl>
      <w:tblPr>
        <w:tblW w:w="0" w:type="auto"/>
        <w:tblLayout w:type="fixed"/>
        <w:tblCellMar>
          <w:left w:w="62" w:type="dxa"/>
          <w:right w:w="62" w:type="dxa"/>
        </w:tblCellMar>
        <w:tblLook w:val="0000"/>
      </w:tblPr>
      <w:tblGrid>
        <w:gridCol w:w="1890"/>
        <w:gridCol w:w="6570"/>
      </w:tblGrid>
      <w:tr w:rsidTr="00543A3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rPr>
                <w:rStyle w:val="SpecialBold"/>
              </w:rPr>
              <w:t>9.3)</w:t>
            </w:r>
          </w:p>
        </w:tc>
      </w:tr>
      <w:tr w:rsidTr="00543A3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t>This unit should be assessed as it relates to normal work practice using procedures, information and resources typical of a workplace. This should include:</w:t>
            </w:r>
          </w:p>
          <w:p w:rsidR="00000000" w:rsidRPr="00AA3252" w:rsidP="00AA3252">
            <w:pPr>
              <w:pStyle w:val="ListBullet"/>
            </w:pPr>
            <w:r w:rsidRPr="00AA3252">
              <w:t>OHS policy and work procedures and instructions.</w:t>
            </w:r>
          </w:p>
          <w:p w:rsidR="00000000" w:rsidRPr="00AA3252" w:rsidP="00AA3252">
            <w:pPr>
              <w:pStyle w:val="ListBullet"/>
            </w:pPr>
            <w:r w:rsidRPr="00AA3252">
              <w:t>Suitable work environment, facilities, equipment and materials to undertake actual work as prescribed by this unit.</w:t>
            </w:r>
          </w:p>
          <w:p w:rsidR="00000000" w:rsidRPr="00AA3252" w:rsidP="00AA3252">
            <w:pPr>
              <w:pStyle w:val="BodyText"/>
            </w:pPr>
            <w:r w:rsidRPr="00AA3252">
              <w:t>These should be part of the formal learning/assessment environment.</w:t>
            </w:r>
          </w:p>
          <w:p w:rsidR="00000000" w:rsidRPr="00AA3252" w:rsidP="00AA3252">
            <w:pPr>
              <w:pStyle w:val="BodyText"/>
            </w:pPr>
            <w:r w:rsidRPr="00AA3252">
              <w:t>Note:</w:t>
            </w:r>
          </w:p>
          <w:p w:rsidR="00000000" w:rsidRPr="00AA3252" w:rsidP="00AA3252">
            <w:pPr>
              <w:pStyle w:val="BodyText"/>
            </w:pPr>
            <w:r w:rsidRPr="00AA3252">
              <w:t xml:space="preserve">Where simulation </w:t>
            </w:r>
            <w:r w:rsidRPr="00AA3252">
              <w:t>is considered a suitable strategy for assessment, conditions must be authentic and as far as possible reproduce and replicate the workplace and be consistent with the approved industry simulation policy.</w:t>
            </w:r>
          </w:p>
          <w:p w:rsidR="00000000" w:rsidRPr="00AA3252" w:rsidP="00AA3252">
            <w:pPr>
              <w:pStyle w:val="BodyText"/>
            </w:pPr>
            <w:r w:rsidRPr="00AA3252">
              <w:t>The resources used for assessment should reflect cur</w:t>
            </w:r>
            <w:r w:rsidRPr="00AA3252">
              <w:t>rent industry practices in relation to diagnosing and rectifying faults in energy supply apparatus.</w:t>
            </w:r>
          </w:p>
        </w:tc>
      </w:tr>
    </w:tbl>
    <w:p w:rsidR="00000000" w:rsidRPr="00AA3252" w:rsidP="00AA3252">
      <w:pPr>
        <w:pStyle w:val="BodyText"/>
      </w:pPr>
    </w:p>
    <w:tbl>
      <w:tblPr>
        <w:tblW w:w="0" w:type="auto"/>
        <w:tblLayout w:type="fixed"/>
        <w:tblCellMar>
          <w:left w:w="62" w:type="dxa"/>
          <w:right w:w="62" w:type="dxa"/>
        </w:tblCellMar>
        <w:tblLook w:val="0000"/>
      </w:tblPr>
      <w:tblGrid>
        <w:gridCol w:w="1890"/>
        <w:gridCol w:w="6570"/>
      </w:tblGrid>
      <w:tr w:rsidTr="00543A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rPr>
                <w:rStyle w:val="SpecialBold"/>
              </w:rPr>
              <w:t>9.4)</w:t>
            </w:r>
          </w:p>
        </w:tc>
      </w:tr>
      <w:tr w:rsidTr="00543A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t>This unit shall be assessed by methods given in Volume 1, Part 3 ‘Assessment Guidelines’.</w:t>
            </w:r>
          </w:p>
          <w:p w:rsidR="00000000" w:rsidRPr="00AA3252" w:rsidP="00AA3252">
            <w:pPr>
              <w:pStyle w:val="BodyText"/>
            </w:pPr>
            <w:r w:rsidRPr="00AA3252">
              <w:t>Note:</w:t>
            </w:r>
          </w:p>
          <w:p w:rsidR="00000000" w:rsidRPr="00AA3252" w:rsidP="00AA3252">
            <w:pPr>
              <w:pStyle w:val="BodyText"/>
            </w:pPr>
            <w:r w:rsidRPr="00AA3252">
              <w:t>Competent performance with inherent safe working practices is expected in the industry to which this unit applies. This requires assessment in a structured environment which is primarily intended for learning/assessment and incorporates all necessary equip</w:t>
            </w:r>
            <w:r w:rsidRPr="00AA3252">
              <w:t>ment and facilities for learners to develop and demonstrate the essential knowledge and skills described in this unit.</w:t>
            </w:r>
          </w:p>
        </w:tc>
      </w:tr>
    </w:tbl>
    <w:p w:rsidR="00000000" w:rsidRPr="00AA3252" w:rsidP="00AA3252">
      <w:pPr>
        <w:pStyle w:val="BodyText"/>
      </w:pPr>
    </w:p>
    <w:tbl>
      <w:tblPr>
        <w:tblW w:w="0" w:type="auto"/>
        <w:tblLayout w:type="fixed"/>
        <w:tblCellMar>
          <w:left w:w="62" w:type="dxa"/>
          <w:right w:w="62" w:type="dxa"/>
        </w:tblCellMar>
        <w:tblLook w:val="0000"/>
      </w:tblPr>
      <w:tblGrid>
        <w:gridCol w:w="1890"/>
        <w:gridCol w:w="6570"/>
      </w:tblGrid>
      <w:tr w:rsidTr="00543A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rPr>
                <w:rStyle w:val="SpecialBold"/>
              </w:rPr>
              <w:t>9.5)</w:t>
            </w:r>
          </w:p>
        </w:tc>
      </w:tr>
      <w:tr w:rsidTr="00543A3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t>There are no concurrent assessment recommendations for this unit.</w:t>
            </w:r>
          </w:p>
          <w:p w:rsidR="00000000" w:rsidRPr="00AA3252" w:rsidP="00AA3252">
            <w:pPr>
              <w:pStyle w:val="BodyText"/>
            </w:pPr>
            <w:r w:rsidRPr="00AA3252">
              <w:t>The cr</w:t>
            </w:r>
            <w:r w:rsidRPr="00AA3252">
              <w:t>itical aspects of occupational health and safety covered in UEENEEE101A and other discipline specific occupational health and safety unit(s) shall be reassessed in relation to this unit.</w:t>
            </w:r>
          </w:p>
        </w:tc>
      </w:tr>
    </w:tbl>
    <w:p w:rsidR="00000000" w:rsidRPr="00AA3252" w:rsidP="00AA3252">
      <w:pPr>
        <w:pStyle w:val="BodyText"/>
      </w:pPr>
    </w:p>
    <w:p w:rsidR="00000000" w:rsidRPr="00AA3252" w:rsidP="00AA3252">
      <w:pPr>
        <w:pStyle w:val="AllowPageBreak"/>
      </w:pPr>
    </w:p>
    <w:p w:rsidR="00000000" w:rsidRPr="00AA3252" w:rsidP="00AA3252">
      <w:pPr>
        <w:pStyle w:val="Heading1"/>
      </w:pPr>
      <w:bookmarkStart w:id="11" w:name="O_463098"/>
      <w:bookmarkEnd w:id="11"/>
      <w:r w:rsidRPr="00AA3252">
        <w:t>Range Statement</w:t>
      </w:r>
    </w:p>
    <w:tbl>
      <w:tblPr>
        <w:tblW w:w="0" w:type="auto"/>
        <w:tblLayout w:type="fixed"/>
        <w:tblCellMar>
          <w:left w:w="62" w:type="dxa"/>
          <w:right w:w="62" w:type="dxa"/>
        </w:tblCellMar>
        <w:tblLook w:val="0000"/>
      </w:tblPr>
      <w:tblGrid>
        <w:gridCol w:w="8460"/>
      </w:tblGrid>
      <w:tr w:rsidTr="00543A3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rPr>
                <w:rStyle w:val="SpecialBold"/>
              </w:rPr>
              <w:t>RANGE STATEMENT</w:t>
            </w:r>
          </w:p>
        </w:tc>
      </w:tr>
      <w:tr w:rsidTr="00543A3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rPr>
                <w:rStyle w:val="SpecialBold"/>
              </w:rPr>
              <w:t>10)</w:t>
            </w:r>
            <w:r w:rsidRPr="00AA3252">
              <w:t xml:space="preserve"> This relates to the unit as a whole providing the range of contexts and conditions to which the performance criteria apply. It allows for different work environments and situations that will affect performance.</w:t>
            </w:r>
          </w:p>
          <w:p w:rsidR="00000000" w:rsidRPr="00AA3252" w:rsidP="00AA3252">
            <w:pPr>
              <w:pStyle w:val="BodyText"/>
            </w:pPr>
            <w:r w:rsidRPr="00AA3252">
              <w:t xml:space="preserve">This unit shall be demonstrated in relation </w:t>
            </w:r>
            <w:r w:rsidRPr="00AA3252">
              <w:t>to diagnosing and rectifying at least four faults a control energy supply apparatus.</w:t>
            </w:r>
          </w:p>
          <w:p w:rsidR="00000000" w:rsidRPr="00AA3252" w:rsidP="00AA3252">
            <w:pPr>
              <w:pStyle w:val="BodyText"/>
            </w:pPr>
            <w:r w:rsidRPr="00AA3252">
              <w:t>Generic terms used throughout this Vocational Standard shall be regarded as part of the Range Statement in which competency is demonstrated. The definition of these and ot</w:t>
            </w:r>
            <w:r w:rsidRPr="00AA3252">
              <w:t>her terms that apply are given in Volume 2, Part 2.1.</w:t>
            </w:r>
          </w:p>
        </w:tc>
      </w:tr>
    </w:tbl>
    <w:p w:rsidR="00000000" w:rsidRPr="00AA3252" w:rsidP="00AA3252">
      <w:pPr>
        <w:pStyle w:val="BodyText"/>
      </w:pPr>
    </w:p>
    <w:p w:rsidR="00000000" w:rsidRPr="00AA3252" w:rsidP="00AA3252">
      <w:pPr>
        <w:pStyle w:val="AllowPageBreak"/>
      </w:pPr>
    </w:p>
    <w:p w:rsidR="00000000" w:rsidRPr="00AA3252" w:rsidP="00AA3252">
      <w:pPr>
        <w:pStyle w:val="Heading1"/>
      </w:pPr>
      <w:bookmarkStart w:id="12" w:name="O_463105"/>
      <w:bookmarkEnd w:id="12"/>
      <w:r w:rsidRPr="00AA3252">
        <w:t>Unit Sector(s)</w:t>
      </w:r>
    </w:p>
    <w:p w:rsidR="00000000" w:rsidRPr="00AA3252" w:rsidP="00AA3252">
      <w:pPr>
        <w:pStyle w:val="BodyText"/>
      </w:pPr>
      <w:r w:rsidRPr="00AA3252">
        <w:t>Not applicable.</w:t>
      </w:r>
    </w:p>
    <w:p w:rsidR="00000000" w:rsidRPr="00AA3252" w:rsidP="00AA3252">
      <w:pPr>
        <w:pStyle w:val="AllowPageBreak"/>
      </w:pPr>
    </w:p>
    <w:p w:rsidR="00000000" w:rsidRPr="00AA3252" w:rsidP="00AA3252">
      <w:pPr>
        <w:pStyle w:val="Heading1"/>
      </w:pPr>
      <w:bookmarkStart w:id="13" w:name="O_463090"/>
      <w:bookmarkEnd w:id="13"/>
      <w:r w:rsidRPr="00AA3252">
        <w:t>Competency Field</w:t>
      </w:r>
    </w:p>
    <w:tbl>
      <w:tblPr>
        <w:tblW w:w="0" w:type="auto"/>
        <w:tblLayout w:type="fixed"/>
        <w:tblCellMar>
          <w:left w:w="62" w:type="dxa"/>
          <w:right w:w="62" w:type="dxa"/>
        </w:tblCellMar>
        <w:tblLook w:val="0000"/>
      </w:tblPr>
      <w:tblGrid>
        <w:gridCol w:w="2700"/>
        <w:gridCol w:w="5760"/>
      </w:tblGrid>
      <w:tr w:rsidTr="00543A3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A3252">
            <w:pPr>
              <w:pStyle w:val="BodyText"/>
              <w:rPr>
                <w:lang w:val="en-NZ"/>
              </w:rPr>
            </w:pPr>
            <w:r w:rsidRPr="00AA3252">
              <w:rPr>
                <w:rStyle w:val="SpecialBold"/>
              </w:rPr>
              <w:t xml:space="preserve">11) </w:t>
            </w:r>
          </w:p>
        </w:tc>
      </w:tr>
      <w:tr w:rsidTr="00543A3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A3252" w:rsidP="00AA3252">
            <w:pPr>
              <w:pStyle w:val="BodyText"/>
            </w:pPr>
            <w:r w:rsidRPr="00AA3252">
              <w:t>Electrical</w:t>
            </w:r>
          </w:p>
        </w:tc>
      </w:tr>
    </w:tbl>
    <w:p w:rsidR="00000000" w:rsidRPr="00AA3252" w:rsidP="00AA3252">
      <w:pPr>
        <w:pStyle w:val="BodyText"/>
      </w:pPr>
    </w:p>
    <w:p w:rsidR="00000000" w:rsidRPr="00AA3252" w:rsidP="00AA3252"/>
    <w:sectPr w:rsidSect="00AA32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2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3A3F" w:rsidP="00543A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2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A3F" w:rsidP="00AA32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43A3F" w:rsidP="00AA32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43A3F" w:rsidP="00AA32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2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3A3F" w:rsidP="00543A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2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3A3F" w:rsidP="00AA3252">
    <w:pPr>
      <w:pStyle w:val="Header"/>
      <w:framePr w:wrap="around"/>
    </w:pPr>
    <w:r>
      <w:fldChar w:fldCharType="begin"/>
    </w:r>
    <w:r>
      <w:instrText xml:space="preserve"> TITLE   \* MERGEFORMAT </w:instrText>
    </w:r>
    <w:r>
      <w:fldChar w:fldCharType="separate"/>
    </w:r>
    <w:r>
      <w:t>UETTDRIS69A Diagnose and rectify faults in energy supply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43A3F" w:rsidP="00AA32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9448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4CDF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A699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2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3252"/>
    <w:pPr>
      <w:spacing w:before="360" w:after="60"/>
      <w:outlineLvl w:val="0"/>
    </w:pPr>
    <w:rPr>
      <w:sz w:val="32"/>
    </w:rPr>
  </w:style>
  <w:style w:type="paragraph" w:styleId="Heading2">
    <w:name w:val="heading 2"/>
    <w:basedOn w:val="HeadingBase"/>
    <w:next w:val="BodyText"/>
    <w:link w:val="Heading2Char"/>
    <w:qFormat/>
    <w:rsid w:val="00AA3252"/>
    <w:pPr>
      <w:keepLines/>
      <w:spacing w:before="240" w:after="120"/>
      <w:outlineLvl w:val="1"/>
    </w:pPr>
    <w:rPr>
      <w:sz w:val="28"/>
      <w:szCs w:val="40"/>
    </w:rPr>
  </w:style>
  <w:style w:type="paragraph" w:styleId="Heading3">
    <w:name w:val="heading 3"/>
    <w:basedOn w:val="HeadingBase"/>
    <w:next w:val="BodyText"/>
    <w:link w:val="Heading3Char"/>
    <w:qFormat/>
    <w:rsid w:val="00AA3252"/>
    <w:pPr>
      <w:spacing w:before="180" w:after="120"/>
      <w:outlineLvl w:val="2"/>
    </w:pPr>
    <w:rPr>
      <w:spacing w:val="-10"/>
      <w:kern w:val="32"/>
    </w:rPr>
  </w:style>
  <w:style w:type="paragraph" w:styleId="Heading4">
    <w:name w:val="heading 4"/>
    <w:basedOn w:val="HeadingBase"/>
    <w:next w:val="BodyText"/>
    <w:link w:val="Heading4Char"/>
    <w:qFormat/>
    <w:rsid w:val="00AA3252"/>
    <w:pPr>
      <w:spacing w:before="160" w:after="120"/>
      <w:outlineLvl w:val="3"/>
    </w:pPr>
    <w:rPr>
      <w:sz w:val="22"/>
    </w:rPr>
  </w:style>
  <w:style w:type="paragraph" w:styleId="Heading5">
    <w:name w:val="heading 5"/>
    <w:basedOn w:val="HeadingBase"/>
    <w:next w:val="Normal"/>
    <w:link w:val="Heading5Char"/>
    <w:qFormat/>
    <w:rsid w:val="00AA3252"/>
    <w:pPr>
      <w:spacing w:before="80"/>
      <w:outlineLvl w:val="4"/>
    </w:pPr>
    <w:rPr>
      <w:color w:val="918585"/>
      <w:sz w:val="20"/>
    </w:rPr>
  </w:style>
  <w:style w:type="paragraph" w:styleId="Heading6">
    <w:name w:val="heading 6"/>
    <w:basedOn w:val="HeadingBase"/>
    <w:next w:val="Normal"/>
    <w:link w:val="Heading6Char"/>
    <w:qFormat/>
    <w:rsid w:val="00AA3252"/>
    <w:pPr>
      <w:spacing w:before="60"/>
      <w:outlineLvl w:val="5"/>
    </w:pPr>
    <w:rPr>
      <w:color w:val="918585"/>
      <w:sz w:val="20"/>
    </w:rPr>
  </w:style>
  <w:style w:type="paragraph" w:styleId="Heading7">
    <w:name w:val="heading 7"/>
    <w:basedOn w:val="Normal"/>
    <w:next w:val="Normal"/>
    <w:link w:val="Heading7Char"/>
    <w:qFormat/>
    <w:rsid w:val="00AA3252"/>
    <w:pPr>
      <w:ind w:left="720"/>
      <w:outlineLvl w:val="6"/>
    </w:pPr>
    <w:rPr>
      <w:i/>
    </w:rPr>
  </w:style>
  <w:style w:type="paragraph" w:styleId="Heading8">
    <w:name w:val="heading 8"/>
    <w:basedOn w:val="Normal"/>
    <w:next w:val="Normal"/>
    <w:link w:val="Heading8Char"/>
    <w:qFormat/>
    <w:rsid w:val="00AA3252"/>
    <w:pPr>
      <w:ind w:left="720"/>
      <w:outlineLvl w:val="7"/>
    </w:pPr>
    <w:rPr>
      <w:i/>
    </w:rPr>
  </w:style>
  <w:style w:type="paragraph" w:styleId="Heading9">
    <w:name w:val="heading 9"/>
    <w:basedOn w:val="Normal"/>
    <w:next w:val="Normal"/>
    <w:link w:val="Heading9Char"/>
    <w:qFormat/>
    <w:rsid w:val="00AA3252"/>
    <w:pPr>
      <w:ind w:left="720"/>
      <w:outlineLvl w:val="8"/>
    </w:pPr>
    <w:rPr>
      <w:i/>
    </w:rPr>
  </w:style>
  <w:style w:type="character" w:default="1" w:styleId="DefaultParagraphFont">
    <w:name w:val="Default Paragraph Font"/>
    <w:uiPriority w:val="1"/>
    <w:unhideWhenUsed/>
    <w:rsid w:val="00AA32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3252"/>
  </w:style>
  <w:style w:type="character" w:customStyle="1" w:styleId="Heading1Char">
    <w:name w:val="Heading 1 Char"/>
    <w:basedOn w:val="DefaultParagraphFont"/>
    <w:link w:val="Heading1"/>
    <w:rsid w:val="00AA3252"/>
    <w:rPr>
      <w:rFonts w:ascii="Times New Roman" w:eastAsia="Times New Roman" w:hAnsi="Times New Roman" w:cs="Times New Roman"/>
      <w:b/>
      <w:sz w:val="32"/>
      <w:szCs w:val="20"/>
      <w:lang w:eastAsia="en-US"/>
    </w:rPr>
  </w:style>
  <w:style w:type="paragraph" w:styleId="BodyText">
    <w:name w:val="Body Text"/>
    <w:basedOn w:val="Normal"/>
    <w:link w:val="BodyTextChar"/>
    <w:rsid w:val="00AA32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3252"/>
    <w:rPr>
      <w:rFonts w:ascii="Times New Roman" w:eastAsia="Times New Roman" w:hAnsi="Times New Roman" w:cs="Times New Roman"/>
      <w:sz w:val="24"/>
      <w:lang w:val="en-US" w:eastAsia="en-US"/>
    </w:rPr>
  </w:style>
  <w:style w:type="paragraph" w:styleId="Footer">
    <w:name w:val="footer"/>
    <w:basedOn w:val="Normal"/>
    <w:link w:val="FooterChar"/>
    <w:rsid w:val="00AA32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3252"/>
    <w:rPr>
      <w:rFonts w:ascii="Times New Roman" w:eastAsia="Times New Roman" w:hAnsi="Times New Roman" w:cs="Times New Roman"/>
      <w:sz w:val="16"/>
      <w:lang w:val="en-US" w:eastAsia="en-US"/>
    </w:rPr>
  </w:style>
  <w:style w:type="paragraph" w:styleId="ListBullet">
    <w:name w:val="List Bullet"/>
    <w:basedOn w:val="List"/>
    <w:rsid w:val="00AA3252"/>
    <w:pPr>
      <w:numPr>
        <w:numId w:val="13"/>
      </w:numPr>
      <w:tabs>
        <w:tab w:val="clear" w:pos="340"/>
      </w:tabs>
      <w:spacing w:before="40" w:after="40"/>
    </w:pPr>
  </w:style>
  <w:style w:type="character" w:customStyle="1" w:styleId="SpecialBold">
    <w:name w:val="Special Bold"/>
    <w:basedOn w:val="DefaultParagraphFont"/>
    <w:rsid w:val="00AA3252"/>
    <w:rPr>
      <w:b/>
      <w:spacing w:val="0"/>
    </w:rPr>
  </w:style>
  <w:style w:type="paragraph" w:styleId="ListBullet2">
    <w:name w:val="List Bullet 2"/>
    <w:basedOn w:val="List2"/>
    <w:rsid w:val="00AA3252"/>
    <w:pPr>
      <w:numPr>
        <w:numId w:val="14"/>
      </w:numPr>
      <w:tabs>
        <w:tab w:val="clear" w:pos="680"/>
      </w:tabs>
    </w:pPr>
  </w:style>
  <w:style w:type="paragraph" w:styleId="Header">
    <w:name w:val="header"/>
    <w:basedOn w:val="Normal"/>
    <w:link w:val="HeaderChar"/>
    <w:rsid w:val="00AA32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325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3252"/>
    <w:pPr>
      <w:spacing w:before="240" w:after="120"/>
      <w:outlineLvl w:val="0"/>
    </w:pPr>
    <w:rPr>
      <w:rFonts w:ascii="Times New Roman" w:hAnsi="Times New Roman"/>
      <w:b/>
      <w:sz w:val="28"/>
    </w:rPr>
  </w:style>
  <w:style w:type="paragraph" w:customStyle="1" w:styleId="AllowPageBreak">
    <w:name w:val="AllowPageBreak"/>
    <w:rsid w:val="00AA32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32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32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32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32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32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32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32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3252"/>
    <w:rPr>
      <w:rFonts w:ascii="Courier New" w:eastAsia="Times New Roman" w:hAnsi="Courier New" w:cs="Times New Roman"/>
      <w:i/>
      <w:szCs w:val="20"/>
      <w:lang w:val="en-US" w:eastAsia="en-US"/>
    </w:rPr>
  </w:style>
  <w:style w:type="paragraph" w:customStyle="1" w:styleId="HeadingBase">
    <w:name w:val="Heading Base"/>
    <w:rsid w:val="00AA32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3252"/>
    <w:pPr>
      <w:tabs>
        <w:tab w:val="right" w:leader="dot" w:pos="9072"/>
      </w:tabs>
      <w:ind w:left="567"/>
    </w:pPr>
    <w:rPr>
      <w:szCs w:val="22"/>
    </w:rPr>
  </w:style>
  <w:style w:type="paragraph" w:customStyle="1" w:styleId="TOCBase">
    <w:name w:val="TOC Base"/>
    <w:rsid w:val="00AA32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3252"/>
    <w:pPr>
      <w:tabs>
        <w:tab w:val="right" w:leader="dot" w:pos="9072"/>
      </w:tabs>
      <w:spacing w:before="40" w:after="40"/>
      <w:ind w:left="284"/>
    </w:pPr>
    <w:rPr>
      <w:rFonts w:ascii="Times New Roman" w:hAnsi="Times New Roman"/>
    </w:rPr>
  </w:style>
  <w:style w:type="paragraph" w:styleId="TOC1">
    <w:name w:val="toc 1"/>
    <w:basedOn w:val="TOCBase"/>
    <w:next w:val="Normal"/>
    <w:rsid w:val="00AA32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3252"/>
    <w:pPr>
      <w:spacing w:before="5040"/>
      <w:jc w:val="center"/>
    </w:pPr>
    <w:rPr>
      <w:sz w:val="48"/>
      <w:szCs w:val="72"/>
      <w:lang w:val="en-US"/>
    </w:rPr>
  </w:style>
  <w:style w:type="character" w:customStyle="1" w:styleId="TitleChar">
    <w:name w:val="Title Char"/>
    <w:basedOn w:val="DefaultParagraphFont"/>
    <w:link w:val="Title"/>
    <w:rsid w:val="00AA32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3252"/>
    <w:pPr>
      <w:tabs>
        <w:tab w:val="left" w:pos="3600"/>
        <w:tab w:val="left" w:pos="3958"/>
      </w:tabs>
    </w:pPr>
  </w:style>
  <w:style w:type="paragraph" w:styleId="List">
    <w:name w:val="List"/>
    <w:basedOn w:val="BodyText"/>
    <w:next w:val="BodyText"/>
    <w:rsid w:val="00AA3252"/>
    <w:pPr>
      <w:tabs>
        <w:tab w:val="left" w:pos="340"/>
      </w:tabs>
      <w:spacing w:before="60" w:after="60"/>
      <w:ind w:left="340" w:hanging="340"/>
    </w:pPr>
  </w:style>
  <w:style w:type="paragraph" w:customStyle="1" w:styleId="Note">
    <w:name w:val="Note"/>
    <w:basedOn w:val="BodyText"/>
    <w:rsid w:val="00AA32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3252"/>
    <w:pPr>
      <w:framePr w:wrap="auto" w:hAnchor="text" w:y="6049"/>
    </w:pPr>
    <w:rPr>
      <w:color w:val="000000"/>
      <w:sz w:val="40"/>
    </w:rPr>
  </w:style>
  <w:style w:type="paragraph" w:customStyle="1" w:styleId="TOCTitle">
    <w:name w:val="TOCTitle"/>
    <w:basedOn w:val="Heading1"/>
    <w:rsid w:val="00AA3252"/>
    <w:pPr>
      <w:spacing w:after="240"/>
      <w:jc w:val="center"/>
      <w:outlineLvl w:val="9"/>
    </w:pPr>
    <w:rPr>
      <w:caps/>
    </w:rPr>
  </w:style>
  <w:style w:type="paragraph" w:customStyle="1" w:styleId="Version">
    <w:name w:val="Version"/>
    <w:rsid w:val="00AA32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3252"/>
    <w:pPr>
      <w:keepNext w:val="0"/>
      <w:tabs>
        <w:tab w:val="right" w:pos="4176"/>
      </w:tabs>
      <w:ind w:left="198" w:hanging="198"/>
    </w:pPr>
    <w:rPr>
      <w:rFonts w:ascii="Garamond" w:hAnsi="Garamond"/>
    </w:rPr>
  </w:style>
  <w:style w:type="paragraph" w:styleId="IndexHeading">
    <w:name w:val="index heading"/>
    <w:basedOn w:val="Normal"/>
    <w:next w:val="Index1"/>
    <w:semiHidden/>
    <w:rsid w:val="00AA3252"/>
    <w:pPr>
      <w:spacing w:before="120" w:after="120"/>
    </w:pPr>
    <w:rPr>
      <w:rFonts w:ascii="Arial" w:hAnsi="Arial"/>
      <w:b/>
      <w:color w:val="918585"/>
      <w:sz w:val="24"/>
    </w:rPr>
  </w:style>
  <w:style w:type="paragraph" w:customStyle="1" w:styleId="Chapter">
    <w:name w:val="Chapter"/>
    <w:basedOn w:val="Normal"/>
    <w:rsid w:val="00AA3252"/>
    <w:pPr>
      <w:spacing w:before="240"/>
    </w:pPr>
    <w:rPr>
      <w:rFonts w:ascii="Times New Roman" w:hAnsi="Times New Roman"/>
      <w:smallCaps/>
      <w:spacing w:val="80"/>
      <w:sz w:val="28"/>
    </w:rPr>
  </w:style>
  <w:style w:type="paragraph" w:customStyle="1" w:styleId="InChapter">
    <w:name w:val="InChapter"/>
    <w:basedOn w:val="Heading3"/>
    <w:rsid w:val="00AA3252"/>
    <w:pPr>
      <w:spacing w:after="240"/>
      <w:outlineLvl w:val="9"/>
    </w:pPr>
    <w:rPr>
      <w:noProof/>
    </w:rPr>
  </w:style>
  <w:style w:type="paragraph" w:styleId="Index2">
    <w:name w:val="index 2"/>
    <w:basedOn w:val="Normal"/>
    <w:next w:val="Normal"/>
    <w:semiHidden/>
    <w:rsid w:val="00AA3252"/>
    <w:pPr>
      <w:tabs>
        <w:tab w:val="right" w:pos="4176"/>
      </w:tabs>
      <w:ind w:left="568" w:hanging="284"/>
    </w:pPr>
    <w:rPr>
      <w:rFonts w:ascii="Garamond" w:hAnsi="Garamond"/>
    </w:rPr>
  </w:style>
  <w:style w:type="paragraph" w:customStyle="1" w:styleId="Byline">
    <w:name w:val="Byline"/>
    <w:rsid w:val="00AA32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3252"/>
    <w:pPr>
      <w:tabs>
        <w:tab w:val="clear" w:pos="3600"/>
        <w:tab w:val="clear" w:pos="3958"/>
      </w:tabs>
      <w:jc w:val="right"/>
    </w:pPr>
  </w:style>
  <w:style w:type="character" w:styleId="Emphasis">
    <w:name w:val="Emphasis"/>
    <w:basedOn w:val="DefaultParagraphFont"/>
    <w:qFormat/>
    <w:rsid w:val="00AA3252"/>
    <w:rPr>
      <w:i/>
    </w:rPr>
  </w:style>
  <w:style w:type="paragraph" w:styleId="Caption">
    <w:name w:val="caption"/>
    <w:basedOn w:val="BodyText"/>
    <w:next w:val="Normal"/>
    <w:qFormat/>
    <w:rsid w:val="00AA3252"/>
    <w:pPr>
      <w:framePr w:w="2268" w:hSpace="181" w:vSpace="181" w:wrap="around" w:vAnchor="text" w:hAnchor="page" w:x="1135" w:y="285" w:anchorLock="1"/>
    </w:pPr>
    <w:rPr>
      <w:i/>
    </w:rPr>
  </w:style>
  <w:style w:type="paragraph" w:customStyle="1" w:styleId="MiniTOCTitle">
    <w:name w:val="MiniTOCTitle"/>
    <w:basedOn w:val="Heading4"/>
    <w:rsid w:val="00AA3252"/>
    <w:pPr>
      <w:spacing w:before="240"/>
      <w:outlineLvl w:val="9"/>
    </w:pPr>
    <w:rPr>
      <w:noProof/>
      <w:sz w:val="24"/>
    </w:rPr>
  </w:style>
  <w:style w:type="paragraph" w:customStyle="1" w:styleId="MiniTOCItem">
    <w:name w:val="MiniTOCItem"/>
    <w:basedOn w:val="ListBullet"/>
    <w:rsid w:val="00AA3252"/>
    <w:pPr>
      <w:numPr>
        <w:numId w:val="0"/>
      </w:numPr>
      <w:tabs>
        <w:tab w:val="right" w:leader="dot" w:pos="6521"/>
      </w:tabs>
      <w:spacing w:before="0" w:after="0"/>
    </w:pPr>
  </w:style>
  <w:style w:type="paragraph" w:customStyle="1" w:styleId="TOFTitle">
    <w:name w:val="TOFTitle"/>
    <w:basedOn w:val="TOCTitle"/>
    <w:rsid w:val="00AA3252"/>
  </w:style>
  <w:style w:type="paragraph" w:styleId="TableofFigures">
    <w:name w:val="table of figures"/>
    <w:basedOn w:val="Normal"/>
    <w:next w:val="Normal"/>
    <w:semiHidden/>
    <w:rsid w:val="00AA3252"/>
    <w:pPr>
      <w:tabs>
        <w:tab w:val="right" w:leader="dot" w:pos="9072"/>
      </w:tabs>
      <w:ind w:left="970" w:hanging="403"/>
    </w:pPr>
    <w:rPr>
      <w:rFonts w:ascii="Times New Roman" w:hAnsi="Times New Roman"/>
      <w:b/>
    </w:rPr>
  </w:style>
  <w:style w:type="paragraph" w:styleId="ListNumber">
    <w:name w:val="List Number"/>
    <w:basedOn w:val="List"/>
    <w:rsid w:val="00AA3252"/>
    <w:pPr>
      <w:numPr>
        <w:numId w:val="11"/>
      </w:numPr>
    </w:pPr>
  </w:style>
  <w:style w:type="character" w:customStyle="1" w:styleId="WingdingSymbols">
    <w:name w:val="Wingding Symbols"/>
    <w:rsid w:val="00AA3252"/>
    <w:rPr>
      <w:rFonts w:ascii="Wingdings" w:hAnsi="Wingdings"/>
    </w:rPr>
  </w:style>
  <w:style w:type="paragraph" w:customStyle="1" w:styleId="TableHeading">
    <w:name w:val="Table Heading"/>
    <w:basedOn w:val="HeadingBase"/>
    <w:rsid w:val="00AA3252"/>
    <w:pPr>
      <w:keepLines/>
      <w:pBdr>
        <w:bottom w:val="single" w:sz="6" w:space="1" w:color="918585"/>
      </w:pBdr>
      <w:spacing w:before="240"/>
    </w:pPr>
  </w:style>
  <w:style w:type="character" w:customStyle="1" w:styleId="HotSpot">
    <w:name w:val="HotSpot"/>
    <w:rsid w:val="00AA3252"/>
    <w:rPr>
      <w:color w:val="0033CC"/>
      <w:u w:val="none"/>
    </w:rPr>
  </w:style>
  <w:style w:type="paragraph" w:customStyle="1" w:styleId="BodyTextRight">
    <w:name w:val="Body Text Right"/>
    <w:basedOn w:val="BodyText"/>
    <w:rsid w:val="00AA3252"/>
    <w:pPr>
      <w:spacing w:before="0" w:after="0"/>
      <w:jc w:val="right"/>
    </w:pPr>
  </w:style>
  <w:style w:type="paragraph" w:styleId="Index3">
    <w:name w:val="index 3"/>
    <w:basedOn w:val="ListNumber2"/>
    <w:next w:val="Normal"/>
    <w:semiHidden/>
    <w:rsid w:val="00AA3252"/>
    <w:pPr>
      <w:numPr>
        <w:numId w:val="0"/>
      </w:numPr>
      <w:tabs>
        <w:tab w:val="right" w:leader="dot" w:pos="4176"/>
      </w:tabs>
    </w:pPr>
  </w:style>
  <w:style w:type="paragraph" w:styleId="ListNumber2">
    <w:name w:val="List Number 2"/>
    <w:basedOn w:val="List2"/>
    <w:rsid w:val="00AA3252"/>
    <w:pPr>
      <w:numPr>
        <w:numId w:val="10"/>
      </w:numPr>
      <w:tabs>
        <w:tab w:val="clear" w:pos="1060"/>
      </w:tabs>
    </w:pPr>
  </w:style>
  <w:style w:type="paragraph" w:customStyle="1" w:styleId="MarginNote">
    <w:name w:val="Margin Note"/>
    <w:basedOn w:val="BodyText"/>
    <w:rsid w:val="00AA32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32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32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3252"/>
    <w:rPr>
      <w:sz w:val="32"/>
    </w:rPr>
  </w:style>
  <w:style w:type="paragraph" w:customStyle="1" w:styleId="HeadingProcedure">
    <w:name w:val="Heading Procedure"/>
    <w:basedOn w:val="HeadingBase"/>
    <w:next w:val="Normal"/>
    <w:rsid w:val="00AA3252"/>
    <w:pPr>
      <w:tabs>
        <w:tab w:val="left" w:pos="0"/>
      </w:tabs>
      <w:spacing w:before="120" w:after="60"/>
    </w:pPr>
    <w:rPr>
      <w:i/>
      <w:color w:val="918585"/>
      <w:sz w:val="22"/>
    </w:rPr>
  </w:style>
  <w:style w:type="paragraph" w:customStyle="1" w:styleId="TableBodyText">
    <w:name w:val="Table Body Text"/>
    <w:basedOn w:val="BodyText"/>
    <w:rsid w:val="00AA3252"/>
    <w:pPr>
      <w:spacing w:before="60" w:after="60"/>
    </w:pPr>
  </w:style>
  <w:style w:type="paragraph" w:styleId="ListContinue">
    <w:name w:val="List Continue"/>
    <w:basedOn w:val="List"/>
    <w:rsid w:val="00AA3252"/>
    <w:pPr>
      <w:ind w:firstLine="0"/>
    </w:pPr>
  </w:style>
  <w:style w:type="paragraph" w:customStyle="1" w:styleId="ListNote">
    <w:name w:val="List Note"/>
    <w:basedOn w:val="List"/>
    <w:rsid w:val="00AA3252"/>
    <w:pPr>
      <w:pBdr>
        <w:top w:val="single" w:sz="6" w:space="2" w:color="918585"/>
        <w:bottom w:val="single" w:sz="6" w:space="2" w:color="918585"/>
      </w:pBdr>
      <w:tabs>
        <w:tab w:val="left" w:pos="1021"/>
      </w:tabs>
      <w:ind w:firstLine="0"/>
    </w:pPr>
  </w:style>
  <w:style w:type="paragraph" w:customStyle="1" w:styleId="Warning">
    <w:name w:val="Warning"/>
    <w:basedOn w:val="BodyText"/>
    <w:rsid w:val="00AA3252"/>
    <w:pPr>
      <w:shd w:val="clear" w:color="auto" w:fill="D9D9D9"/>
      <w:tabs>
        <w:tab w:val="left" w:pos="992"/>
      </w:tabs>
      <w:ind w:left="119" w:right="119"/>
    </w:pPr>
    <w:rPr>
      <w:sz w:val="20"/>
    </w:rPr>
  </w:style>
  <w:style w:type="paragraph" w:customStyle="1" w:styleId="MarginIcons">
    <w:name w:val="Margin Icons"/>
    <w:basedOn w:val="BodyText"/>
    <w:rsid w:val="00AA32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3252"/>
    <w:rPr>
      <w:rFonts w:ascii="Courier New" w:hAnsi="Courier New"/>
    </w:rPr>
  </w:style>
  <w:style w:type="paragraph" w:customStyle="1" w:styleId="NoteBullet">
    <w:name w:val="Note Bullet"/>
    <w:basedOn w:val="Note"/>
    <w:rsid w:val="00AA3252"/>
    <w:pPr>
      <w:tabs>
        <w:tab w:val="clear" w:pos="680"/>
      </w:tabs>
      <w:spacing w:before="60" w:after="60"/>
    </w:pPr>
  </w:style>
  <w:style w:type="paragraph" w:customStyle="1" w:styleId="SubHeading2">
    <w:name w:val="SubHeading2"/>
    <w:basedOn w:val="HeadingBase"/>
    <w:rsid w:val="00AA3252"/>
    <w:pPr>
      <w:spacing w:before="240" w:after="60"/>
    </w:pPr>
    <w:rPr>
      <w:sz w:val="20"/>
    </w:rPr>
  </w:style>
  <w:style w:type="paragraph" w:customStyle="1" w:styleId="SubHeading1">
    <w:name w:val="SubHeading1"/>
    <w:basedOn w:val="HeadingBase"/>
    <w:rsid w:val="00AA3252"/>
    <w:pPr>
      <w:spacing w:before="240" w:after="60"/>
    </w:pPr>
    <w:rPr>
      <w:color w:val="918585"/>
      <w:sz w:val="22"/>
    </w:rPr>
  </w:style>
  <w:style w:type="paragraph" w:customStyle="1" w:styleId="SideHeading">
    <w:name w:val="Side Heading"/>
    <w:basedOn w:val="HeadingBase"/>
    <w:rsid w:val="00AA32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3252"/>
    <w:pPr>
      <w:numPr>
        <w:numId w:val="12"/>
      </w:numPr>
    </w:pPr>
  </w:style>
  <w:style w:type="paragraph" w:styleId="PlainText">
    <w:name w:val="Plain Text"/>
    <w:basedOn w:val="Normal"/>
    <w:link w:val="PlainTextChar"/>
    <w:rsid w:val="00AA3252"/>
    <w:rPr>
      <w:sz w:val="20"/>
    </w:rPr>
  </w:style>
  <w:style w:type="character" w:customStyle="1" w:styleId="PlainTextChar">
    <w:name w:val="Plain Text Char"/>
    <w:basedOn w:val="DefaultParagraphFont"/>
    <w:link w:val="PlainText"/>
    <w:rsid w:val="00AA32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3252"/>
    <w:rPr>
      <w:b/>
      <w:smallCaps/>
    </w:rPr>
  </w:style>
  <w:style w:type="paragraph" w:customStyle="1" w:styleId="TableListNumber">
    <w:name w:val="Table List Number"/>
    <w:basedOn w:val="ListNumber"/>
    <w:rsid w:val="00AA3252"/>
    <w:pPr>
      <w:numPr>
        <w:numId w:val="0"/>
      </w:numPr>
    </w:pPr>
  </w:style>
  <w:style w:type="paragraph" w:styleId="TOC4">
    <w:name w:val="toc 4"/>
    <w:basedOn w:val="TOCBase"/>
    <w:next w:val="Normal"/>
    <w:semiHidden/>
    <w:rsid w:val="00AA3252"/>
    <w:pPr>
      <w:tabs>
        <w:tab w:val="right" w:leader="dot" w:pos="9071"/>
      </w:tabs>
      <w:ind w:left="1701"/>
    </w:pPr>
  </w:style>
  <w:style w:type="paragraph" w:customStyle="1" w:styleId="ListAlpha">
    <w:name w:val="List Alpha"/>
    <w:basedOn w:val="List"/>
    <w:rsid w:val="00AA3252"/>
    <w:pPr>
      <w:numPr>
        <w:numId w:val="9"/>
      </w:numPr>
    </w:pPr>
  </w:style>
  <w:style w:type="paragraph" w:customStyle="1" w:styleId="ListAlpha2">
    <w:name w:val="List Alpha 2"/>
    <w:basedOn w:val="List2"/>
    <w:rsid w:val="00AA3252"/>
    <w:pPr>
      <w:numPr>
        <w:numId w:val="8"/>
      </w:numPr>
    </w:pPr>
  </w:style>
  <w:style w:type="paragraph" w:styleId="List2">
    <w:name w:val="List 2"/>
    <w:basedOn w:val="BodyText"/>
    <w:rsid w:val="00AA3252"/>
    <w:pPr>
      <w:tabs>
        <w:tab w:val="left" w:pos="680"/>
      </w:tabs>
      <w:spacing w:before="60" w:after="60"/>
      <w:ind w:left="680" w:hanging="340"/>
    </w:pPr>
  </w:style>
  <w:style w:type="paragraph" w:styleId="List3">
    <w:name w:val="List 3"/>
    <w:basedOn w:val="BodyText"/>
    <w:rsid w:val="00AA3252"/>
    <w:pPr>
      <w:tabs>
        <w:tab w:val="left" w:pos="1021"/>
      </w:tabs>
      <w:spacing w:before="60" w:after="60"/>
      <w:ind w:left="1020" w:hanging="340"/>
    </w:pPr>
  </w:style>
  <w:style w:type="paragraph" w:styleId="List4">
    <w:name w:val="List 4"/>
    <w:basedOn w:val="BodyText"/>
    <w:rsid w:val="00AA3252"/>
    <w:pPr>
      <w:tabs>
        <w:tab w:val="left" w:pos="1361"/>
      </w:tabs>
      <w:spacing w:before="60" w:after="60"/>
      <w:ind w:left="1361" w:hanging="340"/>
    </w:pPr>
  </w:style>
  <w:style w:type="paragraph" w:styleId="List5">
    <w:name w:val="List 5"/>
    <w:basedOn w:val="BodyText"/>
    <w:rsid w:val="00AA3252"/>
    <w:pPr>
      <w:tabs>
        <w:tab w:val="left" w:pos="1701"/>
      </w:tabs>
      <w:spacing w:before="60" w:after="60"/>
      <w:ind w:left="1701" w:hanging="340"/>
    </w:pPr>
  </w:style>
  <w:style w:type="paragraph" w:styleId="ListBullet3">
    <w:name w:val="List Bullet 3"/>
    <w:basedOn w:val="List3"/>
    <w:rsid w:val="00AA3252"/>
    <w:pPr>
      <w:numPr>
        <w:numId w:val="15"/>
      </w:numPr>
      <w:tabs>
        <w:tab w:val="clear" w:pos="1021"/>
      </w:tabs>
      <w:ind w:left="1037" w:hanging="357"/>
    </w:pPr>
  </w:style>
  <w:style w:type="paragraph" w:styleId="ListBullet4">
    <w:name w:val="List Bullet 4"/>
    <w:basedOn w:val="List4"/>
    <w:rsid w:val="00AA3252"/>
    <w:pPr>
      <w:numPr>
        <w:numId w:val="3"/>
      </w:numPr>
    </w:pPr>
  </w:style>
  <w:style w:type="paragraph" w:styleId="ListBullet5">
    <w:name w:val="List Bullet 5"/>
    <w:basedOn w:val="List5"/>
    <w:rsid w:val="00AA3252"/>
    <w:pPr>
      <w:numPr>
        <w:numId w:val="4"/>
      </w:numPr>
    </w:pPr>
  </w:style>
  <w:style w:type="paragraph" w:styleId="ListContinue2">
    <w:name w:val="List Continue 2"/>
    <w:basedOn w:val="List2"/>
    <w:rsid w:val="00AA3252"/>
    <w:pPr>
      <w:ind w:firstLine="0"/>
    </w:pPr>
  </w:style>
  <w:style w:type="paragraph" w:styleId="ListContinue3">
    <w:name w:val="List Continue 3"/>
    <w:basedOn w:val="List3"/>
    <w:rsid w:val="00AA3252"/>
    <w:pPr>
      <w:ind w:left="1021" w:firstLine="0"/>
    </w:pPr>
  </w:style>
  <w:style w:type="paragraph" w:styleId="ListContinue4">
    <w:name w:val="List Continue 4"/>
    <w:basedOn w:val="List4"/>
    <w:rsid w:val="00AA3252"/>
    <w:pPr>
      <w:ind w:firstLine="0"/>
    </w:pPr>
  </w:style>
  <w:style w:type="paragraph" w:styleId="ListContinue5">
    <w:name w:val="List Continue 5"/>
    <w:basedOn w:val="List5"/>
    <w:rsid w:val="00AA3252"/>
    <w:pPr>
      <w:ind w:firstLine="0"/>
    </w:pPr>
  </w:style>
  <w:style w:type="paragraph" w:styleId="ListNumber3">
    <w:name w:val="List Number 3"/>
    <w:basedOn w:val="List3"/>
    <w:rsid w:val="00AA3252"/>
    <w:pPr>
      <w:numPr>
        <w:numId w:val="5"/>
      </w:numPr>
    </w:pPr>
  </w:style>
  <w:style w:type="paragraph" w:styleId="ListNumber4">
    <w:name w:val="List Number 4"/>
    <w:basedOn w:val="List4"/>
    <w:rsid w:val="00AA3252"/>
    <w:pPr>
      <w:numPr>
        <w:numId w:val="6"/>
      </w:numPr>
    </w:pPr>
  </w:style>
  <w:style w:type="paragraph" w:styleId="ListNumber5">
    <w:name w:val="List Number 5"/>
    <w:basedOn w:val="List5"/>
    <w:rsid w:val="00AA3252"/>
    <w:pPr>
      <w:numPr>
        <w:numId w:val="7"/>
      </w:numPr>
    </w:pPr>
  </w:style>
  <w:style w:type="paragraph" w:styleId="BlockText">
    <w:name w:val="Block Text"/>
    <w:basedOn w:val="Normal"/>
    <w:rsid w:val="00AA3252"/>
    <w:pPr>
      <w:spacing w:after="120"/>
      <w:ind w:left="1440" w:right="1440"/>
    </w:pPr>
  </w:style>
  <w:style w:type="character" w:customStyle="1" w:styleId="Subscript">
    <w:name w:val="Subscript"/>
    <w:basedOn w:val="DefaultParagraphFont"/>
    <w:rsid w:val="00AA3252"/>
    <w:rPr>
      <w:sz w:val="16"/>
      <w:vertAlign w:val="subscript"/>
    </w:rPr>
  </w:style>
  <w:style w:type="character" w:customStyle="1" w:styleId="Superscript">
    <w:name w:val="Superscript"/>
    <w:basedOn w:val="DefaultParagraphFont"/>
    <w:rsid w:val="00AA3252"/>
    <w:rPr>
      <w:sz w:val="16"/>
      <w:vertAlign w:val="superscript"/>
    </w:rPr>
  </w:style>
  <w:style w:type="character" w:customStyle="1" w:styleId="Symbols">
    <w:name w:val="Symbols"/>
    <w:basedOn w:val="DefaultParagraphFont"/>
    <w:rsid w:val="00AA3252"/>
    <w:rPr>
      <w:rFonts w:ascii="Symbol" w:hAnsi="Symbol"/>
    </w:rPr>
  </w:style>
  <w:style w:type="character" w:customStyle="1" w:styleId="MenuOptions">
    <w:name w:val="Menu Options"/>
    <w:basedOn w:val="DefaultParagraphFont"/>
    <w:rsid w:val="00AA3252"/>
    <w:rPr>
      <w:rFonts w:ascii="Arial Narrow" w:hAnsi="Arial Narrow"/>
      <w:smallCaps/>
    </w:rPr>
  </w:style>
  <w:style w:type="character" w:customStyle="1" w:styleId="Buttons">
    <w:name w:val="Buttons"/>
    <w:basedOn w:val="DefaultParagraphFont"/>
    <w:rsid w:val="00AA3252"/>
    <w:rPr>
      <w:b/>
    </w:rPr>
  </w:style>
  <w:style w:type="character" w:customStyle="1" w:styleId="Underlined">
    <w:name w:val="Underlined"/>
    <w:basedOn w:val="DefaultParagraphFont"/>
    <w:rsid w:val="00AA3252"/>
    <w:rPr>
      <w:u w:val="single"/>
    </w:rPr>
  </w:style>
  <w:style w:type="paragraph" w:customStyle="1" w:styleId="TableBodyTextRight">
    <w:name w:val="Table Body Text Right"/>
    <w:basedOn w:val="TableBodyText"/>
    <w:rsid w:val="00AA3252"/>
    <w:pPr>
      <w:widowControl w:val="0"/>
      <w:autoSpaceDE w:val="0"/>
      <w:autoSpaceDN w:val="0"/>
      <w:adjustRightInd w:val="0"/>
      <w:jc w:val="right"/>
    </w:pPr>
    <w:rPr>
      <w:rFonts w:cs="Arial"/>
      <w:szCs w:val="18"/>
    </w:rPr>
  </w:style>
  <w:style w:type="paragraph" w:customStyle="1" w:styleId="CopyrightText">
    <w:name w:val="Copyright Text"/>
    <w:basedOn w:val="BodyText"/>
    <w:rsid w:val="00AA3252"/>
    <w:rPr>
      <w:sz w:val="18"/>
    </w:rPr>
  </w:style>
  <w:style w:type="paragraph" w:customStyle="1" w:styleId="BodySmallRight">
    <w:name w:val="Body Small Right"/>
    <w:basedOn w:val="BodyTextRight"/>
    <w:rsid w:val="00AA3252"/>
    <w:rPr>
      <w:sz w:val="18"/>
      <w:szCs w:val="18"/>
    </w:rPr>
  </w:style>
  <w:style w:type="paragraph" w:customStyle="1" w:styleId="MarginEdition">
    <w:name w:val="Margin Edition"/>
    <w:basedOn w:val="MarginNote"/>
    <w:rsid w:val="00AA3252"/>
    <w:pPr>
      <w:spacing w:before="0" w:after="0"/>
    </w:pPr>
    <w:rPr>
      <w:rFonts w:ascii="Times New Roman" w:hAnsi="Times New Roman"/>
      <w:color w:val="999999"/>
    </w:rPr>
  </w:style>
  <w:style w:type="paragraph" w:customStyle="1" w:styleId="Spacer">
    <w:name w:val="Spacer"/>
    <w:basedOn w:val="Normal"/>
    <w:rsid w:val="00AA3252"/>
    <w:rPr>
      <w:sz w:val="2"/>
      <w:szCs w:val="2"/>
    </w:rPr>
  </w:style>
  <w:style w:type="character" w:customStyle="1" w:styleId="Small">
    <w:name w:val="Small"/>
    <w:basedOn w:val="DefaultParagraphFont"/>
    <w:rsid w:val="00AA3252"/>
    <w:rPr>
      <w:sz w:val="16"/>
    </w:rPr>
  </w:style>
  <w:style w:type="paragraph" w:customStyle="1" w:styleId="WideTable">
    <w:name w:val="Wide Table"/>
    <w:basedOn w:val="Normal"/>
    <w:rsid w:val="00AA3252"/>
    <w:pPr>
      <w:ind w:left="-1418"/>
    </w:pPr>
    <w:rPr>
      <w:sz w:val="2"/>
      <w:szCs w:val="2"/>
    </w:rPr>
  </w:style>
  <w:style w:type="character" w:styleId="PageNumber">
    <w:name w:val="page number"/>
    <w:basedOn w:val="DefaultParagraphFont"/>
    <w:rsid w:val="00AA3252"/>
  </w:style>
  <w:style w:type="paragraph" w:styleId="Quote">
    <w:name w:val="Quote"/>
    <w:basedOn w:val="Heading1"/>
    <w:link w:val="QuoteChar"/>
    <w:qFormat/>
    <w:rsid w:val="00AA3252"/>
    <w:rPr>
      <w:b w:val="0"/>
      <w:sz w:val="72"/>
      <w:szCs w:val="72"/>
      <w:lang w:val="en-NZ"/>
    </w:rPr>
  </w:style>
  <w:style w:type="character" w:customStyle="1" w:styleId="QuoteChar">
    <w:name w:val="Quote Char"/>
    <w:basedOn w:val="DefaultParagraphFont"/>
    <w:link w:val="Quote"/>
    <w:rsid w:val="00AA32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3252"/>
    <w:pPr>
      <w:pageBreakBefore/>
    </w:pPr>
  </w:style>
  <w:style w:type="paragraph" w:customStyle="1" w:styleId="Border">
    <w:name w:val="Border"/>
    <w:basedOn w:val="Normal"/>
    <w:qFormat/>
    <w:rsid w:val="00AA32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3252"/>
    <w:rPr>
      <w:b/>
      <w:bCs/>
      <w:i/>
      <w:iCs/>
      <w:color w:val="auto"/>
    </w:rPr>
  </w:style>
  <w:style w:type="paragraph" w:styleId="IntenseQuote">
    <w:name w:val="Intense Quote"/>
    <w:basedOn w:val="Normal"/>
    <w:next w:val="Normal"/>
    <w:link w:val="IntenseQuoteChar"/>
    <w:uiPriority w:val="30"/>
    <w:qFormat/>
    <w:rsid w:val="00AA32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32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3252"/>
    <w:rPr>
      <w:smallCaps/>
      <w:color w:val="auto"/>
      <w:u w:val="single"/>
    </w:rPr>
  </w:style>
  <w:style w:type="character" w:styleId="IntenseReference">
    <w:name w:val="Intense Reference"/>
    <w:basedOn w:val="DefaultParagraphFont"/>
    <w:uiPriority w:val="32"/>
    <w:qFormat/>
    <w:rsid w:val="00AA3252"/>
    <w:rPr>
      <w:b/>
      <w:bCs/>
      <w:smallCaps/>
      <w:color w:val="auto"/>
      <w:spacing w:val="5"/>
      <w:u w:val="single"/>
    </w:rPr>
  </w:style>
  <w:style w:type="paragraph" w:customStyle="1" w:styleId="2ColumnHeading">
    <w:name w:val="2Column Heading"/>
    <w:basedOn w:val="BodyText"/>
    <w:qFormat/>
    <w:rsid w:val="00AA3252"/>
    <w:pPr>
      <w:spacing w:after="60"/>
      <w:ind w:left="-2268"/>
    </w:pPr>
    <w:rPr>
      <w:b/>
    </w:rPr>
  </w:style>
  <w:style w:type="paragraph" w:customStyle="1" w:styleId="Heading1TOC">
    <w:name w:val="Heading1 TOC"/>
    <w:basedOn w:val="Normal"/>
    <w:qFormat/>
    <w:rsid w:val="00AA3252"/>
    <w:pPr>
      <w:spacing w:before="240" w:after="120"/>
    </w:pPr>
    <w:rPr>
      <w:rFonts w:ascii="Times New Roman" w:hAnsi="Times New Roman"/>
      <w:b/>
      <w:sz w:val="32"/>
    </w:rPr>
  </w:style>
  <w:style w:type="paragraph" w:customStyle="1" w:styleId="Heading2TOC">
    <w:name w:val="Heading2 TOC"/>
    <w:basedOn w:val="Normal"/>
    <w:qFormat/>
    <w:rsid w:val="00AA3252"/>
    <w:pPr>
      <w:spacing w:before="240" w:after="60"/>
    </w:pPr>
    <w:rPr>
      <w:rFonts w:ascii="Times New Roman" w:hAnsi="Times New Roman"/>
      <w:b/>
      <w:sz w:val="28"/>
    </w:rPr>
  </w:style>
  <w:style w:type="character" w:customStyle="1" w:styleId="Underline">
    <w:name w:val="Underline"/>
    <w:basedOn w:val="DefaultParagraphFont"/>
    <w:qFormat/>
    <w:rsid w:val="00AA3252"/>
    <w:rPr>
      <w:u w:val="single"/>
    </w:rPr>
  </w:style>
  <w:style w:type="character" w:customStyle="1" w:styleId="BoldandItalics">
    <w:name w:val="Bold and Italics"/>
    <w:qFormat/>
    <w:rsid w:val="00AA3252"/>
    <w:rPr>
      <w:b/>
      <w:i/>
      <w:u w:val="none"/>
    </w:rPr>
  </w:style>
  <w:style w:type="paragraph" w:styleId="BalloonText">
    <w:name w:val="Balloon Text"/>
    <w:basedOn w:val="Normal"/>
    <w:link w:val="BalloonTextChar"/>
    <w:rsid w:val="00AA3252"/>
    <w:rPr>
      <w:rFonts w:ascii="Tahoma" w:hAnsi="Tahoma" w:cs="Tahoma"/>
      <w:sz w:val="16"/>
      <w:szCs w:val="16"/>
    </w:rPr>
  </w:style>
  <w:style w:type="character" w:customStyle="1" w:styleId="BalloonTextChar">
    <w:name w:val="Balloon Text Char"/>
    <w:basedOn w:val="DefaultParagraphFont"/>
    <w:link w:val="BalloonText"/>
    <w:rsid w:val="00AA32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32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32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2436</Words>
  <Characters>14677</Characters>
  <Application>Microsoft Office Word</Application>
  <DocSecurity>0</DocSecurity>
  <Lines>555</Lines>
  <Paragraphs>233</Paragraphs>
  <ScaleCrop>false</ScaleCrop>
  <Company>Author-it Software Corporation Ltd.</Company>
  <LinksUpToDate>false</LinksUpToDate>
  <CharactersWithSpaces>16935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UETTDRIS69A Diagnose and rectify faults in energy supply apparatus</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2012-05-26T12:14:00Z</dcterms:created>
  <dcterms:modified xsi:type="dcterms:W3CDTF">2012-05-26T12:14:00Z</dcterms:modified>
</cp:coreProperties>
</file>