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0E4" w:rsidP="00F400E4">
      <w:pPr>
        <w:pStyle w:val="Title"/>
      </w:pPr>
      <w:r>
        <w:fldChar w:fldCharType="begin"/>
      </w:r>
      <w:r>
        <w:instrText xml:space="preserve"> TITLE   \* MERGEFORMAT </w:instrText>
      </w:r>
      <w:r>
        <w:fldChar w:fldCharType="separate"/>
      </w:r>
      <w:r>
        <w:t>UETTDRIS67A Solve problems in energy supply network equipment</w:t>
      </w:r>
      <w:r>
        <w:fldChar w:fldCharType="end"/>
      </w:r>
    </w:p>
    <w:p w:rsidR="00F400E4" w:rsidP="00F400E4">
      <w:pPr>
        <w:pStyle w:val="Version"/>
        <w:sectPr w:rsidSect="00207C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C13" w:rsidP="00207C13">
      <w:pPr>
        <w:pStyle w:val="SuperHeading"/>
      </w:pPr>
      <w:r w:rsidRPr="00207C13">
        <w:t>UETTDRIS67A Solve problems in energy supply network equipment</w:t>
      </w:r>
    </w:p>
    <w:p w:rsidR="00000000" w:rsidRPr="00207C13" w:rsidP="00207C13">
      <w:pPr>
        <w:pStyle w:val="Heading1"/>
      </w:pPr>
      <w:bookmarkStart w:id="1" w:name="O_462983"/>
      <w:bookmarkEnd w:id="1"/>
      <w:r w:rsidRPr="00207C13">
        <w:t>Modification History</w:t>
      </w:r>
    </w:p>
    <w:p w:rsidR="00000000" w:rsidRPr="00207C13" w:rsidP="00207C13">
      <w:pPr>
        <w:pStyle w:val="BodyText"/>
      </w:pPr>
      <w:r w:rsidRPr="00207C13">
        <w:t>Not applicable.</w:t>
      </w:r>
    </w:p>
    <w:p w:rsidR="00000000" w:rsidRPr="00207C13" w:rsidP="00207C13">
      <w:pPr>
        <w:pStyle w:val="AllowPageBreak"/>
      </w:pPr>
    </w:p>
    <w:p w:rsidR="00000000" w:rsidRPr="00207C13" w:rsidP="00207C13">
      <w:pPr>
        <w:pStyle w:val="Heading1"/>
      </w:pPr>
      <w:bookmarkStart w:id="2" w:name="O_462981"/>
      <w:bookmarkEnd w:id="2"/>
      <w:r w:rsidRPr="00207C13">
        <w:t>Unit Descriptor</w:t>
      </w:r>
    </w:p>
    <w:tbl>
      <w:tblPr>
        <w:tblW w:w="0" w:type="auto"/>
        <w:tblLayout w:type="fixed"/>
        <w:tblCellMar>
          <w:left w:w="62" w:type="dxa"/>
          <w:right w:w="62" w:type="dxa"/>
        </w:tblCellMar>
        <w:tblLook w:val="0000"/>
      </w:tblPr>
      <w:tblGrid>
        <w:gridCol w:w="2700"/>
        <w:gridCol w:w="5760"/>
      </w:tblGrid>
      <w:tr w:rsidTr="00F400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1)</w:t>
            </w:r>
            <w:r w:rsidRPr="00207C13">
              <w:t xml:space="preserve"> </w:t>
            </w:r>
            <w:r w:rsidRPr="00207C13">
              <w:rPr>
                <w:rStyle w:val="SpecialBold"/>
              </w:rPr>
              <w:t>Scope:</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7C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1.1) Descriptor</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This unit covers determining correct operation of energy supply network electrical equipment and providing solutions as they apply to energy supply network electrical equipment.. It encompasses working safely, reading circuit and reticulation diagrams, app</w:t>
            </w:r>
            <w:r w:rsidRPr="00207C13">
              <w:t>lying logical problem solving processes from measurements and completing the necessary documentation.</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3" w:name="O_462970"/>
      <w:bookmarkEnd w:id="3"/>
      <w:r w:rsidRPr="00207C13">
        <w:t>Application of the Unit</w:t>
      </w:r>
    </w:p>
    <w:tbl>
      <w:tblPr>
        <w:tblW w:w="0" w:type="auto"/>
        <w:tblLayout w:type="fixed"/>
        <w:tblCellMar>
          <w:left w:w="62" w:type="dxa"/>
          <w:right w:w="62" w:type="dxa"/>
        </w:tblCellMar>
        <w:tblLook w:val="0000"/>
      </w:tblPr>
      <w:tblGrid>
        <w:gridCol w:w="2672"/>
        <w:gridCol w:w="5699"/>
      </w:tblGrid>
      <w:tr w:rsidTr="00F400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2)</w:t>
            </w:r>
          </w:p>
        </w:tc>
      </w:tr>
      <w:tr w:rsidTr="00F400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This unit is intended as an additional competency to relevant competencies previously acquired and is therefore not applicable to those entering work.</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4" w:name="O_462977"/>
      <w:bookmarkEnd w:id="4"/>
      <w:r w:rsidRPr="00207C13">
        <w:t>Licensing/Regulatory Information</w:t>
      </w:r>
    </w:p>
    <w:tbl>
      <w:tblPr>
        <w:tblW w:w="0" w:type="auto"/>
        <w:tblLayout w:type="fixed"/>
        <w:tblCellMar>
          <w:left w:w="62" w:type="dxa"/>
          <w:right w:w="62" w:type="dxa"/>
        </w:tblCellMar>
        <w:tblLook w:val="0000"/>
      </w:tblPr>
      <w:tblGrid>
        <w:gridCol w:w="2700"/>
        <w:gridCol w:w="5760"/>
      </w:tblGrid>
      <w:tr w:rsidTr="00F400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 xml:space="preserve">3) </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The skills and knowledge de</w:t>
            </w:r>
            <w:r w:rsidRPr="00207C13">
              <w:t>scribed in this unit require a license to practice in the work place subject to regulations for undertaking of electrical work. Practice in workplace and during training is also subject to regulations directly related to occupational health and safe and co</w:t>
            </w:r>
            <w:r w:rsidRPr="00207C13">
              <w:t>ntracts of training such as new apprenticeships.</w:t>
            </w:r>
          </w:p>
          <w:p w:rsidR="00000000" w:rsidRPr="00207C13" w:rsidP="00207C13">
            <w:pPr>
              <w:pStyle w:val="BodyText"/>
            </w:pPr>
            <w:r w:rsidRPr="00207C13">
              <w:t>Note:</w:t>
            </w:r>
          </w:p>
          <w:p w:rsidR="00000000" w:rsidRPr="00207C13" w:rsidP="00207C13">
            <w:pPr>
              <w:pStyle w:val="BodyText"/>
            </w:pPr>
            <w:r w:rsidRPr="00207C13">
              <w:t xml:space="preserve">1. Compliance with permits may be required in various jurisdictions and typically relates to the operation of plant, </w:t>
            </w:r>
            <w:r w:rsidRPr="00207C13">
              <w:t>machinery and equipment such as elevating work platforms, powder operated fixing too</w:t>
            </w:r>
            <w:r w:rsidRPr="00207C13">
              <w:t>ls, power operated tools, vehicles, road signage and traffic control and lifting equipment. Permits may also be required for some work environments such as confined spaces, working aloft, near live electrical apparatus and site rehabilitation.</w:t>
            </w:r>
          </w:p>
          <w:p w:rsidR="00000000" w:rsidRPr="00207C13" w:rsidP="00207C13">
            <w:pPr>
              <w:pStyle w:val="BodyText"/>
            </w:pPr>
            <w:r w:rsidRPr="00207C13">
              <w:t>2. Complianc</w:t>
            </w:r>
            <w:r w:rsidRPr="00207C13">
              <w:t>e may be required in various jurisdictions relating to currency in First Aid, confined space, lifting and risk safety measures.</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5" w:name="O_462978"/>
      <w:bookmarkEnd w:id="5"/>
      <w:r w:rsidRPr="00207C13">
        <w:t>Pre-Requisites</w:t>
      </w:r>
    </w:p>
    <w:tbl>
      <w:tblPr>
        <w:tblW w:w="0" w:type="auto"/>
        <w:tblLayout w:type="fixed"/>
        <w:tblCellMar>
          <w:left w:w="62" w:type="dxa"/>
          <w:right w:w="62" w:type="dxa"/>
        </w:tblCellMar>
        <w:tblLook w:val="0000"/>
      </w:tblPr>
      <w:tblGrid>
        <w:gridCol w:w="2700"/>
        <w:gridCol w:w="1890"/>
        <w:gridCol w:w="3870"/>
      </w:tblGrid>
      <w:tr w:rsidTr="00F400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 xml:space="preserve">4) </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4.1)</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Granting of competency in this unit shall be made only after competency in the following unit(s) has/have been confirmed.</w:t>
            </w:r>
          </w:p>
          <w:p w:rsidR="00000000" w:rsidRPr="00207C13" w:rsidP="00207C13">
            <w:pPr>
              <w:pStyle w:val="BodyText"/>
            </w:pPr>
            <w:r w:rsidRPr="00207C13">
              <w:t xml:space="preserve">Where pre-requisite pathways have been identified. All competencies in the Common Unit Group must be have been completed plus all the </w:t>
            </w:r>
            <w:r w:rsidRPr="00207C13">
              <w:t>competencies in one (1) of the identified Pathway Unit Group(s):</w:t>
            </w:r>
          </w:p>
          <w:p w:rsidR="00000000" w:rsidP="00207C13">
            <w:pPr>
              <w:pStyle w:val="BodyText"/>
              <w:rPr>
                <w:lang w:val="en-NZ"/>
              </w:rPr>
            </w:pPr>
            <w:r w:rsidRPr="00207C13">
              <w:t>Common Unit Group</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Unit Code</w:t>
            </w:r>
          </w:p>
        </w:tc>
        <w:tc>
          <w:tcPr>
            <w:tcW w:w="387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Unit Title</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Apply Occupational Health and Safety regulations, codes and practices in the workplace</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UEENEEE102A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Fabricate, assemble and dismantle utilities industry components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UEENEEE104A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Solve problems in d.c. Circuits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UEENEEE105A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Fix and secure electrotechnology equipment</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UEENEEE107A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Use drawings, diagrams, schedules, standards, codes and specifications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w:t>
            </w:r>
            <w:r w:rsidRPr="00207C13">
              <w:t>ENEEG101A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 xml:space="preserve">Solve problems in electromagnetic </w:t>
            </w:r>
            <w:r w:rsidRPr="00207C13">
              <w:t>devices and related circuits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UEENEEG102A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Solve problems in low voltage a.c. Circuits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UEENEEG006A</w:t>
            </w:r>
          </w:p>
        </w:tc>
        <w:tc>
          <w:tcPr>
            <w:tcW w:w="387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Solve problems in single and three phase low voltage machines</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207C13">
            <w:pPr>
              <w:pStyle w:val="BodyText"/>
              <w:rPr>
                <w:lang w:val="en-NZ"/>
              </w:rPr>
            </w:pPr>
            <w:r w:rsidRPr="00207C13">
              <w:t>UEENEEG106A</w:t>
            </w:r>
          </w:p>
        </w:tc>
        <w:tc>
          <w:tcPr>
            <w:tcW w:w="3870" w:type="dxa"/>
            <w:tcBorders>
              <w:top w:val="nil"/>
              <w:left w:val="nil"/>
              <w:bottom w:val="nil"/>
              <w:right w:val="nil"/>
            </w:tcBorders>
            <w:tcMar>
              <w:top w:w="0" w:type="dxa"/>
              <w:left w:w="62" w:type="dxa"/>
              <w:bottom w:w="0" w:type="dxa"/>
              <w:right w:w="62" w:type="dxa"/>
            </w:tcMar>
            <w:vAlign w:val="center"/>
          </w:tcPr>
          <w:p w:rsidR="00000000" w:rsidRPr="00207C13" w:rsidP="00207C13">
            <w:pPr>
              <w:pStyle w:val="BodyText"/>
            </w:pPr>
            <w:r w:rsidRPr="00207C13">
              <w:t>Terminate cables, cords and accessories for low voltage circuits</w:t>
            </w:r>
          </w:p>
        </w:tc>
      </w:tr>
    </w:tbl>
    <w:p w:rsidR="00000000" w:rsidRPr="00207C13" w:rsidP="00207C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400E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 xml:space="preserve">4.2) </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Participants are best equipped to achieve competency in this unit if they have reading, writing and numeracy skills indicated by the following </w:t>
            </w:r>
            <w:r w:rsidRPr="00207C13">
              <w:t>scales. Description of each scale is given in Volume 2, Part 3 ‘Literacy and Numeracy’</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Reading</w:t>
            </w:r>
          </w:p>
        </w:tc>
        <w:tc>
          <w:tcPr>
            <w:tcW w:w="81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4</w:t>
            </w:r>
          </w:p>
        </w:tc>
        <w:tc>
          <w:tcPr>
            <w:tcW w:w="99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Writing</w:t>
            </w:r>
          </w:p>
        </w:tc>
        <w:tc>
          <w:tcPr>
            <w:tcW w:w="90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4</w:t>
            </w:r>
          </w:p>
        </w:tc>
        <w:tc>
          <w:tcPr>
            <w:tcW w:w="12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Numeracy</w:t>
            </w:r>
          </w:p>
        </w:tc>
        <w:tc>
          <w:tcPr>
            <w:tcW w:w="72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4</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6" w:name="O_462974"/>
      <w:bookmarkEnd w:id="6"/>
      <w:r w:rsidRPr="00207C13">
        <w:t>Employability Skills Information</w:t>
      </w:r>
    </w:p>
    <w:tbl>
      <w:tblPr>
        <w:tblW w:w="0" w:type="auto"/>
        <w:tblLayout w:type="fixed"/>
        <w:tblCellMar>
          <w:left w:w="62" w:type="dxa"/>
          <w:right w:w="62" w:type="dxa"/>
        </w:tblCellMar>
        <w:tblLook w:val="0000"/>
      </w:tblPr>
      <w:tblGrid>
        <w:gridCol w:w="2700"/>
        <w:gridCol w:w="5760"/>
      </w:tblGrid>
      <w:tr w:rsidTr="00F400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 xml:space="preserve">5) </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07C13">
              <w:t>requirements.</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7" w:name="O_462973"/>
      <w:bookmarkEnd w:id="7"/>
      <w:r w:rsidRPr="00207C13">
        <w:t>Elements and Performance Criteria Pre-Content</w:t>
      </w:r>
    </w:p>
    <w:tbl>
      <w:tblPr>
        <w:tblW w:w="0" w:type="auto"/>
        <w:tblLayout w:type="fixed"/>
        <w:tblCellMar>
          <w:left w:w="62" w:type="dxa"/>
          <w:right w:w="62" w:type="dxa"/>
        </w:tblCellMar>
        <w:tblLook w:val="0000"/>
      </w:tblPr>
      <w:tblGrid>
        <w:gridCol w:w="2700"/>
        <w:gridCol w:w="5760"/>
      </w:tblGrid>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6)</w:t>
            </w:r>
            <w:r w:rsidRPr="00207C1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Performance Criteria describe the required performance needed to demonstrate achievement of the element. Assessment of performance is to be consistent with the Evidence Guide.</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8" w:name="O_462972"/>
      <w:bookmarkEnd w:id="8"/>
      <w:r w:rsidRPr="00207C13">
        <w:t>Elements and Performance Criteria</w:t>
      </w:r>
    </w:p>
    <w:tbl>
      <w:tblPr>
        <w:tblW w:w="0" w:type="auto"/>
        <w:tblLayout w:type="fixed"/>
        <w:tblCellMar>
          <w:left w:w="62" w:type="dxa"/>
          <w:right w:w="62" w:type="dxa"/>
        </w:tblCellMar>
        <w:tblLook w:val="0000"/>
      </w:tblPr>
      <w:tblGrid>
        <w:gridCol w:w="408"/>
        <w:gridCol w:w="2292"/>
        <w:gridCol w:w="761"/>
        <w:gridCol w:w="4999"/>
      </w:tblGrid>
      <w:tr w:rsidTr="00F400E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PERFORMANCE CRITER</w:t>
            </w:r>
            <w:r w:rsidRPr="00207C13">
              <w:rPr>
                <w:rStyle w:val="SpecialBold"/>
              </w:rPr>
              <w:t>IA</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w:t>
            </w:r>
          </w:p>
        </w:tc>
        <w:tc>
          <w:tcPr>
            <w:tcW w:w="2292" w:type="dxa"/>
            <w:vMerge w:val="restart"/>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Prepare to solve problems in energy supply network equipment.</w:t>
            </w: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1.1</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OHS procedures for a given work area are identified, obtained and understood. </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1.2</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OHS risk control measures and procedures in preparation for the work are followed.</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1.3</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The likely extent of work to be undertaken is envisaged from reports and/or discussions with appropriate person(s).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1.4</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Advice is sought from the work supervisor to ensure the work is coordinated effectively with others. </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1.5</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Sources of materials tha</w:t>
            </w:r>
            <w:r w:rsidRPr="00207C13">
              <w:t>t may be required for the work are established in accordance with established procedures.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1.6</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Tools, equipment and testing devices needed to take measurements are obtained in accordance with established procedures and checked for correct </w:t>
            </w:r>
            <w:r w:rsidRPr="00207C13">
              <w:t>operation and safety.</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w:t>
            </w:r>
          </w:p>
        </w:tc>
        <w:tc>
          <w:tcPr>
            <w:tcW w:w="2292" w:type="dxa"/>
            <w:vMerge w:val="restart"/>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Solve problems in energy supply network equipment.</w:t>
            </w: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2.1</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OHS risk control measures and procedures for carrying out the work are followed.</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2.2</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The need to test or measure live is determined in strict accordance with OHS requirement</w:t>
            </w:r>
            <w:r w:rsidRPr="00207C13">
              <w:t>s and when necessary conducted within established safety procedures.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2.3</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Circuits/machines/plant are checked as being isolated where necessary in strict accordance OHS requirements and procedures.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2.4</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Safety hazards resulting from the reports and risk control measures devised and implemented in consultation with appropriate personnel.</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2.5</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Problem solving is approached methodically drawing on knowledge of energy network equipment using measured and ca</w:t>
            </w:r>
            <w:r w:rsidRPr="00207C13">
              <w:t>lculated values of circuit/apparatus parameters.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2.6</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Circuit/apparatus components are dismantled where necessary and parts stored to protect them </w:t>
            </w:r>
            <w:r w:rsidRPr="00207C13">
              <w:t>against loss or damage</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2.7</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Circuits/components are rechecked and their operational status is confirmed.</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2.8</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Materials/replacement parts required to solve problems are sourced and obtained in accordance with established procedures.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2.9</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Effectiveness of the repair is tested in accordance with established procedures.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2.10</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Apparatus is reassembled, finally tested and prepared for return to service.</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2.11</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Unexpected situations are dealt with safely and with the approval of an authorised person.</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2.12</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Problem solving activities are carried out without damage to apparatus, </w:t>
            </w:r>
            <w:r w:rsidRPr="00207C13">
              <w:t>circuits, the surrounding environment or services and using sustainable energy practices.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3</w:t>
            </w:r>
          </w:p>
        </w:tc>
        <w:tc>
          <w:tcPr>
            <w:tcW w:w="2292" w:type="dxa"/>
            <w:vMerge w:val="restart"/>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Completion and report for problem solving in energy supply network equipment</w:t>
            </w: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3.1</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OHS work completion risk control measures and procedures are followed.</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3.2</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Reusable, faulty or worn components are tagged and dispatched for repair to maintain adequate spares.</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3.3</w:t>
            </w:r>
          </w:p>
        </w:tc>
        <w:tc>
          <w:tcPr>
            <w:tcW w:w="499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 xml:space="preserve">Maintenance work activities are documented in accordance with established procedures. </w:t>
            </w:r>
          </w:p>
        </w:tc>
      </w:tr>
      <w:tr w:rsidTr="00F400E4">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99"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Note.</w:t>
            </w:r>
            <w:r w:rsidRPr="00207C13">
              <w:br/>
              <w:t>Examples of documentation are component, test resu</w:t>
            </w:r>
            <w:r w:rsidRPr="00207C13">
              <w:t>lts, authorisations, permits, and parts/component dispatch and stores records.</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9" w:name="O_462980"/>
      <w:bookmarkEnd w:id="9"/>
      <w:r w:rsidRPr="00207C13">
        <w:t>Required Skills and Knowledge</w:t>
      </w:r>
    </w:p>
    <w:tbl>
      <w:tblPr>
        <w:tblW w:w="0" w:type="auto"/>
        <w:tblLayout w:type="fixed"/>
        <w:tblCellMar>
          <w:left w:w="62" w:type="dxa"/>
          <w:right w:w="62" w:type="dxa"/>
        </w:tblCellMar>
        <w:tblLook w:val="0000"/>
      </w:tblPr>
      <w:tblGrid>
        <w:gridCol w:w="8460"/>
      </w:tblGrid>
      <w:tr w:rsidTr="00F400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REQUIRED SKILLS AND KNOWLEDGE</w:t>
            </w:r>
          </w:p>
        </w:tc>
      </w:tr>
      <w:tr w:rsidTr="00F400E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8)</w:t>
            </w:r>
            <w:r w:rsidRPr="00207C13">
              <w:t xml:space="preserve"> This describes the essential skills and knowledge and their level, required for this unit.</w:t>
            </w:r>
          </w:p>
          <w:p w:rsidR="00000000" w:rsidRPr="00207C13" w:rsidP="00207C13">
            <w:pPr>
              <w:pStyle w:val="BodyText"/>
            </w:pPr>
            <w:r w:rsidRPr="00207C13">
              <w:t>Evidence shall show that knowledge has been acquired of safe working practices and solving problems in energy supply network equipment in energy supply network equipment.</w:t>
            </w:r>
          </w:p>
          <w:p w:rsidR="00000000" w:rsidRPr="00207C13" w:rsidP="00207C13">
            <w:pPr>
              <w:pStyle w:val="BodyText"/>
            </w:pPr>
            <w:r w:rsidRPr="00207C13">
              <w:t>All knowledge and skills detailed in this unit should be contextualised to current in</w:t>
            </w:r>
            <w:r w:rsidRPr="00207C13">
              <w:t>dustry practices and technologies.</w:t>
            </w:r>
          </w:p>
          <w:p w:rsidR="00000000" w:rsidRPr="00207C13" w:rsidP="00207C13">
            <w:pPr>
              <w:pStyle w:val="BodyText"/>
            </w:pPr>
            <w:r w:rsidRPr="00207C13">
              <w:t>KS01-TIS67A</w:t>
            </w:r>
            <w:r w:rsidRPr="00207C13">
              <w:tab/>
              <w:t>Electricity supply and reticulation</w:t>
            </w:r>
          </w:p>
          <w:p w:rsidR="00000000" w:rsidRPr="00207C13" w:rsidP="00207C13">
            <w:pPr>
              <w:pStyle w:val="BodyText"/>
            </w:pPr>
            <w:r w:rsidRPr="00207C13">
              <w:t>Evidence shall show an understanding of electricity supply and reticulation systems to an extent indicated by the following aspects:</w:t>
            </w:r>
          </w:p>
          <w:p w:rsidR="00000000" w:rsidRPr="00207C13" w:rsidP="00207C13">
            <w:pPr>
              <w:pStyle w:val="BodyText"/>
            </w:pPr>
            <w:r w:rsidRPr="00207C13">
              <w:t>T1</w:t>
            </w:r>
            <w:r w:rsidRPr="00207C13">
              <w:tab/>
              <w:t>Generation encompassing:</w:t>
            </w:r>
          </w:p>
          <w:p w:rsidR="00000000" w:rsidRPr="00207C13" w:rsidP="00207C13">
            <w:pPr>
              <w:pStyle w:val="ListBullet"/>
            </w:pPr>
            <w:r w:rsidRPr="00207C13">
              <w:t>primary ene</w:t>
            </w:r>
            <w:r w:rsidRPr="00207C13">
              <w:t>rgy sources</w:t>
            </w:r>
          </w:p>
          <w:p w:rsidR="00000000" w:rsidRPr="00207C13" w:rsidP="00207C13">
            <w:pPr>
              <w:pStyle w:val="ListBullet"/>
            </w:pPr>
            <w:r w:rsidRPr="00207C13">
              <w:t>power stations</w:t>
            </w:r>
          </w:p>
          <w:p w:rsidR="00000000" w:rsidRPr="00207C13" w:rsidP="00207C13">
            <w:pPr>
              <w:pStyle w:val="ListBullet"/>
            </w:pPr>
            <w:r w:rsidRPr="00207C13">
              <w:t>power station output</w:t>
            </w:r>
          </w:p>
          <w:p w:rsidR="00000000" w:rsidRPr="00207C13" w:rsidP="00207C13">
            <w:pPr>
              <w:pStyle w:val="ListBullet"/>
            </w:pPr>
            <w:r w:rsidRPr="00207C13">
              <w:t>acts and legislation relating to generation</w:t>
            </w:r>
          </w:p>
          <w:p w:rsidR="00000000" w:rsidRPr="00207C13" w:rsidP="00207C13">
            <w:pPr>
              <w:pStyle w:val="ListBullet"/>
            </w:pPr>
            <w:r w:rsidRPr="00207C13">
              <w:t>renewable energy sources and techniques</w:t>
            </w:r>
          </w:p>
          <w:p w:rsidR="00000000" w:rsidRPr="00207C13" w:rsidP="00207C13">
            <w:pPr>
              <w:pStyle w:val="BodyText"/>
            </w:pPr>
            <w:r w:rsidRPr="00207C13">
              <w:t>T2</w:t>
            </w:r>
            <w:r w:rsidRPr="00207C13">
              <w:tab/>
              <w:t>Transmission encompassing:</w:t>
            </w:r>
          </w:p>
          <w:p w:rsidR="00000000" w:rsidRPr="00207C13" w:rsidP="00207C13">
            <w:pPr>
              <w:pStyle w:val="ListBullet"/>
            </w:pPr>
            <w:r w:rsidRPr="00207C13">
              <w:t>system requirements</w:t>
            </w:r>
          </w:p>
          <w:p w:rsidR="00000000" w:rsidRPr="00207C13" w:rsidP="00207C13">
            <w:pPr>
              <w:pStyle w:val="ListBullet"/>
            </w:pPr>
            <w:r w:rsidRPr="00207C13">
              <w:t>principal components of a power system</w:t>
            </w:r>
          </w:p>
          <w:p w:rsidR="00000000" w:rsidRPr="00207C13" w:rsidP="00207C13">
            <w:pPr>
              <w:pStyle w:val="ListBullet"/>
            </w:pPr>
            <w:r w:rsidRPr="00207C13">
              <w:t>voltage levels</w:t>
            </w:r>
          </w:p>
          <w:p w:rsidR="00000000" w:rsidRPr="00207C13" w:rsidP="00207C13">
            <w:pPr>
              <w:pStyle w:val="ListBullet"/>
            </w:pPr>
            <w:r w:rsidRPr="00207C13">
              <w:t>grid systems</w:t>
            </w:r>
          </w:p>
          <w:p w:rsidR="00000000" w:rsidRPr="00207C13" w:rsidP="00207C13">
            <w:pPr>
              <w:pStyle w:val="ListBullet"/>
            </w:pPr>
            <w:r w:rsidRPr="00207C13">
              <w:t>acts/legislation relating to transmission</w:t>
            </w:r>
          </w:p>
          <w:p w:rsidR="00000000" w:rsidRPr="00207C13" w:rsidP="00207C13">
            <w:pPr>
              <w:pStyle w:val="ListBullet"/>
            </w:pPr>
            <w:r w:rsidRPr="00207C13">
              <w:t>future trends</w:t>
            </w:r>
          </w:p>
          <w:p w:rsidR="00000000" w:rsidRPr="00207C13" w:rsidP="00207C13">
            <w:pPr>
              <w:pStyle w:val="BodyText"/>
            </w:pPr>
            <w:r w:rsidRPr="00207C13">
              <w:t>T3</w:t>
            </w:r>
            <w:r w:rsidRPr="00207C13">
              <w:tab/>
              <w:t>Distribution encompassing:</w:t>
            </w:r>
          </w:p>
          <w:p w:rsidR="00000000" w:rsidRPr="00207C13" w:rsidP="00207C13">
            <w:pPr>
              <w:pStyle w:val="ListBullet"/>
            </w:pPr>
            <w:r w:rsidRPr="00207C13">
              <w:t>high voltage distribution systems</w:t>
            </w:r>
          </w:p>
          <w:p w:rsidR="00000000" w:rsidRPr="00207C13" w:rsidP="00207C13">
            <w:pPr>
              <w:pStyle w:val="ListBullet"/>
            </w:pPr>
            <w:r w:rsidRPr="00207C13">
              <w:t>medium/low voltage distribution systems</w:t>
            </w:r>
          </w:p>
          <w:p w:rsidR="00000000" w:rsidRPr="00207C13" w:rsidP="00207C13">
            <w:pPr>
              <w:pStyle w:val="ListBullet"/>
            </w:pPr>
            <w:r w:rsidRPr="00207C13">
              <w:t>radial feeders</w:t>
            </w:r>
          </w:p>
          <w:p w:rsidR="00000000" w:rsidRPr="00207C13" w:rsidP="00207C13">
            <w:pPr>
              <w:pStyle w:val="ListBullet"/>
            </w:pPr>
            <w:r w:rsidRPr="00207C13">
              <w:t>parallel feeders</w:t>
            </w:r>
          </w:p>
          <w:p w:rsidR="00000000" w:rsidRPr="00207C13" w:rsidP="00207C13">
            <w:pPr>
              <w:pStyle w:val="ListBullet"/>
            </w:pPr>
            <w:r w:rsidRPr="00207C13">
              <w:t>ring main feeders</w:t>
            </w:r>
          </w:p>
          <w:p w:rsidR="00000000" w:rsidRPr="00207C13" w:rsidP="00207C13">
            <w:pPr>
              <w:pStyle w:val="ListBullet"/>
            </w:pPr>
            <w:r w:rsidRPr="00207C13">
              <w:t>acts/legislation relating to distribution</w:t>
            </w:r>
          </w:p>
          <w:p w:rsidR="00000000" w:rsidRPr="00207C13" w:rsidP="00207C13">
            <w:pPr>
              <w:pStyle w:val="BodyText"/>
            </w:pPr>
            <w:r w:rsidRPr="00207C13">
              <w:t>T4</w:t>
            </w:r>
            <w:r w:rsidRPr="00207C13">
              <w:tab/>
            </w:r>
            <w:r w:rsidRPr="00207C13">
              <w:t>Substations encompassing:</w:t>
            </w:r>
          </w:p>
          <w:p w:rsidR="00000000" w:rsidRPr="00207C13" w:rsidP="00207C13">
            <w:pPr>
              <w:pStyle w:val="ListBullet"/>
            </w:pPr>
            <w:r w:rsidRPr="00207C13">
              <w:t>purpose</w:t>
            </w:r>
          </w:p>
          <w:p w:rsidR="00000000" w:rsidRPr="00207C13" w:rsidP="00207C13">
            <w:pPr>
              <w:pStyle w:val="ListBullet"/>
            </w:pPr>
            <w:r w:rsidRPr="00207C13">
              <w:t>location</w:t>
            </w:r>
          </w:p>
          <w:p w:rsidR="00000000" w:rsidRPr="00207C13" w:rsidP="00207C13">
            <w:pPr>
              <w:pStyle w:val="ListBullet"/>
            </w:pPr>
            <w:r w:rsidRPr="00207C13">
              <w:t>layout</w:t>
            </w:r>
          </w:p>
          <w:p w:rsidR="00000000" w:rsidRPr="00207C13" w:rsidP="00207C13">
            <w:pPr>
              <w:pStyle w:val="BodyText"/>
            </w:pPr>
            <w:r w:rsidRPr="00207C13">
              <w:t>T5</w:t>
            </w:r>
            <w:r w:rsidRPr="00207C13">
              <w:tab/>
              <w:t>Overhead and underground systems encompassing:</w:t>
            </w:r>
          </w:p>
          <w:p w:rsidR="00000000" w:rsidRPr="00207C13" w:rsidP="00207C13">
            <w:pPr>
              <w:pStyle w:val="ListBullet"/>
            </w:pPr>
            <w:r w:rsidRPr="00207C13">
              <w:t>relative merits</w:t>
            </w:r>
          </w:p>
          <w:p w:rsidR="00000000" w:rsidRPr="00207C13" w:rsidP="00207C13">
            <w:pPr>
              <w:pStyle w:val="ListBullet"/>
            </w:pPr>
            <w:r w:rsidRPr="00207C13">
              <w:t>applications</w:t>
            </w:r>
          </w:p>
          <w:p w:rsidR="00000000" w:rsidRPr="00207C13" w:rsidP="00207C13">
            <w:pPr>
              <w:pStyle w:val="ListBullet"/>
            </w:pPr>
            <w:r w:rsidRPr="00207C13">
              <w:t>planning</w:t>
            </w:r>
          </w:p>
          <w:p w:rsidR="00000000" w:rsidRPr="00207C13" w:rsidP="00207C13">
            <w:pPr>
              <w:pStyle w:val="ListBullet"/>
            </w:pPr>
            <w:r w:rsidRPr="00207C13">
              <w:t>installation</w:t>
            </w:r>
          </w:p>
          <w:p w:rsidR="00000000" w:rsidRPr="00207C13" w:rsidP="00207C13">
            <w:pPr>
              <w:pStyle w:val="BodyText"/>
            </w:pPr>
            <w:r w:rsidRPr="00207C13">
              <w:t>T6</w:t>
            </w:r>
            <w:r w:rsidRPr="00207C13">
              <w:tab/>
              <w:t>Power distribution system electrical characteristics encompassing:</w:t>
            </w:r>
          </w:p>
          <w:p w:rsidR="00000000" w:rsidRPr="00207C13" w:rsidP="00207C13">
            <w:pPr>
              <w:pStyle w:val="ListBullet"/>
            </w:pPr>
            <w:r w:rsidRPr="00207C13">
              <w:t>transmission and distribution systems</w:t>
            </w:r>
          </w:p>
          <w:p w:rsidR="00000000" w:rsidRPr="00207C13" w:rsidP="00207C13">
            <w:pPr>
              <w:pStyle w:val="ListBullet"/>
            </w:pPr>
            <w:r w:rsidRPr="00207C13">
              <w:t>inductance, capacitance and resistance</w:t>
            </w:r>
          </w:p>
          <w:p w:rsidR="00000000" w:rsidRPr="00207C13" w:rsidP="00207C13">
            <w:pPr>
              <w:pStyle w:val="BodyText"/>
            </w:pPr>
            <w:r w:rsidRPr="00207C13">
              <w:t>T7</w:t>
            </w:r>
            <w:r w:rsidRPr="00207C13">
              <w:tab/>
              <w:t>Voltage problems in a power distribution system encompassing:</w:t>
            </w:r>
          </w:p>
          <w:p w:rsidR="00000000" w:rsidRPr="00207C13" w:rsidP="00207C13">
            <w:pPr>
              <w:pStyle w:val="ListBullet"/>
            </w:pPr>
            <w:r w:rsidRPr="00207C13">
              <w:t>low voltage</w:t>
            </w:r>
          </w:p>
          <w:p w:rsidR="00000000" w:rsidRPr="00207C13" w:rsidP="00207C13">
            <w:pPr>
              <w:pStyle w:val="ListBullet"/>
            </w:pPr>
            <w:r w:rsidRPr="00207C13">
              <w:t>unbalanced voltages</w:t>
            </w:r>
          </w:p>
          <w:p w:rsidR="00000000" w:rsidRPr="00207C13" w:rsidP="00207C13">
            <w:pPr>
              <w:pStyle w:val="ListBullet"/>
            </w:pPr>
            <w:r w:rsidRPr="00207C13">
              <w:t>voltage rises</w:t>
            </w:r>
          </w:p>
          <w:p w:rsidR="00000000" w:rsidRPr="00207C13" w:rsidP="00207C13">
            <w:pPr>
              <w:pStyle w:val="BodyText"/>
            </w:pPr>
            <w:r w:rsidRPr="00207C13">
              <w:t>T8</w:t>
            </w:r>
            <w:r w:rsidRPr="00207C13">
              <w:tab/>
              <w:t>Voltage regulation encompassing:</w:t>
            </w:r>
          </w:p>
          <w:p w:rsidR="00000000" w:rsidRPr="00207C13" w:rsidP="00207C13">
            <w:pPr>
              <w:pStyle w:val="ListBullet"/>
            </w:pPr>
            <w:r w:rsidRPr="00207C13">
              <w:t>autotransformers with OLTC</w:t>
            </w:r>
          </w:p>
          <w:p w:rsidR="00000000" w:rsidRPr="00207C13" w:rsidP="00207C13">
            <w:pPr>
              <w:pStyle w:val="ListBullet"/>
            </w:pPr>
            <w:r w:rsidRPr="00207C13">
              <w:t>tra</w:t>
            </w:r>
            <w:r w:rsidRPr="00207C13">
              <w:t>nsformers with OLTC</w:t>
            </w:r>
          </w:p>
          <w:p w:rsidR="00000000" w:rsidRPr="00207C13" w:rsidP="00207C13">
            <w:pPr>
              <w:pStyle w:val="ListBullet"/>
            </w:pPr>
            <w:r w:rsidRPr="00207C13">
              <w:t>static capacitors</w:t>
            </w:r>
          </w:p>
          <w:p w:rsidR="00000000" w:rsidRPr="00207C13" w:rsidP="00207C13">
            <w:pPr>
              <w:pStyle w:val="ListBullet"/>
            </w:pPr>
            <w:r w:rsidRPr="00207C13">
              <w:t>load control</w:t>
            </w:r>
          </w:p>
          <w:p w:rsidR="00000000" w:rsidRPr="00207C13" w:rsidP="00207C13">
            <w:pPr>
              <w:pStyle w:val="BodyText"/>
            </w:pPr>
            <w:r w:rsidRPr="00207C13">
              <w:t>T9</w:t>
            </w:r>
            <w:r w:rsidRPr="00207C13">
              <w:tab/>
              <w:t>Control of OLTC encompassing:</w:t>
            </w:r>
          </w:p>
          <w:p w:rsidR="00000000" w:rsidRPr="00207C13" w:rsidP="00207C13">
            <w:pPr>
              <w:pStyle w:val="ListBullet"/>
            </w:pPr>
            <w:r w:rsidRPr="00207C13">
              <w:t>regulation relays</w:t>
            </w:r>
          </w:p>
          <w:p w:rsidR="00000000" w:rsidRPr="00207C13" w:rsidP="00207C13">
            <w:pPr>
              <w:pStyle w:val="ListBullet"/>
            </w:pPr>
            <w:r w:rsidRPr="00207C13">
              <w:t>control circuits</w:t>
            </w:r>
          </w:p>
          <w:p w:rsidR="00000000" w:rsidRPr="00207C13" w:rsidP="00207C13">
            <w:pPr>
              <w:pStyle w:val="ListBullet"/>
            </w:pPr>
            <w:r w:rsidRPr="00207C13">
              <w:t>line drop compensation</w:t>
            </w:r>
          </w:p>
          <w:p w:rsidR="00000000" w:rsidRPr="00207C13" w:rsidP="00207C13">
            <w:pPr>
              <w:pStyle w:val="BodyText"/>
            </w:pPr>
            <w:r w:rsidRPr="00207C13">
              <w:t>T10</w:t>
            </w:r>
            <w:r w:rsidRPr="00207C13">
              <w:tab/>
              <w:t>Power distribution system faults encompassing:</w:t>
            </w:r>
          </w:p>
          <w:p w:rsidR="00000000" w:rsidRPr="00207C13" w:rsidP="00207C13">
            <w:pPr>
              <w:pStyle w:val="ListBullet"/>
            </w:pPr>
            <w:r w:rsidRPr="00207C13">
              <w:t>type/classification of fault</w:t>
            </w:r>
          </w:p>
          <w:p w:rsidR="00000000" w:rsidRPr="00207C13" w:rsidP="00207C13">
            <w:pPr>
              <w:pStyle w:val="ListBullet"/>
            </w:pPr>
            <w:r w:rsidRPr="00207C13">
              <w:t>typical causes/effects of faults</w:t>
            </w:r>
          </w:p>
          <w:p w:rsidR="00000000" w:rsidRPr="00207C13" w:rsidP="00207C13">
            <w:pPr>
              <w:pStyle w:val="ListBullet"/>
            </w:pPr>
            <w:r w:rsidRPr="00207C13">
              <w:t>three-phase symmetrical fault levels</w:t>
            </w:r>
          </w:p>
          <w:p w:rsidR="00000000" w:rsidRPr="00207C13" w:rsidP="00207C13">
            <w:pPr>
              <w:pStyle w:val="ListBullet"/>
            </w:pPr>
            <w:r w:rsidRPr="00207C13">
              <w:t>fault level limitation</w:t>
            </w:r>
          </w:p>
          <w:p w:rsidR="00000000" w:rsidRPr="00207C13" w:rsidP="00207C13">
            <w:pPr>
              <w:pStyle w:val="BodyText"/>
            </w:pPr>
            <w:r w:rsidRPr="00207C13">
              <w:t>T11</w:t>
            </w:r>
            <w:r w:rsidRPr="00207C13">
              <w:tab/>
              <w:t>Voltage surges in a power distribution system encompassing:</w:t>
            </w:r>
          </w:p>
          <w:p w:rsidR="00000000" w:rsidRPr="00207C13" w:rsidP="00207C13">
            <w:pPr>
              <w:pStyle w:val="ListBullet"/>
            </w:pPr>
            <w:r w:rsidRPr="00207C13">
              <w:t>lightning surges</w:t>
            </w:r>
          </w:p>
          <w:p w:rsidR="00000000" w:rsidRPr="00207C13" w:rsidP="00207C13">
            <w:pPr>
              <w:pStyle w:val="ListBullet"/>
            </w:pPr>
            <w:r w:rsidRPr="00207C13">
              <w:t>switching surges</w:t>
            </w:r>
          </w:p>
          <w:p w:rsidR="00000000" w:rsidRPr="00207C13" w:rsidP="00207C13">
            <w:pPr>
              <w:pStyle w:val="ListBullet"/>
            </w:pPr>
            <w:r w:rsidRPr="00207C13">
              <w:t>typical surge levels</w:t>
            </w:r>
          </w:p>
          <w:p w:rsidR="00000000" w:rsidRPr="00207C13" w:rsidP="00207C13">
            <w:pPr>
              <w:pStyle w:val="ListBullet"/>
            </w:pPr>
            <w:r w:rsidRPr="00207C13">
              <w:t>surge impedance, typical values</w:t>
            </w:r>
          </w:p>
          <w:p w:rsidR="00000000" w:rsidRPr="00207C13" w:rsidP="00207C13">
            <w:pPr>
              <w:pStyle w:val="ListBullet"/>
            </w:pPr>
            <w:r w:rsidRPr="00207C13">
              <w:t>significance of the system surge impedance.</w:t>
            </w:r>
          </w:p>
          <w:p w:rsidR="00000000" w:rsidRPr="00207C13" w:rsidP="00207C13">
            <w:pPr>
              <w:pStyle w:val="BodyText"/>
            </w:pPr>
            <w:r w:rsidRPr="00207C13">
              <w:t>T12</w:t>
            </w:r>
            <w:r w:rsidRPr="00207C13">
              <w:tab/>
              <w:t>Metering and metered quantities encompassing:</w:t>
            </w:r>
          </w:p>
          <w:p w:rsidR="00000000" w:rsidRPr="00207C13" w:rsidP="00207C13">
            <w:pPr>
              <w:pStyle w:val="ListBullet"/>
            </w:pPr>
            <w:r w:rsidRPr="00207C13">
              <w:t>purpose</w:t>
            </w:r>
          </w:p>
          <w:p w:rsidR="00000000" w:rsidRPr="00207C13" w:rsidP="00207C13">
            <w:pPr>
              <w:pStyle w:val="ListBullet"/>
            </w:pPr>
            <w:r w:rsidRPr="00207C13">
              <w:t>energy</w:t>
            </w:r>
          </w:p>
          <w:p w:rsidR="00000000" w:rsidRPr="00207C13" w:rsidP="00207C13">
            <w:pPr>
              <w:pStyle w:val="ListBullet"/>
            </w:pPr>
            <w:r w:rsidRPr="00207C13">
              <w:t>maximum demand</w:t>
            </w:r>
          </w:p>
          <w:p w:rsidR="00000000" w:rsidRPr="00207C13" w:rsidP="00207C13">
            <w:pPr>
              <w:pStyle w:val="ListBullet"/>
            </w:pPr>
            <w:r w:rsidRPr="00207C13">
              <w:t>accuracy classes for metering systems</w:t>
            </w:r>
          </w:p>
          <w:p w:rsidR="00000000" w:rsidRPr="00207C13" w:rsidP="00207C13">
            <w:pPr>
              <w:pStyle w:val="BodyText"/>
            </w:pPr>
            <w:r w:rsidRPr="00207C13">
              <w:t>T13</w:t>
            </w:r>
            <w:r w:rsidRPr="00207C13">
              <w:tab/>
              <w:t>Energy and demand meters encompassing:</w:t>
            </w:r>
          </w:p>
          <w:p w:rsidR="00000000" w:rsidRPr="00207C13" w:rsidP="00207C13">
            <w:pPr>
              <w:pStyle w:val="ListBullet"/>
            </w:pPr>
            <w:r w:rsidRPr="00207C13">
              <w:t>construction</w:t>
            </w:r>
          </w:p>
          <w:p w:rsidR="00000000" w:rsidRPr="00207C13" w:rsidP="00207C13">
            <w:pPr>
              <w:pStyle w:val="ListBullet"/>
            </w:pPr>
            <w:r w:rsidRPr="00207C13">
              <w:t>operation</w:t>
            </w:r>
          </w:p>
          <w:p w:rsidR="00000000" w:rsidRPr="00207C13" w:rsidP="00207C13">
            <w:pPr>
              <w:pStyle w:val="ListBullet"/>
            </w:pPr>
            <w:r w:rsidRPr="00207C13">
              <w:t>adjustments</w:t>
            </w:r>
          </w:p>
          <w:p w:rsidR="00000000" w:rsidRPr="00207C13" w:rsidP="00207C13">
            <w:pPr>
              <w:pStyle w:val="ListBullet"/>
            </w:pPr>
            <w:r w:rsidRPr="00207C13">
              <w:t>testing</w:t>
            </w:r>
          </w:p>
          <w:p w:rsidR="00000000" w:rsidRPr="00207C13" w:rsidP="00207C13">
            <w:pPr>
              <w:pStyle w:val="BodyText"/>
            </w:pPr>
            <w:r w:rsidRPr="00207C13">
              <w:t>T14</w:t>
            </w:r>
            <w:r w:rsidRPr="00207C13">
              <w:tab/>
              <w:t>Metering circuits encompassing:</w:t>
            </w:r>
          </w:p>
          <w:p w:rsidR="00000000" w:rsidRPr="00207C13" w:rsidP="00207C13">
            <w:pPr>
              <w:pStyle w:val="ListBullet"/>
            </w:pPr>
            <w:r w:rsidRPr="00207C13">
              <w:t>direct metering</w:t>
            </w:r>
          </w:p>
          <w:p w:rsidR="00000000" w:rsidRPr="00207C13" w:rsidP="00207C13">
            <w:pPr>
              <w:pStyle w:val="ListBullet"/>
            </w:pPr>
            <w:r w:rsidRPr="00207C13">
              <w:t>instrument transformer metering</w:t>
            </w:r>
          </w:p>
          <w:p w:rsidR="00000000" w:rsidRPr="00207C13" w:rsidP="00207C13">
            <w:pPr>
              <w:pStyle w:val="BodyText"/>
            </w:pPr>
            <w:r w:rsidRPr="00207C13">
              <w:t>T15</w:t>
            </w:r>
            <w:r w:rsidRPr="00207C13">
              <w:tab/>
              <w:t>Electronic metering systems and recording meters encompassing:</w:t>
            </w:r>
          </w:p>
          <w:p w:rsidR="00000000" w:rsidRPr="00207C13" w:rsidP="00207C13">
            <w:pPr>
              <w:pStyle w:val="ListBullet"/>
            </w:pPr>
            <w:r w:rsidRPr="00207C13">
              <w:t>types</w:t>
            </w:r>
          </w:p>
          <w:p w:rsidR="00000000" w:rsidRPr="00207C13" w:rsidP="00207C13">
            <w:pPr>
              <w:pStyle w:val="ListBullet"/>
            </w:pPr>
            <w:r w:rsidRPr="00207C13">
              <w:t>applications</w:t>
            </w:r>
          </w:p>
          <w:p w:rsidR="00000000" w:rsidRPr="00207C13" w:rsidP="00207C13">
            <w:pPr>
              <w:pStyle w:val="ListBullet"/>
            </w:pPr>
            <w:r w:rsidRPr="00207C13">
              <w:t>connections</w:t>
            </w:r>
          </w:p>
          <w:p w:rsidR="00000000" w:rsidRPr="00207C13" w:rsidP="00207C13">
            <w:pPr>
              <w:pStyle w:val="BodyText"/>
            </w:pPr>
            <w:r w:rsidRPr="00207C13">
              <w:t>T16</w:t>
            </w:r>
            <w:r w:rsidRPr="00207C13">
              <w:tab/>
              <w:t>Load control encompassing:</w:t>
            </w:r>
          </w:p>
          <w:p w:rsidR="00000000" w:rsidRPr="00207C13" w:rsidP="00207C13">
            <w:pPr>
              <w:pStyle w:val="ListBullet"/>
            </w:pPr>
            <w:r w:rsidRPr="00207C13">
              <w:t>purpose</w:t>
            </w:r>
          </w:p>
          <w:p w:rsidR="00000000" w:rsidRPr="00207C13" w:rsidP="00207C13">
            <w:pPr>
              <w:pStyle w:val="ListBullet"/>
            </w:pPr>
            <w:r w:rsidRPr="00207C13">
              <w:t>methods</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10" w:name="O_462975"/>
      <w:bookmarkEnd w:id="10"/>
      <w:r w:rsidRPr="00207C13">
        <w:t>Evidence Guide</w:t>
      </w:r>
    </w:p>
    <w:tbl>
      <w:tblPr>
        <w:tblW w:w="0" w:type="auto"/>
        <w:tblLayout w:type="fixed"/>
        <w:tblCellMar>
          <w:left w:w="62" w:type="dxa"/>
          <w:right w:w="62" w:type="dxa"/>
        </w:tblCellMar>
        <w:tblLook w:val="0000"/>
      </w:tblPr>
      <w:tblGrid>
        <w:gridCol w:w="8460"/>
      </w:tblGrid>
      <w:tr w:rsidTr="00F400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EVIDENCE GUIDE</w:t>
            </w:r>
          </w:p>
        </w:tc>
      </w:tr>
      <w:tr w:rsidTr="00F400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9)</w:t>
            </w:r>
            <w:r w:rsidRPr="00207C13">
              <w:t xml:space="preserve"> This provides essential advice for assessment of the unit. It must be read in conjunction with the performance criteria and the range statement of the unit and the Training Package Assessment Guidelines.</w:t>
            </w:r>
          </w:p>
          <w:p w:rsidR="00000000" w:rsidRPr="00207C13" w:rsidP="00207C13">
            <w:pPr>
              <w:pStyle w:val="BodyText"/>
            </w:pPr>
            <w:r w:rsidRPr="00207C13">
              <w:t>The Evidence Guide forms an integral part of this u</w:t>
            </w:r>
            <w:r w:rsidRPr="00207C13">
              <w:t>nit. It must be used in conjunction with all parts of this unit and performed in accordance with the Assessment Guidelines of this Training Package.</w:t>
            </w:r>
          </w:p>
        </w:tc>
      </w:tr>
    </w:tbl>
    <w:p w:rsidR="00000000" w:rsidRPr="00207C13" w:rsidP="00207C13">
      <w:pPr>
        <w:pStyle w:val="BodyText"/>
      </w:pPr>
    </w:p>
    <w:tbl>
      <w:tblPr>
        <w:tblW w:w="0" w:type="auto"/>
        <w:tblLayout w:type="fixed"/>
        <w:tblCellMar>
          <w:left w:w="62" w:type="dxa"/>
          <w:right w:w="62" w:type="dxa"/>
        </w:tblCellMar>
        <w:tblLook w:val="0000"/>
      </w:tblPr>
      <w:tblGrid>
        <w:gridCol w:w="1890"/>
        <w:gridCol w:w="6570"/>
      </w:tblGrid>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9.1)</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Longitudinal competency development approaches to assessment, such as Profiling, require data to be reliably gathered in a form that can be consistently interpreted over time. This approach is best utilised in Apprenticeship programs and reduces assessment</w:t>
            </w:r>
            <w:r w:rsidRPr="00207C1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07C13">
              <w:t>tency in a realistically simulated work environment. It is recognised that, in some circumstances, assessment in part or full can occur outside the workplace. However, it must be in accordance with industry and regulatory policy.</w:t>
            </w:r>
          </w:p>
          <w:p w:rsidR="00000000" w:rsidRPr="00207C13" w:rsidP="00207C13">
            <w:pPr>
              <w:pStyle w:val="BodyText"/>
            </w:pPr>
            <w:r w:rsidRPr="00207C13">
              <w:t>Methods chosen for a parti</w:t>
            </w:r>
            <w:r w:rsidRPr="00207C13">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07C13">
              <w:t>the critical nature of the competencies being assessed.</w:t>
            </w:r>
          </w:p>
          <w:p w:rsidR="00000000" w:rsidRPr="00207C13" w:rsidP="00207C13">
            <w:pPr>
              <w:pStyle w:val="BodyText"/>
            </w:pPr>
            <w:r w:rsidRPr="00207C13">
              <w:t>The critical safety nature of working with electricity, electrical equipment, gas or any other hazardous substance/material carries risk in deeming a person competent. Sources of evidence need to be ‘</w:t>
            </w:r>
            <w:r w:rsidRPr="00207C13">
              <w:t>rich’ in nature to minimise error in judgment.</w:t>
            </w:r>
          </w:p>
          <w:p w:rsidR="00000000" w:rsidRPr="00207C13" w:rsidP="00207C13">
            <w:pPr>
              <w:pStyle w:val="BodyText"/>
            </w:pPr>
            <w:r w:rsidRPr="00207C13">
              <w:t xml:space="preserve">Activities associated with normal every day work have a bearing on the decision as to how much and how detailed the data gathered will contribute to its ‘richness’. Some skills are more critical to safety and </w:t>
            </w:r>
            <w:r w:rsidRPr="00207C13">
              <w:t>operational requirements while the same skills may be more or less frequently practised. These points are raised for the assessors to consider when choosing an assessment method and developing assessment instruments. Sample assessment instruments are inclu</w:t>
            </w:r>
            <w:r w:rsidRPr="00207C13">
              <w:t>ded for Assessors in the Assessment Guidelines of this Training Package.</w:t>
            </w:r>
          </w:p>
        </w:tc>
      </w:tr>
    </w:tbl>
    <w:p w:rsidR="00000000" w:rsidRPr="00207C13" w:rsidP="00207C13">
      <w:pPr>
        <w:pStyle w:val="BodyText"/>
      </w:pPr>
    </w:p>
    <w:tbl>
      <w:tblPr>
        <w:tblW w:w="0" w:type="auto"/>
        <w:tblLayout w:type="fixed"/>
        <w:tblCellMar>
          <w:left w:w="62" w:type="dxa"/>
          <w:right w:w="62" w:type="dxa"/>
        </w:tblCellMar>
        <w:tblLook w:val="0000"/>
      </w:tblPr>
      <w:tblGrid>
        <w:gridCol w:w="1890"/>
        <w:gridCol w:w="969"/>
        <w:gridCol w:w="5601"/>
      </w:tblGrid>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9.2)</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Before the critical aspects of evidence are considered all prerequisites shall be met.</w:t>
            </w:r>
          </w:p>
          <w:p w:rsidR="00000000" w:rsidRPr="00207C13" w:rsidP="00207C13">
            <w:pPr>
              <w:pStyle w:val="BodyText"/>
            </w:pPr>
            <w:r w:rsidRPr="00207C13">
              <w:t xml:space="preserve">Evidence </w:t>
            </w:r>
            <w:r w:rsidRPr="00207C13">
              <w:t>for competence in this unit shall be considered holistically.  Each element and associated performance criteria shall be demonstrated on at least two occasions in accordance with the ‘Assessment Guidelines – UET12’.  Evidence shall also comprise:</w:t>
            </w:r>
          </w:p>
          <w:p w:rsidR="00000000" w:rsidRPr="00207C13" w:rsidP="00207C13">
            <w:pPr>
              <w:pStyle w:val="ListBullet"/>
            </w:pPr>
            <w:r w:rsidRPr="00207C13">
              <w:t>A repres</w:t>
            </w:r>
            <w:r w:rsidRPr="00207C13">
              <w:t>entative body of work performance demonstrated within the timeframes typically expected of the discipline, work function and industrial environment. In particular this shall incorporate evidence that shows a candidate is able to:</w:t>
            </w:r>
          </w:p>
          <w:p w:rsidR="00000000" w:rsidRPr="00207C13" w:rsidP="00207C13">
            <w:pPr>
              <w:pStyle w:val="ListBullet2"/>
            </w:pPr>
            <w:r w:rsidRPr="00207C13">
              <w:t>Implement Occupational Health and Safety workplace procedures and practices including the use of risk control measures as specified in the performance criteria and range statement</w:t>
            </w:r>
          </w:p>
          <w:p w:rsidR="00000000" w:rsidRPr="00207C13" w:rsidP="00207C13">
            <w:pPr>
              <w:pStyle w:val="ListBullet2"/>
            </w:pPr>
            <w:r w:rsidRPr="00207C13">
              <w:t>Apply sustainable energy principles and practices as specified in the perfor</w:t>
            </w:r>
            <w:r w:rsidRPr="00207C13">
              <w:t>mance criteria and range statement</w:t>
            </w:r>
          </w:p>
          <w:p w:rsidR="00000000" w:rsidRPr="00207C13" w:rsidP="00207C13">
            <w:pPr>
              <w:pStyle w:val="ListBullet2"/>
            </w:pPr>
            <w:r w:rsidRPr="00207C13">
              <w:t>Demonstrate an understanding of the essential knowledge and associated skills as described in this unit.  It may be required by some jurisdictions that RTOs provide a percentile graded result for the purpose of regulatory</w:t>
            </w:r>
            <w:r w:rsidRPr="00207C13">
              <w:t xml:space="preserve"> or licensing requirements.   </w:t>
            </w:r>
          </w:p>
          <w:p w:rsidR="00000000" w:rsidRPr="00207C13" w:rsidP="00207C13">
            <w:pPr>
              <w:pStyle w:val="ListBullet2"/>
            </w:pPr>
            <w:r w:rsidRPr="00207C13">
              <w:t>Demonstrate an appropriate level of skills enabling employment</w:t>
            </w:r>
          </w:p>
          <w:p w:rsidR="00000000" w:rsidRPr="00207C13" w:rsidP="00207C13">
            <w:pPr>
              <w:pStyle w:val="ListBullet2"/>
            </w:pPr>
            <w:r w:rsidRPr="00207C13">
              <w:t>Conduct work observing the relevant Anti Discrimination legislation, regulations, polices and workplace procedures</w:t>
            </w:r>
          </w:p>
          <w:p w:rsidR="00000000" w:rsidRPr="00207C13" w:rsidP="00207C13">
            <w:pPr>
              <w:pStyle w:val="ListBullet"/>
            </w:pPr>
            <w:r w:rsidRPr="00207C13">
              <w:t>Demonstrated consistent performance across a r</w:t>
            </w:r>
            <w:r w:rsidRPr="00207C13">
              <w:t>epresentative range of contexts from the prescribed items below:</w:t>
            </w:r>
          </w:p>
          <w:p w:rsidR="00000000" w:rsidP="00207C13">
            <w:pPr>
              <w:pStyle w:val="ListBullet2"/>
              <w:rPr>
                <w:lang w:val="en-NZ"/>
              </w:rPr>
            </w:pPr>
            <w:r w:rsidRPr="00207C13">
              <w:t>Solving problems in energy supply network equipment as described as described in 8) and including:</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A</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Determining the operating parameters of existing energy supply equipment.</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B</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Envisaging the likely extent of work from reports and discussion with appropriate person(s).</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C</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Using methodical problem solving techniques.</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D</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Solving problems efficiently.</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E</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Altering an existing energy supply equipment to comply with specified operating parameters.</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F</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Developing energy supply equipment to comply with a specified function and operating parameters.</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G</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Determining conditions causing an existing energy supply eq</w:t>
            </w:r>
            <w:r w:rsidRPr="00207C13">
              <w:t>uipment to be unsafe.</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H</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Completing documentation correctly.</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I</w:t>
            </w:r>
          </w:p>
        </w:tc>
        <w:tc>
          <w:tcPr>
            <w:tcW w:w="5601"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Dealing with unplanned events by drawing on essential knowledge and skills to provide appropriate solutions incorporated in the holistic assessment with the above listed items.</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Note:</w:t>
            </w:r>
            <w:r w:rsidRPr="00207C13">
              <w:br/>
              <w:t>Succe</w:t>
            </w:r>
            <w:r w:rsidRPr="00207C13">
              <w:t>ssful completion of relevant vendor training may be used to contribute to evidence on which competency is deemed. In these cases the alignment of outcomes of vendor training with performance criteria and critical aspects of evidence shall be clearly identi</w:t>
            </w:r>
            <w:r w:rsidRPr="00207C13">
              <w:t>fied.</w:t>
            </w:r>
          </w:p>
        </w:tc>
      </w:tr>
    </w:tbl>
    <w:p w:rsidR="00000000" w:rsidRPr="00207C13" w:rsidP="00207C13">
      <w:pPr>
        <w:pStyle w:val="BodyText"/>
      </w:pPr>
    </w:p>
    <w:tbl>
      <w:tblPr>
        <w:tblW w:w="0" w:type="auto"/>
        <w:tblLayout w:type="fixed"/>
        <w:tblCellMar>
          <w:left w:w="62" w:type="dxa"/>
          <w:right w:w="62" w:type="dxa"/>
        </w:tblCellMar>
        <w:tblLook w:val="0000"/>
      </w:tblPr>
      <w:tblGrid>
        <w:gridCol w:w="1890"/>
        <w:gridCol w:w="6570"/>
      </w:tblGrid>
      <w:tr w:rsidTr="00F400E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9.3)</w:t>
            </w:r>
          </w:p>
        </w:tc>
      </w:tr>
      <w:tr w:rsidTr="00F400E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This unit should be assessed as it relates to normal work practice using procedures, information and resources typical of a workplace. This should include:</w:t>
            </w:r>
          </w:p>
          <w:p w:rsidR="00000000" w:rsidRPr="00207C13" w:rsidP="00207C13">
            <w:pPr>
              <w:pStyle w:val="ListBullet"/>
            </w:pPr>
            <w:r w:rsidRPr="00207C13">
              <w:t>OHS policy and work procedures and instructions.</w:t>
            </w:r>
          </w:p>
          <w:p w:rsidR="00000000" w:rsidRPr="00207C13" w:rsidP="00207C13">
            <w:pPr>
              <w:pStyle w:val="ListBullet"/>
            </w:pPr>
            <w:r w:rsidRPr="00207C13">
              <w:t>Suitable work environment, facilities, equipment and materials to undertake actual work as prescribed by this unit.</w:t>
            </w:r>
          </w:p>
          <w:p w:rsidR="00000000" w:rsidRPr="00207C13" w:rsidP="00207C13">
            <w:pPr>
              <w:pStyle w:val="BodyText"/>
            </w:pPr>
            <w:r w:rsidRPr="00207C13">
              <w:t>These should be part of the formal learning/assessment environment.</w:t>
            </w:r>
          </w:p>
          <w:p w:rsidR="00000000" w:rsidRPr="00207C13" w:rsidP="00207C13">
            <w:pPr>
              <w:pStyle w:val="BodyText"/>
            </w:pPr>
            <w:r w:rsidRPr="00207C13">
              <w:t>Note:</w:t>
            </w:r>
          </w:p>
          <w:p w:rsidR="00000000" w:rsidRPr="00207C13" w:rsidP="00207C13">
            <w:pPr>
              <w:pStyle w:val="BodyText"/>
            </w:pPr>
            <w:r w:rsidRPr="00207C13">
              <w:t>Where simulation is considered a suitable strategy for assessment, conditions must be authentic and as far as possible reproduce and replicate the workplace and be consistent with the approved industry simulation policy.</w:t>
            </w:r>
          </w:p>
          <w:p w:rsidR="00000000" w:rsidRPr="00207C13" w:rsidP="00207C13">
            <w:pPr>
              <w:pStyle w:val="BodyText"/>
            </w:pPr>
            <w:r w:rsidRPr="00207C13">
              <w:t>The resources used for assessment s</w:t>
            </w:r>
            <w:r w:rsidRPr="00207C13">
              <w:t>hould reflect current industry practices in relation to solving problems in energy supply network equipment.</w:t>
            </w:r>
          </w:p>
        </w:tc>
      </w:tr>
    </w:tbl>
    <w:p w:rsidR="00000000" w:rsidRPr="00207C13" w:rsidP="00207C13">
      <w:pPr>
        <w:pStyle w:val="BodyText"/>
      </w:pPr>
    </w:p>
    <w:tbl>
      <w:tblPr>
        <w:tblW w:w="0" w:type="auto"/>
        <w:tblLayout w:type="fixed"/>
        <w:tblCellMar>
          <w:left w:w="62" w:type="dxa"/>
          <w:right w:w="62" w:type="dxa"/>
        </w:tblCellMar>
        <w:tblLook w:val="0000"/>
      </w:tblPr>
      <w:tblGrid>
        <w:gridCol w:w="1890"/>
        <w:gridCol w:w="6570"/>
      </w:tblGrid>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9.4)</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This unit shall be assessed by methods given in Volume 1, Part 3 ‘Assessment Guidelines’.</w:t>
            </w:r>
          </w:p>
          <w:p w:rsidR="00000000" w:rsidRPr="00207C13" w:rsidP="00207C13">
            <w:pPr>
              <w:pStyle w:val="BodyText"/>
            </w:pPr>
            <w:r w:rsidRPr="00207C13">
              <w:t>Note:</w:t>
            </w:r>
          </w:p>
          <w:p w:rsidR="00000000" w:rsidRPr="00207C13" w:rsidP="00207C13">
            <w:pPr>
              <w:pStyle w:val="BodyText"/>
            </w:pPr>
            <w:r w:rsidRPr="00207C13">
              <w:t>Competent performance with inherent safe working practices is expected in the industry to which this unit applies. This requires assessment in a structured environment which is primarily intended for learning/assessment and incorporates all necessary equip</w:t>
            </w:r>
            <w:r w:rsidRPr="00207C13">
              <w:t>ment and facilities for learners to develop and demonstrate the essential knowledge and skills described in this unit.</w:t>
            </w:r>
          </w:p>
        </w:tc>
      </w:tr>
    </w:tbl>
    <w:p w:rsidR="00000000" w:rsidRPr="00207C13" w:rsidP="00207C13">
      <w:pPr>
        <w:pStyle w:val="BodyText"/>
      </w:pPr>
    </w:p>
    <w:tbl>
      <w:tblPr>
        <w:tblW w:w="0" w:type="auto"/>
        <w:tblLayout w:type="fixed"/>
        <w:tblCellMar>
          <w:left w:w="62" w:type="dxa"/>
          <w:right w:w="62" w:type="dxa"/>
        </w:tblCellMar>
        <w:tblLook w:val="0000"/>
      </w:tblPr>
      <w:tblGrid>
        <w:gridCol w:w="1890"/>
        <w:gridCol w:w="1530"/>
        <w:gridCol w:w="5040"/>
      </w:tblGrid>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9.5)</w:t>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For optimisation of training and assessment effort, competency developm</w:t>
            </w:r>
            <w:r w:rsidRPr="00207C13">
              <w:t>ent in this unit may be arranged concurrently with unit:</w:t>
            </w:r>
            <w:r w:rsidRPr="00207C13">
              <w:tab/>
            </w:r>
          </w:p>
        </w:tc>
      </w:tr>
      <w:tr w:rsidTr="00F400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t>UEENEEG006A</w:t>
            </w:r>
          </w:p>
        </w:tc>
        <w:tc>
          <w:tcPr>
            <w:tcW w:w="504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Solve problems in single and three phase low voltage machines</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11" w:name="O_462979"/>
      <w:bookmarkEnd w:id="11"/>
      <w:r w:rsidRPr="00207C13">
        <w:t>Range Statement</w:t>
      </w:r>
    </w:p>
    <w:tbl>
      <w:tblPr>
        <w:tblW w:w="0" w:type="auto"/>
        <w:tblLayout w:type="fixed"/>
        <w:tblCellMar>
          <w:left w:w="62" w:type="dxa"/>
          <w:right w:w="62" w:type="dxa"/>
        </w:tblCellMar>
        <w:tblLook w:val="0000"/>
      </w:tblPr>
      <w:tblGrid>
        <w:gridCol w:w="8460"/>
      </w:tblGrid>
      <w:tr w:rsidTr="00F400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RANGE STATEMENT</w:t>
            </w:r>
          </w:p>
        </w:tc>
      </w:tr>
      <w:tr w:rsidTr="00F400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10)</w:t>
            </w:r>
            <w:r w:rsidRPr="00207C13">
              <w:t xml:space="preserve"> This relates to the unit as a whole providing the range of contexts and conditions to which the performance criteria apply. It allows for different work environments and situations that will affect performance.</w:t>
            </w:r>
          </w:p>
          <w:p w:rsidR="00000000" w:rsidRPr="00207C13" w:rsidP="00207C13">
            <w:pPr>
              <w:pStyle w:val="BodyText"/>
            </w:pPr>
            <w:r w:rsidRPr="00207C13">
              <w:t>This unit shall be demonstrated by solving p</w:t>
            </w:r>
            <w:r w:rsidRPr="00207C13">
              <w:t>roblems in energy supply network equipment in:</w:t>
            </w:r>
          </w:p>
          <w:p w:rsidR="00000000" w:rsidRPr="00207C13" w:rsidP="00207C13">
            <w:pPr>
              <w:pStyle w:val="BodyText"/>
            </w:pPr>
            <w:r w:rsidRPr="00207C13">
              <w:t>At least one of energy supply network systems:</w:t>
            </w:r>
          </w:p>
          <w:p w:rsidR="00000000" w:rsidRPr="00207C13" w:rsidP="00207C13">
            <w:pPr>
              <w:pStyle w:val="ListBullet"/>
            </w:pPr>
            <w:r w:rsidRPr="00207C13">
              <w:t xml:space="preserve">distribution overhead system; </w:t>
            </w:r>
          </w:p>
          <w:p w:rsidR="00000000" w:rsidRPr="00207C13" w:rsidP="00207C13">
            <w:pPr>
              <w:pStyle w:val="ListBullet"/>
            </w:pPr>
            <w:r w:rsidRPr="00207C13">
              <w:t>distribution underground system;</w:t>
            </w:r>
          </w:p>
          <w:p w:rsidR="00000000" w:rsidRPr="00207C13" w:rsidP="00207C13">
            <w:pPr>
              <w:pStyle w:val="ListBullet"/>
            </w:pPr>
            <w:r w:rsidRPr="00207C13">
              <w:t>transmission overhead system;</w:t>
            </w:r>
          </w:p>
          <w:p w:rsidR="00000000" w:rsidRPr="00207C13" w:rsidP="00207C13">
            <w:pPr>
              <w:pStyle w:val="ListBullet"/>
            </w:pPr>
            <w:r w:rsidRPr="00207C13">
              <w:t>transmission underground system.</w:t>
            </w:r>
          </w:p>
          <w:p w:rsidR="00000000" w:rsidRPr="00207C13" w:rsidP="00207C13">
            <w:pPr>
              <w:pStyle w:val="BodyText"/>
            </w:pPr>
            <w:r w:rsidRPr="00207C13">
              <w:t>and</w:t>
            </w:r>
          </w:p>
          <w:p w:rsidR="00000000" w:rsidRPr="00207C13" w:rsidP="00207C13">
            <w:pPr>
              <w:pStyle w:val="BodyText"/>
            </w:pPr>
            <w:r w:rsidRPr="00207C13">
              <w:t>At least three</w:t>
            </w:r>
            <w:r w:rsidRPr="00207C13">
              <w:t xml:space="preserve"> of the following distribution/transmission equipment:</w:t>
            </w:r>
          </w:p>
          <w:p w:rsidR="00000000" w:rsidRPr="00207C13" w:rsidP="00207C13">
            <w:pPr>
              <w:pStyle w:val="ListBullet"/>
            </w:pPr>
            <w:r w:rsidRPr="00207C13">
              <w:t>voltage regulation equipment</w:t>
            </w:r>
          </w:p>
          <w:p w:rsidR="00000000" w:rsidRPr="00207C13" w:rsidP="00207C13">
            <w:pPr>
              <w:pStyle w:val="ListBullet"/>
            </w:pPr>
            <w:r w:rsidRPr="00207C13">
              <w:t>on load tap changers</w:t>
            </w:r>
          </w:p>
          <w:p w:rsidR="00000000" w:rsidRPr="00207C13" w:rsidP="00207C13">
            <w:pPr>
              <w:pStyle w:val="ListBullet"/>
            </w:pPr>
            <w:r w:rsidRPr="00207C13">
              <w:t>energy metering</w:t>
            </w:r>
          </w:p>
          <w:p w:rsidR="00000000" w:rsidRPr="00207C13" w:rsidP="00207C13">
            <w:pPr>
              <w:pStyle w:val="ListBullet"/>
            </w:pPr>
            <w:r w:rsidRPr="00207C13">
              <w:t>demand meters</w:t>
            </w:r>
          </w:p>
          <w:p w:rsidR="00000000" w:rsidRPr="00207C13" w:rsidP="00207C13">
            <w:pPr>
              <w:pStyle w:val="ListBullet"/>
            </w:pPr>
            <w:r w:rsidRPr="00207C13">
              <w:t>load control</w:t>
            </w:r>
          </w:p>
          <w:p w:rsidR="00000000" w:rsidRPr="00207C13" w:rsidP="00207C13">
            <w:pPr>
              <w:pStyle w:val="ListBullet"/>
            </w:pPr>
            <w:r w:rsidRPr="00207C13">
              <w:t>current transformers</w:t>
            </w:r>
          </w:p>
          <w:p w:rsidR="00000000" w:rsidRPr="00207C13" w:rsidP="00207C13">
            <w:pPr>
              <w:pStyle w:val="ListBullet"/>
            </w:pPr>
            <w:r w:rsidRPr="00207C13">
              <w:t>potential transformers</w:t>
            </w:r>
          </w:p>
          <w:p w:rsidR="00000000" w:rsidRPr="00207C13" w:rsidP="00207C13">
            <w:pPr>
              <w:pStyle w:val="BodyText"/>
            </w:pPr>
            <w:r w:rsidRPr="00207C13">
              <w:t>Generic terms used throughout this Vocational Standard shall be</w:t>
            </w:r>
            <w:r w:rsidRPr="00207C13">
              <w:t xml:space="preserve"> regarded as part of the Range Statement in which competency is demonstrated. The definition of these and other terms that apply are given in Volume 2, Part 2.1.</w:t>
            </w:r>
          </w:p>
        </w:tc>
      </w:tr>
    </w:tbl>
    <w:p w:rsidR="00000000" w:rsidRPr="00207C13" w:rsidP="00207C13">
      <w:pPr>
        <w:pStyle w:val="BodyText"/>
      </w:pPr>
    </w:p>
    <w:p w:rsidR="00000000" w:rsidRPr="00207C13" w:rsidP="00207C13">
      <w:pPr>
        <w:pStyle w:val="AllowPageBreak"/>
      </w:pPr>
    </w:p>
    <w:p w:rsidR="00000000" w:rsidRPr="00207C13" w:rsidP="00207C13">
      <w:pPr>
        <w:pStyle w:val="Heading1"/>
      </w:pPr>
      <w:bookmarkStart w:id="12" w:name="O_462982"/>
      <w:bookmarkEnd w:id="12"/>
      <w:r w:rsidRPr="00207C13">
        <w:t>Unit Sector(s)</w:t>
      </w:r>
    </w:p>
    <w:p w:rsidR="00000000" w:rsidRPr="00207C13" w:rsidP="00207C13">
      <w:pPr>
        <w:pStyle w:val="BodyText"/>
      </w:pPr>
      <w:r w:rsidRPr="00207C13">
        <w:t>Not applicable.</w:t>
      </w:r>
    </w:p>
    <w:p w:rsidR="00000000" w:rsidRPr="00207C13" w:rsidP="00207C13">
      <w:pPr>
        <w:pStyle w:val="AllowPageBreak"/>
      </w:pPr>
    </w:p>
    <w:p w:rsidR="00000000" w:rsidRPr="00207C13" w:rsidP="00207C13">
      <w:pPr>
        <w:pStyle w:val="Heading1"/>
      </w:pPr>
      <w:bookmarkStart w:id="13" w:name="O_462971"/>
      <w:bookmarkEnd w:id="13"/>
      <w:r w:rsidRPr="00207C13">
        <w:t>Competency Field</w:t>
      </w:r>
    </w:p>
    <w:tbl>
      <w:tblPr>
        <w:tblW w:w="0" w:type="auto"/>
        <w:tblLayout w:type="fixed"/>
        <w:tblCellMar>
          <w:left w:w="62" w:type="dxa"/>
          <w:right w:w="62" w:type="dxa"/>
        </w:tblCellMar>
        <w:tblLook w:val="0000"/>
      </w:tblPr>
      <w:tblGrid>
        <w:gridCol w:w="2700"/>
        <w:gridCol w:w="5760"/>
      </w:tblGrid>
      <w:tr w:rsidTr="00F400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7C13">
            <w:pPr>
              <w:pStyle w:val="BodyText"/>
              <w:rPr>
                <w:lang w:val="en-NZ"/>
              </w:rPr>
            </w:pPr>
            <w:r w:rsidRPr="00207C13">
              <w:rPr>
                <w:rStyle w:val="SpecialBold"/>
              </w:rPr>
              <w:t xml:space="preserve">11) </w:t>
            </w:r>
          </w:p>
        </w:tc>
      </w:tr>
      <w:tr w:rsidTr="00F400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7C13" w:rsidP="00207C13">
            <w:pPr>
              <w:pStyle w:val="BodyText"/>
            </w:pPr>
            <w:r w:rsidRPr="00207C13">
              <w:t>Industry Specific Cross-Discipline Units</w:t>
            </w:r>
          </w:p>
        </w:tc>
      </w:tr>
    </w:tbl>
    <w:p w:rsidR="00000000" w:rsidRPr="00207C13" w:rsidP="00207C13">
      <w:pPr>
        <w:pStyle w:val="BodyText"/>
      </w:pPr>
    </w:p>
    <w:p w:rsidR="00000000" w:rsidRPr="00207C13" w:rsidP="00207C13"/>
    <w:sectPr w:rsidSect="00207C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0E4" w:rsidP="00F40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E4" w:rsidP="00207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00E4" w:rsidP="00207C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400E4" w:rsidP="00207C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0E4" w:rsidP="00F400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E4" w:rsidP="00207C13">
    <w:pPr>
      <w:pStyle w:val="Header"/>
      <w:framePr w:wrap="around"/>
    </w:pPr>
    <w:r>
      <w:fldChar w:fldCharType="begin"/>
    </w:r>
    <w:r>
      <w:instrText xml:space="preserve"> TITLE   \* MERGEFORMAT </w:instrText>
    </w:r>
    <w:r>
      <w:fldChar w:fldCharType="separate"/>
    </w:r>
    <w:r>
      <w:t>UETTDRIS67A Solve problems in energy supply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00E4" w:rsidP="00207C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28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6D8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66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C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7C13"/>
    <w:pPr>
      <w:spacing w:before="360" w:after="60"/>
      <w:outlineLvl w:val="0"/>
    </w:pPr>
    <w:rPr>
      <w:sz w:val="32"/>
    </w:rPr>
  </w:style>
  <w:style w:type="paragraph" w:styleId="Heading2">
    <w:name w:val="heading 2"/>
    <w:basedOn w:val="HeadingBase"/>
    <w:next w:val="BodyText"/>
    <w:link w:val="Heading2Char"/>
    <w:qFormat/>
    <w:rsid w:val="00207C13"/>
    <w:pPr>
      <w:keepLines/>
      <w:spacing w:before="240" w:after="120"/>
      <w:outlineLvl w:val="1"/>
    </w:pPr>
    <w:rPr>
      <w:sz w:val="28"/>
      <w:szCs w:val="40"/>
    </w:rPr>
  </w:style>
  <w:style w:type="paragraph" w:styleId="Heading3">
    <w:name w:val="heading 3"/>
    <w:basedOn w:val="HeadingBase"/>
    <w:next w:val="BodyText"/>
    <w:link w:val="Heading3Char"/>
    <w:qFormat/>
    <w:rsid w:val="00207C13"/>
    <w:pPr>
      <w:spacing w:before="180" w:after="120"/>
      <w:outlineLvl w:val="2"/>
    </w:pPr>
    <w:rPr>
      <w:spacing w:val="-10"/>
      <w:kern w:val="32"/>
    </w:rPr>
  </w:style>
  <w:style w:type="paragraph" w:styleId="Heading4">
    <w:name w:val="heading 4"/>
    <w:basedOn w:val="HeadingBase"/>
    <w:next w:val="BodyText"/>
    <w:link w:val="Heading4Char"/>
    <w:qFormat/>
    <w:rsid w:val="00207C13"/>
    <w:pPr>
      <w:spacing w:before="160" w:after="120"/>
      <w:outlineLvl w:val="3"/>
    </w:pPr>
    <w:rPr>
      <w:sz w:val="22"/>
    </w:rPr>
  </w:style>
  <w:style w:type="paragraph" w:styleId="Heading5">
    <w:name w:val="heading 5"/>
    <w:basedOn w:val="HeadingBase"/>
    <w:next w:val="Normal"/>
    <w:link w:val="Heading5Char"/>
    <w:qFormat/>
    <w:rsid w:val="00207C13"/>
    <w:pPr>
      <w:spacing w:before="80"/>
      <w:outlineLvl w:val="4"/>
    </w:pPr>
    <w:rPr>
      <w:color w:val="918585"/>
      <w:sz w:val="20"/>
    </w:rPr>
  </w:style>
  <w:style w:type="paragraph" w:styleId="Heading6">
    <w:name w:val="heading 6"/>
    <w:basedOn w:val="HeadingBase"/>
    <w:next w:val="Normal"/>
    <w:link w:val="Heading6Char"/>
    <w:qFormat/>
    <w:rsid w:val="00207C13"/>
    <w:pPr>
      <w:spacing w:before="60"/>
      <w:outlineLvl w:val="5"/>
    </w:pPr>
    <w:rPr>
      <w:color w:val="918585"/>
      <w:sz w:val="20"/>
    </w:rPr>
  </w:style>
  <w:style w:type="paragraph" w:styleId="Heading7">
    <w:name w:val="heading 7"/>
    <w:basedOn w:val="Normal"/>
    <w:next w:val="Normal"/>
    <w:link w:val="Heading7Char"/>
    <w:qFormat/>
    <w:rsid w:val="00207C13"/>
    <w:pPr>
      <w:ind w:left="720"/>
      <w:outlineLvl w:val="6"/>
    </w:pPr>
    <w:rPr>
      <w:i/>
    </w:rPr>
  </w:style>
  <w:style w:type="paragraph" w:styleId="Heading8">
    <w:name w:val="heading 8"/>
    <w:basedOn w:val="Normal"/>
    <w:next w:val="Normal"/>
    <w:link w:val="Heading8Char"/>
    <w:qFormat/>
    <w:rsid w:val="00207C13"/>
    <w:pPr>
      <w:ind w:left="720"/>
      <w:outlineLvl w:val="7"/>
    </w:pPr>
    <w:rPr>
      <w:i/>
    </w:rPr>
  </w:style>
  <w:style w:type="paragraph" w:styleId="Heading9">
    <w:name w:val="heading 9"/>
    <w:basedOn w:val="Normal"/>
    <w:next w:val="Normal"/>
    <w:link w:val="Heading9Char"/>
    <w:qFormat/>
    <w:rsid w:val="00207C13"/>
    <w:pPr>
      <w:ind w:left="720"/>
      <w:outlineLvl w:val="8"/>
    </w:pPr>
    <w:rPr>
      <w:i/>
    </w:rPr>
  </w:style>
  <w:style w:type="character" w:default="1" w:styleId="DefaultParagraphFont">
    <w:name w:val="Default Paragraph Font"/>
    <w:uiPriority w:val="1"/>
    <w:unhideWhenUsed/>
    <w:rsid w:val="00207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C13"/>
  </w:style>
  <w:style w:type="character" w:customStyle="1" w:styleId="Heading1Char">
    <w:name w:val="Heading 1 Char"/>
    <w:basedOn w:val="DefaultParagraphFont"/>
    <w:link w:val="Heading1"/>
    <w:rsid w:val="00207C13"/>
    <w:rPr>
      <w:rFonts w:ascii="Times New Roman" w:eastAsia="Times New Roman" w:hAnsi="Times New Roman" w:cs="Times New Roman"/>
      <w:b/>
      <w:sz w:val="32"/>
      <w:szCs w:val="20"/>
      <w:lang w:eastAsia="en-US"/>
    </w:rPr>
  </w:style>
  <w:style w:type="paragraph" w:styleId="BodyText">
    <w:name w:val="Body Text"/>
    <w:basedOn w:val="Normal"/>
    <w:link w:val="BodyTextChar"/>
    <w:rsid w:val="00207C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C13"/>
    <w:rPr>
      <w:rFonts w:ascii="Times New Roman" w:eastAsia="Times New Roman" w:hAnsi="Times New Roman" w:cs="Times New Roman"/>
      <w:sz w:val="24"/>
      <w:lang w:val="en-US" w:eastAsia="en-US"/>
    </w:rPr>
  </w:style>
  <w:style w:type="paragraph" w:styleId="Footer">
    <w:name w:val="footer"/>
    <w:basedOn w:val="Normal"/>
    <w:link w:val="FooterChar"/>
    <w:rsid w:val="00207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C13"/>
    <w:rPr>
      <w:rFonts w:ascii="Times New Roman" w:eastAsia="Times New Roman" w:hAnsi="Times New Roman" w:cs="Times New Roman"/>
      <w:sz w:val="16"/>
      <w:lang w:val="en-US" w:eastAsia="en-US"/>
    </w:rPr>
  </w:style>
  <w:style w:type="paragraph" w:styleId="ListBullet">
    <w:name w:val="List Bullet"/>
    <w:basedOn w:val="List"/>
    <w:rsid w:val="00207C13"/>
    <w:pPr>
      <w:numPr>
        <w:numId w:val="13"/>
      </w:numPr>
      <w:tabs>
        <w:tab w:val="clear" w:pos="340"/>
      </w:tabs>
      <w:spacing w:before="40" w:after="40"/>
    </w:pPr>
  </w:style>
  <w:style w:type="character" w:customStyle="1" w:styleId="SpecialBold">
    <w:name w:val="Special Bold"/>
    <w:basedOn w:val="DefaultParagraphFont"/>
    <w:rsid w:val="00207C13"/>
    <w:rPr>
      <w:b/>
      <w:spacing w:val="0"/>
    </w:rPr>
  </w:style>
  <w:style w:type="paragraph" w:styleId="ListBullet2">
    <w:name w:val="List Bullet 2"/>
    <w:basedOn w:val="List2"/>
    <w:rsid w:val="00207C13"/>
    <w:pPr>
      <w:numPr>
        <w:numId w:val="14"/>
      </w:numPr>
      <w:tabs>
        <w:tab w:val="clear" w:pos="680"/>
      </w:tabs>
    </w:pPr>
  </w:style>
  <w:style w:type="paragraph" w:styleId="Header">
    <w:name w:val="header"/>
    <w:basedOn w:val="Normal"/>
    <w:link w:val="HeaderChar"/>
    <w:rsid w:val="00207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C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7C13"/>
    <w:pPr>
      <w:spacing w:before="240" w:after="120"/>
      <w:outlineLvl w:val="0"/>
    </w:pPr>
    <w:rPr>
      <w:rFonts w:ascii="Times New Roman" w:hAnsi="Times New Roman"/>
      <w:b/>
      <w:sz w:val="28"/>
    </w:rPr>
  </w:style>
  <w:style w:type="paragraph" w:customStyle="1" w:styleId="AllowPageBreak">
    <w:name w:val="AllowPageBreak"/>
    <w:rsid w:val="00207C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C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C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C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7C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7C13"/>
    <w:rPr>
      <w:rFonts w:ascii="Courier New" w:eastAsia="Times New Roman" w:hAnsi="Courier New" w:cs="Times New Roman"/>
      <w:i/>
      <w:szCs w:val="20"/>
      <w:lang w:val="en-US" w:eastAsia="en-US"/>
    </w:rPr>
  </w:style>
  <w:style w:type="paragraph" w:customStyle="1" w:styleId="HeadingBase">
    <w:name w:val="Heading Base"/>
    <w:rsid w:val="00207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C13"/>
    <w:pPr>
      <w:tabs>
        <w:tab w:val="right" w:leader="dot" w:pos="9072"/>
      </w:tabs>
      <w:ind w:left="567"/>
    </w:pPr>
    <w:rPr>
      <w:szCs w:val="22"/>
    </w:rPr>
  </w:style>
  <w:style w:type="paragraph" w:customStyle="1" w:styleId="TOCBase">
    <w:name w:val="TOC Base"/>
    <w:rsid w:val="00207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C13"/>
    <w:pPr>
      <w:tabs>
        <w:tab w:val="right" w:leader="dot" w:pos="9072"/>
      </w:tabs>
      <w:spacing w:before="40" w:after="40"/>
      <w:ind w:left="284"/>
    </w:pPr>
    <w:rPr>
      <w:rFonts w:ascii="Times New Roman" w:hAnsi="Times New Roman"/>
    </w:rPr>
  </w:style>
  <w:style w:type="paragraph" w:styleId="TOC1">
    <w:name w:val="toc 1"/>
    <w:basedOn w:val="TOCBase"/>
    <w:next w:val="Normal"/>
    <w:rsid w:val="00207C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7C13"/>
    <w:pPr>
      <w:spacing w:before="5040"/>
      <w:jc w:val="center"/>
    </w:pPr>
    <w:rPr>
      <w:sz w:val="48"/>
      <w:szCs w:val="72"/>
      <w:lang w:val="en-US"/>
    </w:rPr>
  </w:style>
  <w:style w:type="character" w:customStyle="1" w:styleId="TitleChar">
    <w:name w:val="Title Char"/>
    <w:basedOn w:val="DefaultParagraphFont"/>
    <w:link w:val="Title"/>
    <w:rsid w:val="00207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C13"/>
    <w:pPr>
      <w:tabs>
        <w:tab w:val="left" w:pos="3600"/>
        <w:tab w:val="left" w:pos="3958"/>
      </w:tabs>
    </w:pPr>
  </w:style>
  <w:style w:type="paragraph" w:styleId="List">
    <w:name w:val="List"/>
    <w:basedOn w:val="BodyText"/>
    <w:next w:val="BodyText"/>
    <w:rsid w:val="00207C13"/>
    <w:pPr>
      <w:tabs>
        <w:tab w:val="left" w:pos="340"/>
      </w:tabs>
      <w:spacing w:before="60" w:after="60"/>
      <w:ind w:left="340" w:hanging="340"/>
    </w:pPr>
  </w:style>
  <w:style w:type="paragraph" w:customStyle="1" w:styleId="Note">
    <w:name w:val="Note"/>
    <w:basedOn w:val="BodyText"/>
    <w:rsid w:val="00207C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C13"/>
    <w:pPr>
      <w:framePr w:wrap="auto" w:hAnchor="text" w:y="6049"/>
    </w:pPr>
    <w:rPr>
      <w:color w:val="000000"/>
      <w:sz w:val="40"/>
    </w:rPr>
  </w:style>
  <w:style w:type="paragraph" w:customStyle="1" w:styleId="TOCTitle">
    <w:name w:val="TOCTitle"/>
    <w:basedOn w:val="Heading1"/>
    <w:rsid w:val="00207C13"/>
    <w:pPr>
      <w:spacing w:after="240"/>
      <w:jc w:val="center"/>
      <w:outlineLvl w:val="9"/>
    </w:pPr>
    <w:rPr>
      <w:caps/>
    </w:rPr>
  </w:style>
  <w:style w:type="paragraph" w:customStyle="1" w:styleId="Version">
    <w:name w:val="Version"/>
    <w:rsid w:val="00207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C13"/>
    <w:pPr>
      <w:keepNext w:val="0"/>
      <w:tabs>
        <w:tab w:val="right" w:pos="4176"/>
      </w:tabs>
      <w:ind w:left="198" w:hanging="198"/>
    </w:pPr>
    <w:rPr>
      <w:rFonts w:ascii="Garamond" w:hAnsi="Garamond"/>
    </w:rPr>
  </w:style>
  <w:style w:type="paragraph" w:styleId="IndexHeading">
    <w:name w:val="index heading"/>
    <w:basedOn w:val="Normal"/>
    <w:next w:val="Index1"/>
    <w:semiHidden/>
    <w:rsid w:val="00207C13"/>
    <w:pPr>
      <w:spacing w:before="120" w:after="120"/>
    </w:pPr>
    <w:rPr>
      <w:rFonts w:ascii="Arial" w:hAnsi="Arial"/>
      <w:b/>
      <w:color w:val="918585"/>
      <w:sz w:val="24"/>
    </w:rPr>
  </w:style>
  <w:style w:type="paragraph" w:customStyle="1" w:styleId="Chapter">
    <w:name w:val="Chapter"/>
    <w:basedOn w:val="Normal"/>
    <w:rsid w:val="00207C13"/>
    <w:pPr>
      <w:spacing w:before="240"/>
    </w:pPr>
    <w:rPr>
      <w:rFonts w:ascii="Times New Roman" w:hAnsi="Times New Roman"/>
      <w:smallCaps/>
      <w:spacing w:val="80"/>
      <w:sz w:val="28"/>
    </w:rPr>
  </w:style>
  <w:style w:type="paragraph" w:customStyle="1" w:styleId="InChapter">
    <w:name w:val="InChapter"/>
    <w:basedOn w:val="Heading3"/>
    <w:rsid w:val="00207C13"/>
    <w:pPr>
      <w:spacing w:after="240"/>
      <w:outlineLvl w:val="9"/>
    </w:pPr>
    <w:rPr>
      <w:noProof/>
    </w:rPr>
  </w:style>
  <w:style w:type="paragraph" w:styleId="Index2">
    <w:name w:val="index 2"/>
    <w:basedOn w:val="Normal"/>
    <w:next w:val="Normal"/>
    <w:semiHidden/>
    <w:rsid w:val="00207C13"/>
    <w:pPr>
      <w:tabs>
        <w:tab w:val="right" w:pos="4176"/>
      </w:tabs>
      <w:ind w:left="568" w:hanging="284"/>
    </w:pPr>
    <w:rPr>
      <w:rFonts w:ascii="Garamond" w:hAnsi="Garamond"/>
    </w:rPr>
  </w:style>
  <w:style w:type="paragraph" w:customStyle="1" w:styleId="Byline">
    <w:name w:val="Byline"/>
    <w:rsid w:val="00207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C13"/>
    <w:pPr>
      <w:tabs>
        <w:tab w:val="clear" w:pos="3600"/>
        <w:tab w:val="clear" w:pos="3958"/>
      </w:tabs>
      <w:jc w:val="right"/>
    </w:pPr>
  </w:style>
  <w:style w:type="character" w:styleId="Emphasis">
    <w:name w:val="Emphasis"/>
    <w:basedOn w:val="DefaultParagraphFont"/>
    <w:qFormat/>
    <w:rsid w:val="00207C13"/>
    <w:rPr>
      <w:i/>
    </w:rPr>
  </w:style>
  <w:style w:type="paragraph" w:styleId="Caption">
    <w:name w:val="caption"/>
    <w:basedOn w:val="BodyText"/>
    <w:next w:val="Normal"/>
    <w:qFormat/>
    <w:rsid w:val="00207C13"/>
    <w:pPr>
      <w:framePr w:w="2268" w:hSpace="181" w:vSpace="181" w:wrap="around" w:vAnchor="text" w:hAnchor="page" w:x="1135" w:y="285" w:anchorLock="1"/>
    </w:pPr>
    <w:rPr>
      <w:i/>
    </w:rPr>
  </w:style>
  <w:style w:type="paragraph" w:customStyle="1" w:styleId="MiniTOCTitle">
    <w:name w:val="MiniTOCTitle"/>
    <w:basedOn w:val="Heading4"/>
    <w:rsid w:val="00207C13"/>
    <w:pPr>
      <w:spacing w:before="240"/>
      <w:outlineLvl w:val="9"/>
    </w:pPr>
    <w:rPr>
      <w:noProof/>
      <w:sz w:val="24"/>
    </w:rPr>
  </w:style>
  <w:style w:type="paragraph" w:customStyle="1" w:styleId="MiniTOCItem">
    <w:name w:val="MiniTOCItem"/>
    <w:basedOn w:val="ListBullet"/>
    <w:rsid w:val="00207C13"/>
    <w:pPr>
      <w:numPr>
        <w:numId w:val="0"/>
      </w:numPr>
      <w:tabs>
        <w:tab w:val="right" w:leader="dot" w:pos="6521"/>
      </w:tabs>
      <w:spacing w:before="0" w:after="0"/>
    </w:pPr>
  </w:style>
  <w:style w:type="paragraph" w:customStyle="1" w:styleId="TOFTitle">
    <w:name w:val="TOFTitle"/>
    <w:basedOn w:val="TOCTitle"/>
    <w:rsid w:val="00207C13"/>
  </w:style>
  <w:style w:type="paragraph" w:styleId="TableofFigures">
    <w:name w:val="table of figures"/>
    <w:basedOn w:val="Normal"/>
    <w:next w:val="Normal"/>
    <w:semiHidden/>
    <w:rsid w:val="00207C13"/>
    <w:pPr>
      <w:tabs>
        <w:tab w:val="right" w:leader="dot" w:pos="9072"/>
      </w:tabs>
      <w:ind w:left="970" w:hanging="403"/>
    </w:pPr>
    <w:rPr>
      <w:rFonts w:ascii="Times New Roman" w:hAnsi="Times New Roman"/>
      <w:b/>
    </w:rPr>
  </w:style>
  <w:style w:type="paragraph" w:styleId="ListNumber">
    <w:name w:val="List Number"/>
    <w:basedOn w:val="List"/>
    <w:rsid w:val="00207C13"/>
    <w:pPr>
      <w:numPr>
        <w:numId w:val="11"/>
      </w:numPr>
    </w:pPr>
  </w:style>
  <w:style w:type="character" w:customStyle="1" w:styleId="WingdingSymbols">
    <w:name w:val="Wingding Symbols"/>
    <w:rsid w:val="00207C13"/>
    <w:rPr>
      <w:rFonts w:ascii="Wingdings" w:hAnsi="Wingdings"/>
    </w:rPr>
  </w:style>
  <w:style w:type="paragraph" w:customStyle="1" w:styleId="TableHeading">
    <w:name w:val="Table Heading"/>
    <w:basedOn w:val="HeadingBase"/>
    <w:rsid w:val="00207C13"/>
    <w:pPr>
      <w:keepLines/>
      <w:pBdr>
        <w:bottom w:val="single" w:sz="6" w:space="1" w:color="918585"/>
      </w:pBdr>
      <w:spacing w:before="240"/>
    </w:pPr>
  </w:style>
  <w:style w:type="character" w:customStyle="1" w:styleId="HotSpot">
    <w:name w:val="HotSpot"/>
    <w:rsid w:val="00207C13"/>
    <w:rPr>
      <w:color w:val="0033CC"/>
      <w:u w:val="none"/>
    </w:rPr>
  </w:style>
  <w:style w:type="paragraph" w:customStyle="1" w:styleId="BodyTextRight">
    <w:name w:val="Body Text Right"/>
    <w:basedOn w:val="BodyText"/>
    <w:rsid w:val="00207C13"/>
    <w:pPr>
      <w:spacing w:before="0" w:after="0"/>
      <w:jc w:val="right"/>
    </w:pPr>
  </w:style>
  <w:style w:type="paragraph" w:styleId="Index3">
    <w:name w:val="index 3"/>
    <w:basedOn w:val="ListNumber2"/>
    <w:next w:val="Normal"/>
    <w:semiHidden/>
    <w:rsid w:val="00207C13"/>
    <w:pPr>
      <w:numPr>
        <w:numId w:val="0"/>
      </w:numPr>
      <w:tabs>
        <w:tab w:val="right" w:leader="dot" w:pos="4176"/>
      </w:tabs>
    </w:pPr>
  </w:style>
  <w:style w:type="paragraph" w:styleId="ListNumber2">
    <w:name w:val="List Number 2"/>
    <w:basedOn w:val="List2"/>
    <w:rsid w:val="00207C13"/>
    <w:pPr>
      <w:numPr>
        <w:numId w:val="10"/>
      </w:numPr>
      <w:tabs>
        <w:tab w:val="clear" w:pos="1060"/>
      </w:tabs>
    </w:pPr>
  </w:style>
  <w:style w:type="paragraph" w:customStyle="1" w:styleId="MarginNote">
    <w:name w:val="Margin Note"/>
    <w:basedOn w:val="BodyText"/>
    <w:rsid w:val="00207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C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7C13"/>
    <w:rPr>
      <w:sz w:val="32"/>
    </w:rPr>
  </w:style>
  <w:style w:type="paragraph" w:customStyle="1" w:styleId="HeadingProcedure">
    <w:name w:val="Heading Procedure"/>
    <w:basedOn w:val="HeadingBase"/>
    <w:next w:val="Normal"/>
    <w:rsid w:val="00207C13"/>
    <w:pPr>
      <w:tabs>
        <w:tab w:val="left" w:pos="0"/>
      </w:tabs>
      <w:spacing w:before="120" w:after="60"/>
    </w:pPr>
    <w:rPr>
      <w:i/>
      <w:color w:val="918585"/>
      <w:sz w:val="22"/>
    </w:rPr>
  </w:style>
  <w:style w:type="paragraph" w:customStyle="1" w:styleId="TableBodyText">
    <w:name w:val="Table Body Text"/>
    <w:basedOn w:val="BodyText"/>
    <w:rsid w:val="00207C13"/>
    <w:pPr>
      <w:spacing w:before="60" w:after="60"/>
    </w:pPr>
  </w:style>
  <w:style w:type="paragraph" w:styleId="ListContinue">
    <w:name w:val="List Continue"/>
    <w:basedOn w:val="List"/>
    <w:rsid w:val="00207C13"/>
    <w:pPr>
      <w:ind w:firstLine="0"/>
    </w:pPr>
  </w:style>
  <w:style w:type="paragraph" w:customStyle="1" w:styleId="ListNote">
    <w:name w:val="List Note"/>
    <w:basedOn w:val="List"/>
    <w:rsid w:val="00207C13"/>
    <w:pPr>
      <w:pBdr>
        <w:top w:val="single" w:sz="6" w:space="2" w:color="918585"/>
        <w:bottom w:val="single" w:sz="6" w:space="2" w:color="918585"/>
      </w:pBdr>
      <w:tabs>
        <w:tab w:val="left" w:pos="1021"/>
      </w:tabs>
      <w:ind w:firstLine="0"/>
    </w:pPr>
  </w:style>
  <w:style w:type="paragraph" w:customStyle="1" w:styleId="Warning">
    <w:name w:val="Warning"/>
    <w:basedOn w:val="BodyText"/>
    <w:rsid w:val="00207C13"/>
    <w:pPr>
      <w:shd w:val="clear" w:color="auto" w:fill="D9D9D9"/>
      <w:tabs>
        <w:tab w:val="left" w:pos="992"/>
      </w:tabs>
      <w:ind w:left="119" w:right="119"/>
    </w:pPr>
    <w:rPr>
      <w:sz w:val="20"/>
    </w:rPr>
  </w:style>
  <w:style w:type="paragraph" w:customStyle="1" w:styleId="MarginIcons">
    <w:name w:val="Margin Icons"/>
    <w:basedOn w:val="BodyText"/>
    <w:rsid w:val="00207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C13"/>
    <w:rPr>
      <w:rFonts w:ascii="Courier New" w:hAnsi="Courier New"/>
    </w:rPr>
  </w:style>
  <w:style w:type="paragraph" w:customStyle="1" w:styleId="NoteBullet">
    <w:name w:val="Note Bullet"/>
    <w:basedOn w:val="Note"/>
    <w:rsid w:val="00207C13"/>
    <w:pPr>
      <w:tabs>
        <w:tab w:val="clear" w:pos="680"/>
      </w:tabs>
      <w:spacing w:before="60" w:after="60"/>
    </w:pPr>
  </w:style>
  <w:style w:type="paragraph" w:customStyle="1" w:styleId="SubHeading2">
    <w:name w:val="SubHeading2"/>
    <w:basedOn w:val="HeadingBase"/>
    <w:rsid w:val="00207C13"/>
    <w:pPr>
      <w:spacing w:before="240" w:after="60"/>
    </w:pPr>
    <w:rPr>
      <w:sz w:val="20"/>
    </w:rPr>
  </w:style>
  <w:style w:type="paragraph" w:customStyle="1" w:styleId="SubHeading1">
    <w:name w:val="SubHeading1"/>
    <w:basedOn w:val="HeadingBase"/>
    <w:rsid w:val="00207C13"/>
    <w:pPr>
      <w:spacing w:before="240" w:after="60"/>
    </w:pPr>
    <w:rPr>
      <w:color w:val="918585"/>
      <w:sz w:val="22"/>
    </w:rPr>
  </w:style>
  <w:style w:type="paragraph" w:customStyle="1" w:styleId="SideHeading">
    <w:name w:val="Side Heading"/>
    <w:basedOn w:val="HeadingBase"/>
    <w:rsid w:val="00207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C13"/>
    <w:pPr>
      <w:numPr>
        <w:numId w:val="12"/>
      </w:numPr>
    </w:pPr>
  </w:style>
  <w:style w:type="paragraph" w:styleId="PlainText">
    <w:name w:val="Plain Text"/>
    <w:basedOn w:val="Normal"/>
    <w:link w:val="PlainTextChar"/>
    <w:rsid w:val="00207C13"/>
    <w:rPr>
      <w:sz w:val="20"/>
    </w:rPr>
  </w:style>
  <w:style w:type="character" w:customStyle="1" w:styleId="PlainTextChar">
    <w:name w:val="Plain Text Char"/>
    <w:basedOn w:val="DefaultParagraphFont"/>
    <w:link w:val="PlainText"/>
    <w:rsid w:val="00207C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7C13"/>
    <w:rPr>
      <w:b/>
      <w:smallCaps/>
    </w:rPr>
  </w:style>
  <w:style w:type="paragraph" w:customStyle="1" w:styleId="TableListNumber">
    <w:name w:val="Table List Number"/>
    <w:basedOn w:val="ListNumber"/>
    <w:rsid w:val="00207C13"/>
    <w:pPr>
      <w:numPr>
        <w:numId w:val="0"/>
      </w:numPr>
    </w:pPr>
  </w:style>
  <w:style w:type="paragraph" w:styleId="TOC4">
    <w:name w:val="toc 4"/>
    <w:basedOn w:val="TOCBase"/>
    <w:next w:val="Normal"/>
    <w:semiHidden/>
    <w:rsid w:val="00207C13"/>
    <w:pPr>
      <w:tabs>
        <w:tab w:val="right" w:leader="dot" w:pos="9071"/>
      </w:tabs>
      <w:ind w:left="1701"/>
    </w:pPr>
  </w:style>
  <w:style w:type="paragraph" w:customStyle="1" w:styleId="ListAlpha">
    <w:name w:val="List Alpha"/>
    <w:basedOn w:val="List"/>
    <w:rsid w:val="00207C13"/>
    <w:pPr>
      <w:numPr>
        <w:numId w:val="9"/>
      </w:numPr>
    </w:pPr>
  </w:style>
  <w:style w:type="paragraph" w:customStyle="1" w:styleId="ListAlpha2">
    <w:name w:val="List Alpha 2"/>
    <w:basedOn w:val="List2"/>
    <w:rsid w:val="00207C13"/>
    <w:pPr>
      <w:numPr>
        <w:numId w:val="8"/>
      </w:numPr>
    </w:pPr>
  </w:style>
  <w:style w:type="paragraph" w:styleId="List2">
    <w:name w:val="List 2"/>
    <w:basedOn w:val="BodyText"/>
    <w:rsid w:val="00207C13"/>
    <w:pPr>
      <w:tabs>
        <w:tab w:val="left" w:pos="680"/>
      </w:tabs>
      <w:spacing w:before="60" w:after="60"/>
      <w:ind w:left="680" w:hanging="340"/>
    </w:pPr>
  </w:style>
  <w:style w:type="paragraph" w:styleId="List3">
    <w:name w:val="List 3"/>
    <w:basedOn w:val="BodyText"/>
    <w:rsid w:val="00207C13"/>
    <w:pPr>
      <w:tabs>
        <w:tab w:val="left" w:pos="1021"/>
      </w:tabs>
      <w:spacing w:before="60" w:after="60"/>
      <w:ind w:left="1020" w:hanging="340"/>
    </w:pPr>
  </w:style>
  <w:style w:type="paragraph" w:styleId="List4">
    <w:name w:val="List 4"/>
    <w:basedOn w:val="BodyText"/>
    <w:rsid w:val="00207C13"/>
    <w:pPr>
      <w:tabs>
        <w:tab w:val="left" w:pos="1361"/>
      </w:tabs>
      <w:spacing w:before="60" w:after="60"/>
      <w:ind w:left="1361" w:hanging="340"/>
    </w:pPr>
  </w:style>
  <w:style w:type="paragraph" w:styleId="List5">
    <w:name w:val="List 5"/>
    <w:basedOn w:val="BodyText"/>
    <w:rsid w:val="00207C13"/>
    <w:pPr>
      <w:tabs>
        <w:tab w:val="left" w:pos="1701"/>
      </w:tabs>
      <w:spacing w:before="60" w:after="60"/>
      <w:ind w:left="1701" w:hanging="340"/>
    </w:pPr>
  </w:style>
  <w:style w:type="paragraph" w:styleId="ListBullet3">
    <w:name w:val="List Bullet 3"/>
    <w:basedOn w:val="List3"/>
    <w:rsid w:val="00207C13"/>
    <w:pPr>
      <w:numPr>
        <w:numId w:val="15"/>
      </w:numPr>
      <w:tabs>
        <w:tab w:val="clear" w:pos="1021"/>
      </w:tabs>
      <w:ind w:left="1037" w:hanging="357"/>
    </w:pPr>
  </w:style>
  <w:style w:type="paragraph" w:styleId="ListBullet4">
    <w:name w:val="List Bullet 4"/>
    <w:basedOn w:val="List4"/>
    <w:rsid w:val="00207C13"/>
    <w:pPr>
      <w:numPr>
        <w:numId w:val="3"/>
      </w:numPr>
    </w:pPr>
  </w:style>
  <w:style w:type="paragraph" w:styleId="ListBullet5">
    <w:name w:val="List Bullet 5"/>
    <w:basedOn w:val="List5"/>
    <w:rsid w:val="00207C13"/>
    <w:pPr>
      <w:numPr>
        <w:numId w:val="4"/>
      </w:numPr>
    </w:pPr>
  </w:style>
  <w:style w:type="paragraph" w:styleId="ListContinue2">
    <w:name w:val="List Continue 2"/>
    <w:basedOn w:val="List2"/>
    <w:rsid w:val="00207C13"/>
    <w:pPr>
      <w:ind w:firstLine="0"/>
    </w:pPr>
  </w:style>
  <w:style w:type="paragraph" w:styleId="ListContinue3">
    <w:name w:val="List Continue 3"/>
    <w:basedOn w:val="List3"/>
    <w:rsid w:val="00207C13"/>
    <w:pPr>
      <w:ind w:left="1021" w:firstLine="0"/>
    </w:pPr>
  </w:style>
  <w:style w:type="paragraph" w:styleId="ListContinue4">
    <w:name w:val="List Continue 4"/>
    <w:basedOn w:val="List4"/>
    <w:rsid w:val="00207C13"/>
    <w:pPr>
      <w:ind w:firstLine="0"/>
    </w:pPr>
  </w:style>
  <w:style w:type="paragraph" w:styleId="ListContinue5">
    <w:name w:val="List Continue 5"/>
    <w:basedOn w:val="List5"/>
    <w:rsid w:val="00207C13"/>
    <w:pPr>
      <w:ind w:firstLine="0"/>
    </w:pPr>
  </w:style>
  <w:style w:type="paragraph" w:styleId="ListNumber3">
    <w:name w:val="List Number 3"/>
    <w:basedOn w:val="List3"/>
    <w:rsid w:val="00207C13"/>
    <w:pPr>
      <w:numPr>
        <w:numId w:val="5"/>
      </w:numPr>
    </w:pPr>
  </w:style>
  <w:style w:type="paragraph" w:styleId="ListNumber4">
    <w:name w:val="List Number 4"/>
    <w:basedOn w:val="List4"/>
    <w:rsid w:val="00207C13"/>
    <w:pPr>
      <w:numPr>
        <w:numId w:val="6"/>
      </w:numPr>
    </w:pPr>
  </w:style>
  <w:style w:type="paragraph" w:styleId="ListNumber5">
    <w:name w:val="List Number 5"/>
    <w:basedOn w:val="List5"/>
    <w:rsid w:val="00207C13"/>
    <w:pPr>
      <w:numPr>
        <w:numId w:val="7"/>
      </w:numPr>
    </w:pPr>
  </w:style>
  <w:style w:type="paragraph" w:styleId="BlockText">
    <w:name w:val="Block Text"/>
    <w:basedOn w:val="Normal"/>
    <w:rsid w:val="00207C13"/>
    <w:pPr>
      <w:spacing w:after="120"/>
      <w:ind w:left="1440" w:right="1440"/>
    </w:pPr>
  </w:style>
  <w:style w:type="character" w:customStyle="1" w:styleId="Subscript">
    <w:name w:val="Subscript"/>
    <w:basedOn w:val="DefaultParagraphFont"/>
    <w:rsid w:val="00207C13"/>
    <w:rPr>
      <w:sz w:val="16"/>
      <w:vertAlign w:val="subscript"/>
    </w:rPr>
  </w:style>
  <w:style w:type="character" w:customStyle="1" w:styleId="Superscript">
    <w:name w:val="Superscript"/>
    <w:basedOn w:val="DefaultParagraphFont"/>
    <w:rsid w:val="00207C13"/>
    <w:rPr>
      <w:sz w:val="16"/>
      <w:vertAlign w:val="superscript"/>
    </w:rPr>
  </w:style>
  <w:style w:type="character" w:customStyle="1" w:styleId="Symbols">
    <w:name w:val="Symbols"/>
    <w:basedOn w:val="DefaultParagraphFont"/>
    <w:rsid w:val="00207C13"/>
    <w:rPr>
      <w:rFonts w:ascii="Symbol" w:hAnsi="Symbol"/>
    </w:rPr>
  </w:style>
  <w:style w:type="character" w:customStyle="1" w:styleId="MenuOptions">
    <w:name w:val="Menu Options"/>
    <w:basedOn w:val="DefaultParagraphFont"/>
    <w:rsid w:val="00207C13"/>
    <w:rPr>
      <w:rFonts w:ascii="Arial Narrow" w:hAnsi="Arial Narrow"/>
      <w:smallCaps/>
    </w:rPr>
  </w:style>
  <w:style w:type="character" w:customStyle="1" w:styleId="Buttons">
    <w:name w:val="Buttons"/>
    <w:basedOn w:val="DefaultParagraphFont"/>
    <w:rsid w:val="00207C13"/>
    <w:rPr>
      <w:b/>
    </w:rPr>
  </w:style>
  <w:style w:type="character" w:customStyle="1" w:styleId="Underlined">
    <w:name w:val="Underlined"/>
    <w:basedOn w:val="DefaultParagraphFont"/>
    <w:rsid w:val="00207C13"/>
    <w:rPr>
      <w:u w:val="single"/>
    </w:rPr>
  </w:style>
  <w:style w:type="paragraph" w:customStyle="1" w:styleId="TableBodyTextRight">
    <w:name w:val="Table Body Text Right"/>
    <w:basedOn w:val="TableBodyText"/>
    <w:rsid w:val="00207C13"/>
    <w:pPr>
      <w:widowControl w:val="0"/>
      <w:autoSpaceDE w:val="0"/>
      <w:autoSpaceDN w:val="0"/>
      <w:adjustRightInd w:val="0"/>
      <w:jc w:val="right"/>
    </w:pPr>
    <w:rPr>
      <w:rFonts w:cs="Arial"/>
      <w:szCs w:val="18"/>
    </w:rPr>
  </w:style>
  <w:style w:type="paragraph" w:customStyle="1" w:styleId="CopyrightText">
    <w:name w:val="Copyright Text"/>
    <w:basedOn w:val="BodyText"/>
    <w:rsid w:val="00207C13"/>
    <w:rPr>
      <w:sz w:val="18"/>
    </w:rPr>
  </w:style>
  <w:style w:type="paragraph" w:customStyle="1" w:styleId="BodySmallRight">
    <w:name w:val="Body Small Right"/>
    <w:basedOn w:val="BodyTextRight"/>
    <w:rsid w:val="00207C13"/>
    <w:rPr>
      <w:sz w:val="18"/>
      <w:szCs w:val="18"/>
    </w:rPr>
  </w:style>
  <w:style w:type="paragraph" w:customStyle="1" w:styleId="MarginEdition">
    <w:name w:val="Margin Edition"/>
    <w:basedOn w:val="MarginNote"/>
    <w:rsid w:val="00207C13"/>
    <w:pPr>
      <w:spacing w:before="0" w:after="0"/>
    </w:pPr>
    <w:rPr>
      <w:rFonts w:ascii="Times New Roman" w:hAnsi="Times New Roman"/>
      <w:color w:val="999999"/>
    </w:rPr>
  </w:style>
  <w:style w:type="paragraph" w:customStyle="1" w:styleId="Spacer">
    <w:name w:val="Spacer"/>
    <w:basedOn w:val="Normal"/>
    <w:rsid w:val="00207C13"/>
    <w:rPr>
      <w:sz w:val="2"/>
      <w:szCs w:val="2"/>
    </w:rPr>
  </w:style>
  <w:style w:type="character" w:customStyle="1" w:styleId="Small">
    <w:name w:val="Small"/>
    <w:basedOn w:val="DefaultParagraphFont"/>
    <w:rsid w:val="00207C13"/>
    <w:rPr>
      <w:sz w:val="16"/>
    </w:rPr>
  </w:style>
  <w:style w:type="paragraph" w:customStyle="1" w:styleId="WideTable">
    <w:name w:val="Wide Table"/>
    <w:basedOn w:val="Normal"/>
    <w:rsid w:val="00207C13"/>
    <w:pPr>
      <w:ind w:left="-1418"/>
    </w:pPr>
    <w:rPr>
      <w:sz w:val="2"/>
      <w:szCs w:val="2"/>
    </w:rPr>
  </w:style>
  <w:style w:type="character" w:styleId="PageNumber">
    <w:name w:val="page number"/>
    <w:basedOn w:val="DefaultParagraphFont"/>
    <w:rsid w:val="00207C13"/>
  </w:style>
  <w:style w:type="paragraph" w:styleId="Quote">
    <w:name w:val="Quote"/>
    <w:basedOn w:val="Heading1"/>
    <w:link w:val="QuoteChar"/>
    <w:qFormat/>
    <w:rsid w:val="00207C13"/>
    <w:rPr>
      <w:b w:val="0"/>
      <w:sz w:val="72"/>
      <w:szCs w:val="72"/>
      <w:lang w:val="en-NZ"/>
    </w:rPr>
  </w:style>
  <w:style w:type="character" w:customStyle="1" w:styleId="QuoteChar">
    <w:name w:val="Quote Char"/>
    <w:basedOn w:val="DefaultParagraphFont"/>
    <w:link w:val="Quote"/>
    <w:rsid w:val="00207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C13"/>
    <w:pPr>
      <w:pageBreakBefore/>
    </w:pPr>
  </w:style>
  <w:style w:type="paragraph" w:customStyle="1" w:styleId="Border">
    <w:name w:val="Border"/>
    <w:basedOn w:val="Normal"/>
    <w:qFormat/>
    <w:rsid w:val="00207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C13"/>
    <w:rPr>
      <w:b/>
      <w:bCs/>
      <w:i/>
      <w:iCs/>
      <w:color w:val="auto"/>
    </w:rPr>
  </w:style>
  <w:style w:type="paragraph" w:styleId="IntenseQuote">
    <w:name w:val="Intense Quote"/>
    <w:basedOn w:val="Normal"/>
    <w:next w:val="Normal"/>
    <w:link w:val="IntenseQuoteChar"/>
    <w:uiPriority w:val="30"/>
    <w:qFormat/>
    <w:rsid w:val="00207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C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7C13"/>
    <w:rPr>
      <w:smallCaps/>
      <w:color w:val="auto"/>
      <w:u w:val="single"/>
    </w:rPr>
  </w:style>
  <w:style w:type="character" w:styleId="IntenseReference">
    <w:name w:val="Intense Reference"/>
    <w:basedOn w:val="DefaultParagraphFont"/>
    <w:uiPriority w:val="32"/>
    <w:qFormat/>
    <w:rsid w:val="00207C13"/>
    <w:rPr>
      <w:b/>
      <w:bCs/>
      <w:smallCaps/>
      <w:color w:val="auto"/>
      <w:spacing w:val="5"/>
      <w:u w:val="single"/>
    </w:rPr>
  </w:style>
  <w:style w:type="paragraph" w:customStyle="1" w:styleId="2ColumnHeading">
    <w:name w:val="2Column Heading"/>
    <w:basedOn w:val="BodyText"/>
    <w:qFormat/>
    <w:rsid w:val="00207C13"/>
    <w:pPr>
      <w:spacing w:after="60"/>
      <w:ind w:left="-2268"/>
    </w:pPr>
    <w:rPr>
      <w:b/>
    </w:rPr>
  </w:style>
  <w:style w:type="paragraph" w:customStyle="1" w:styleId="Heading1TOC">
    <w:name w:val="Heading1 TOC"/>
    <w:basedOn w:val="Normal"/>
    <w:qFormat/>
    <w:rsid w:val="00207C13"/>
    <w:pPr>
      <w:spacing w:before="240" w:after="120"/>
    </w:pPr>
    <w:rPr>
      <w:rFonts w:ascii="Times New Roman" w:hAnsi="Times New Roman"/>
      <w:b/>
      <w:sz w:val="32"/>
    </w:rPr>
  </w:style>
  <w:style w:type="paragraph" w:customStyle="1" w:styleId="Heading2TOC">
    <w:name w:val="Heading2 TOC"/>
    <w:basedOn w:val="Normal"/>
    <w:qFormat/>
    <w:rsid w:val="00207C13"/>
    <w:pPr>
      <w:spacing w:before="240" w:after="60"/>
    </w:pPr>
    <w:rPr>
      <w:rFonts w:ascii="Times New Roman" w:hAnsi="Times New Roman"/>
      <w:b/>
      <w:sz w:val="28"/>
    </w:rPr>
  </w:style>
  <w:style w:type="character" w:customStyle="1" w:styleId="Underline">
    <w:name w:val="Underline"/>
    <w:basedOn w:val="DefaultParagraphFont"/>
    <w:qFormat/>
    <w:rsid w:val="00207C13"/>
    <w:rPr>
      <w:u w:val="single"/>
    </w:rPr>
  </w:style>
  <w:style w:type="character" w:customStyle="1" w:styleId="BoldandItalics">
    <w:name w:val="Bold and Italics"/>
    <w:qFormat/>
    <w:rsid w:val="00207C13"/>
    <w:rPr>
      <w:b/>
      <w:i/>
      <w:u w:val="none"/>
    </w:rPr>
  </w:style>
  <w:style w:type="paragraph" w:styleId="BalloonText">
    <w:name w:val="Balloon Text"/>
    <w:basedOn w:val="Normal"/>
    <w:link w:val="BalloonTextChar"/>
    <w:rsid w:val="00207C13"/>
    <w:rPr>
      <w:rFonts w:ascii="Tahoma" w:hAnsi="Tahoma" w:cs="Tahoma"/>
      <w:sz w:val="16"/>
      <w:szCs w:val="16"/>
    </w:rPr>
  </w:style>
  <w:style w:type="character" w:customStyle="1" w:styleId="BalloonTextChar">
    <w:name w:val="Balloon Text Char"/>
    <w:basedOn w:val="DefaultParagraphFont"/>
    <w:link w:val="BalloonText"/>
    <w:rsid w:val="00207C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7C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C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2332</Words>
  <Characters>14427</Characters>
  <Application>Microsoft Office Word</Application>
  <DocSecurity>0</DocSecurity>
  <Lines>595</Lines>
  <Paragraphs>285</Paragraphs>
  <ScaleCrop>false</ScaleCrop>
  <Company>Author-it Software Corporation Ltd.</Company>
  <LinksUpToDate>false</LinksUpToDate>
  <CharactersWithSpaces>16571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UETTDRIS67A Solve problems in energy supply network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2012-05-26T12:13:00Z</dcterms:created>
  <dcterms:modified xsi:type="dcterms:W3CDTF">2012-05-26T12:13:00Z</dcterms:modified>
</cp:coreProperties>
</file>