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7B4" w:rsidP="009067B4">
      <w:pPr>
        <w:pStyle w:val="Title"/>
      </w:pPr>
      <w:r>
        <w:fldChar w:fldCharType="begin"/>
      </w:r>
      <w:r>
        <w:instrText xml:space="preserve"> TITLE   \* MERGEFORMAT </w:instrText>
      </w:r>
      <w:r>
        <w:fldChar w:fldCharType="separate"/>
      </w:r>
      <w:r>
        <w:t>UETTDRIS64A Install mobile generation set for synchronised HV Genset</w:t>
      </w:r>
      <w:r>
        <w:fldChar w:fldCharType="end"/>
      </w:r>
    </w:p>
    <w:p w:rsidR="009067B4" w:rsidP="009067B4">
      <w:pPr>
        <w:pStyle w:val="Version"/>
        <w:sectPr w:rsidSect="007E15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575" w:rsidP="007E1575">
      <w:pPr>
        <w:pStyle w:val="SuperHeading"/>
      </w:pPr>
      <w:r w:rsidRPr="007E1575">
        <w:t>UETTDRIS64A Install mobile generation set for synchronised HV Genset</w:t>
      </w:r>
    </w:p>
    <w:p w:rsidR="00000000" w:rsidRPr="007E1575" w:rsidP="007E1575">
      <w:pPr>
        <w:pStyle w:val="Heading1"/>
      </w:pPr>
      <w:bookmarkStart w:id="1" w:name="O_462872"/>
      <w:bookmarkEnd w:id="1"/>
      <w:r w:rsidRPr="007E1575">
        <w:t>Modification History</w:t>
      </w:r>
    </w:p>
    <w:p w:rsidR="00000000" w:rsidRPr="007E1575" w:rsidP="007E1575">
      <w:pPr>
        <w:pStyle w:val="BodyText"/>
      </w:pPr>
      <w:r w:rsidRPr="007E1575">
        <w:t>Not applicable.</w:t>
      </w:r>
    </w:p>
    <w:p w:rsidR="00000000" w:rsidRPr="007E1575" w:rsidP="007E1575">
      <w:pPr>
        <w:pStyle w:val="AllowPageBreak"/>
      </w:pPr>
    </w:p>
    <w:p w:rsidR="00000000" w:rsidRPr="007E1575" w:rsidP="007E1575">
      <w:pPr>
        <w:pStyle w:val="Heading1"/>
      </w:pPr>
      <w:bookmarkStart w:id="2" w:name="O_462870"/>
      <w:bookmarkEnd w:id="2"/>
      <w:r w:rsidRPr="007E1575">
        <w:t>Unit Descriptor</w:t>
      </w:r>
    </w:p>
    <w:tbl>
      <w:tblPr>
        <w:tblW w:w="0" w:type="auto"/>
        <w:tblLayout w:type="fixed"/>
        <w:tblCellMar>
          <w:left w:w="62" w:type="dxa"/>
          <w:right w:w="62" w:type="dxa"/>
        </w:tblCellMar>
        <w:tblLook w:val="0000"/>
      </w:tblPr>
      <w:tblGrid>
        <w:gridCol w:w="2700"/>
        <w:gridCol w:w="5760"/>
      </w:tblGrid>
      <w:tr w:rsidTr="00906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1)</w:t>
            </w:r>
            <w:r w:rsidRPr="007E1575">
              <w:t xml:space="preserve"> </w:t>
            </w:r>
            <w:r w:rsidRPr="007E1575">
              <w:rPr>
                <w:rStyle w:val="SpecialBold"/>
              </w:rPr>
              <w:t>Scope: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15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1.1) Descriptor</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This Competency Standard Unit covers installation of temporary portable generation sets to HV distribution assets thereby maintaining supply in accordance with industry regulations and established procedures. It encompasses the operation, connection and di</w:t>
            </w:r>
            <w:r w:rsidRPr="007E1575">
              <w:t>sconnection of a temporary portable generator and includes the estimation of HV load and assessing the appropriateness of the generator for the required outcome and networking of generators.</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3" w:name="O_462859"/>
      <w:bookmarkEnd w:id="3"/>
      <w:r w:rsidRPr="007E1575">
        <w:t>Application of the Unit</w:t>
      </w:r>
    </w:p>
    <w:tbl>
      <w:tblPr>
        <w:tblW w:w="0" w:type="auto"/>
        <w:tblLayout w:type="fixed"/>
        <w:tblCellMar>
          <w:left w:w="62" w:type="dxa"/>
          <w:right w:w="62" w:type="dxa"/>
        </w:tblCellMar>
        <w:tblLook w:val="0000"/>
      </w:tblPr>
      <w:tblGrid>
        <w:gridCol w:w="2672"/>
        <w:gridCol w:w="5699"/>
      </w:tblGrid>
      <w:tr w:rsidTr="009067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Application of the Uni</w:t>
            </w:r>
            <w:r w:rsidRPr="007E1575">
              <w:rPr>
                <w:rStyle w:val="SpecialBold"/>
              </w:rPr>
              <w:t>t</w:t>
            </w:r>
          </w:p>
        </w:tc>
        <w:tc>
          <w:tcPr>
            <w:tcW w:w="5699"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2)</w:t>
            </w:r>
          </w:p>
        </w:tc>
      </w:tr>
      <w:tr w:rsidTr="009067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This Competency Standard Unit is intended to augment formally acquired competencies. It is suitable for employment-based programs under an approved contract of training.</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4" w:name="O_462866"/>
      <w:bookmarkEnd w:id="4"/>
      <w:r w:rsidRPr="007E1575">
        <w:t>Licensing/Regulatory Information</w:t>
      </w:r>
    </w:p>
    <w:tbl>
      <w:tblPr>
        <w:tblW w:w="0" w:type="auto"/>
        <w:tblLayout w:type="fixed"/>
        <w:tblCellMar>
          <w:left w:w="62" w:type="dxa"/>
          <w:right w:w="62" w:type="dxa"/>
        </w:tblCellMar>
        <w:tblLook w:val="0000"/>
      </w:tblPr>
      <w:tblGrid>
        <w:gridCol w:w="2700"/>
        <w:gridCol w:w="5760"/>
      </w:tblGrid>
      <w:tr w:rsidTr="00906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 xml:space="preserve">3)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The skills and knowledge described in this unit may require a licence/registration to practice in the work place subject to regulations for undertaking of electrical work. Practice in workplace and during training is also subject to regulations directly re</w:t>
            </w:r>
            <w:r w:rsidRPr="007E1575">
              <w:t xml:space="preserve">lated to Occupational Health and Safety, electricity/telecommunications/gas/water industry </w:t>
            </w:r>
            <w:r w:rsidRPr="007E1575">
              <w:t>safety and compliance, industrial relations, environmental protection, anti discrimination and training. Commonwealth, State/Territory or Local Government legislatio</w:t>
            </w:r>
            <w:r w:rsidRPr="007E1575">
              <w:t>n and regulations may exist that limits the age of operating certain equipment.</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5" w:name="O_462867"/>
      <w:bookmarkEnd w:id="5"/>
      <w:r w:rsidRPr="007E1575">
        <w:t>Pre-Requisites</w:t>
      </w:r>
    </w:p>
    <w:tbl>
      <w:tblPr>
        <w:tblW w:w="0" w:type="auto"/>
        <w:tblLayout w:type="fixed"/>
        <w:tblCellMar>
          <w:left w:w="62" w:type="dxa"/>
          <w:right w:w="62" w:type="dxa"/>
        </w:tblCellMar>
        <w:tblLook w:val="0000"/>
      </w:tblPr>
      <w:tblGrid>
        <w:gridCol w:w="2700"/>
        <w:gridCol w:w="2070"/>
        <w:gridCol w:w="3690"/>
      </w:tblGrid>
      <w:tr w:rsidTr="00906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 xml:space="preserve">4)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4.1)</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Granting of competency in this unit shall be made only after competency in the following unit(s) has/have been confirmed.</w:t>
            </w:r>
          </w:p>
          <w:p w:rsidR="00000000" w:rsidRPr="007E1575" w:rsidP="007E1575">
            <w:pPr>
              <w:pStyle w:val="BodyText"/>
            </w:pPr>
            <w:r w:rsidRPr="007E1575">
              <w:t xml:space="preserve">Where pre-requisite pathways have been identified. All competencies in the Common Unit Group must be have been completed plus all the </w:t>
            </w:r>
            <w:r w:rsidRPr="007E1575">
              <w:t>competencies in one (1) of the identified Pathway Unit Group(s):</w:t>
            </w:r>
          </w:p>
          <w:p w:rsidR="00000000" w:rsidRPr="007E1575" w:rsidP="007E1575">
            <w:pPr>
              <w:pStyle w:val="BodyText"/>
            </w:pPr>
            <w:r w:rsidRPr="007E1575">
              <w:t>Transmission Overhead</w:t>
            </w:r>
          </w:p>
          <w:p w:rsidR="00000000" w:rsidRPr="007E1575" w:rsidP="007E1575">
            <w:pPr>
              <w:pStyle w:val="BodyText"/>
            </w:pPr>
            <w:r w:rsidRPr="007E1575">
              <w:t>Distribution Overhead</w:t>
            </w:r>
          </w:p>
          <w:p w:rsidR="00000000" w:rsidRPr="007E1575" w:rsidP="007E1575">
            <w:pPr>
              <w:pStyle w:val="BodyText"/>
            </w:pPr>
            <w:r w:rsidRPr="007E1575">
              <w:t>Rail Traction</w:t>
            </w:r>
          </w:p>
          <w:p w:rsidR="00000000" w:rsidRPr="007E1575" w:rsidP="007E1575">
            <w:pPr>
              <w:pStyle w:val="BodyText"/>
            </w:pPr>
            <w:r w:rsidRPr="007E1575">
              <w:t>Distribution Cable Jointing</w:t>
            </w:r>
          </w:p>
          <w:p w:rsidR="00000000" w:rsidRPr="007E1575" w:rsidP="007E1575">
            <w:pPr>
              <w:pStyle w:val="BodyText"/>
            </w:pPr>
            <w:r w:rsidRPr="007E1575">
              <w:t>Electrical</w:t>
            </w:r>
          </w:p>
          <w:p w:rsidR="00000000" w:rsidP="007E1575">
            <w:pPr>
              <w:pStyle w:val="BodyText"/>
              <w:rPr>
                <w:lang w:val="en-NZ"/>
              </w:rPr>
            </w:pPr>
            <w:r w:rsidRPr="007E1575">
              <w:t>Common Unit Group</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Apply Occupational Health and Safety regulations, codes and practices in the workplace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Fabricate, assemble and dismantle utilities industry components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d.c.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Fix and secure electrotechnolog</w:t>
            </w:r>
            <w:r w:rsidRPr="007E1575">
              <w:t>y equipment</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Use drawings, diagrams, schedules, standards, codes and specifications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electromagnetic devices and related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low voltage a.c.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Working safely near live electrical apparatus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 xml:space="preserve">Transmission Overhead Pathway Group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Apply sustainable energy and environmental procedures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Operate plant and equipment near live electrical conductors and apparatus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UETTDRIS44A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Perform HV field switching operation to a given schedule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poles, structures, overhead conductors and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UETTDRTP26A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transmission structures and associated hardware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UETTDRTP27A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transmission structures and associated hardware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UETTDRTP29A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transmission overhead conductors and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Distribution Overhead Pathway Group</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Apply sustainable energy and environmental procedures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UETTDRDP12A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overhead energised low voltage conductors and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Operate plant and equipment near live electrical conductors and apparatus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network infrastructure electrical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network infrastructure electrical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UETTDRIS43A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Perform low voltage field switching operation to a given schedule.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Install and maintain poles</w:t>
            </w:r>
            <w:r w:rsidRPr="007E1575">
              <w:t>, structures and associated hardware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poles, structures, overhead conductors and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low voltage overhead services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Rail Traction Pathway Group</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Apply sustainable energy and environmental procedures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Operate plant and equipment near live electrical conductors and apparatus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Install and maintain poles, structures and associated hardware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Install and maintain</w:t>
            </w:r>
            <w:r w:rsidRPr="007E1575">
              <w:t xml:space="preserve"> poles, structures, overhead conductors and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UETTDRRT21A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traction overhead wiring systems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UETTDRRT22A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traction overhead wiring systems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UETTDRRT23A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rail traction bonds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UETTDRRT27A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overhead traction components and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UETTDRRT28A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overhead traction components and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UETTDRRT30A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Perform to a given schedule rail traction switching operations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Distribution Cable Jointing Pathway Group</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UETTDRCJ21A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Lay ESI electrical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UETTDRCJ26A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de-energised low voltage underground polymeric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UETTDRCJ27A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de-energised high voltage underground polymeric cables.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Apply sustainable energy and environmental procedures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Operate plant and equipment near live electrical conductors and apparatus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UETTDRIS41A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network infrastructure electrical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Maintain network infrastructure electrical equipment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UETTDRIS43A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Perform low voltage field switching operation to a given schedule.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UETTDRIS55A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 xml:space="preserve">Install and maintain low voltage underground services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Electrical Pathway Group</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Code</w:t>
            </w:r>
          </w:p>
        </w:tc>
        <w:tc>
          <w:tcPr>
            <w:tcW w:w="36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Unit Title</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UEENEEE137A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Document and apply measures to control OHS risks associated with electrotechnology work</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single and three phase low voltage machines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single and three phase electrical a</w:t>
            </w:r>
            <w:r w:rsidRPr="007E1575">
              <w:t>pparatus and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Arrange circuits, control and protection for general electrical installations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Terminate cables, cords and accessories for low voltage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Trouble-shoot and repair faults in low voltage el</w:t>
            </w:r>
            <w:r w:rsidRPr="007E1575">
              <w:t>ectrical apparatus and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Develop and connect electrical control circuits</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UEENEEK142A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Apply environmentally and sustainable energy procedures in the energy sector</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Solve problems in energy supply network equipment</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7E1575">
            <w:pPr>
              <w:pStyle w:val="BodyText"/>
              <w:rPr>
                <w:lang w:val="en-NZ"/>
              </w:rPr>
            </w:pPr>
            <w:r w:rsidRPr="007E1575">
              <w:t>UETTDRSB39A</w:t>
            </w:r>
          </w:p>
        </w:tc>
        <w:tc>
          <w:tcPr>
            <w:tcW w:w="3690" w:type="dxa"/>
            <w:tcBorders>
              <w:top w:val="nil"/>
              <w:left w:val="nil"/>
              <w:bottom w:val="nil"/>
              <w:right w:val="nil"/>
            </w:tcBorders>
            <w:tcMar>
              <w:top w:w="0" w:type="dxa"/>
              <w:left w:w="62" w:type="dxa"/>
              <w:bottom w:w="0" w:type="dxa"/>
              <w:right w:w="62" w:type="dxa"/>
            </w:tcMar>
            <w:vAlign w:val="center"/>
          </w:tcPr>
          <w:p w:rsidR="00000000" w:rsidRPr="007E1575" w:rsidP="007E1575">
            <w:pPr>
              <w:pStyle w:val="BodyText"/>
            </w:pPr>
            <w:r w:rsidRPr="007E1575">
              <w:t>Perform power system substation switching operation to a given schedule</w:t>
            </w:r>
          </w:p>
        </w:tc>
      </w:tr>
    </w:tbl>
    <w:p w:rsidR="00000000" w:rsidRPr="007E1575" w:rsidP="007E157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067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 xml:space="preserve">4.2)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Participants are best equipped to achieve this unit if they have reading, writing and numeracy skills indicated by the following scales. Description of each scale is given in Volume 2, Part 3 “Literacy and Numeracy”</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Reading</w:t>
            </w:r>
          </w:p>
        </w:tc>
        <w:tc>
          <w:tcPr>
            <w:tcW w:w="81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4</w:t>
            </w:r>
          </w:p>
        </w:tc>
        <w:tc>
          <w:tcPr>
            <w:tcW w:w="99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Writing</w:t>
            </w:r>
          </w:p>
        </w:tc>
        <w:tc>
          <w:tcPr>
            <w:tcW w:w="90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4</w:t>
            </w:r>
          </w:p>
        </w:tc>
        <w:tc>
          <w:tcPr>
            <w:tcW w:w="12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Numeracy</w:t>
            </w:r>
          </w:p>
        </w:tc>
        <w:tc>
          <w:tcPr>
            <w:tcW w:w="72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4</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6" w:name="O_462863"/>
      <w:bookmarkEnd w:id="6"/>
      <w:r w:rsidRPr="007E1575">
        <w:t>Employability Skills Information</w:t>
      </w:r>
    </w:p>
    <w:tbl>
      <w:tblPr>
        <w:tblW w:w="0" w:type="auto"/>
        <w:tblLayout w:type="fixed"/>
        <w:tblCellMar>
          <w:left w:w="62" w:type="dxa"/>
          <w:right w:w="62" w:type="dxa"/>
        </w:tblCellMar>
        <w:tblLook w:val="0000"/>
      </w:tblPr>
      <w:tblGrid>
        <w:gridCol w:w="2700"/>
        <w:gridCol w:w="5760"/>
      </w:tblGrid>
      <w:tr w:rsidTr="00906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 xml:space="preserve">5)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The required outcomes described in this unit of competency contain applicable facets of Employability Skills. The Employability Skills Summary of the qualification in which this u</w:t>
            </w:r>
            <w:r w:rsidRPr="007E1575">
              <w:t>nit of competency is packaged will assist in identifying Employability Skill requirements.</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7" w:name="O_462862"/>
      <w:bookmarkEnd w:id="7"/>
      <w:r w:rsidRPr="007E1575">
        <w:t>Elements and Performance Criteria Pre-Content</w:t>
      </w:r>
    </w:p>
    <w:tbl>
      <w:tblPr>
        <w:tblW w:w="0" w:type="auto"/>
        <w:tblLayout w:type="fixed"/>
        <w:tblCellMar>
          <w:left w:w="62" w:type="dxa"/>
          <w:right w:w="62" w:type="dxa"/>
        </w:tblCellMar>
        <w:tblLook w:val="0000"/>
      </w:tblPr>
      <w:tblGrid>
        <w:gridCol w:w="2700"/>
        <w:gridCol w:w="5760"/>
      </w:tblGrid>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6)</w:t>
            </w:r>
            <w:r w:rsidRPr="007E157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Performance Criteria describe the required performance needed to demonstrate achievement of the element. Assessment of performance is to be consistent with the Evidence Guide.</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8" w:name="O_462861"/>
      <w:bookmarkEnd w:id="8"/>
      <w:r w:rsidRPr="007E1575">
        <w:t>Elements and Performance Criteria</w:t>
      </w:r>
    </w:p>
    <w:tbl>
      <w:tblPr>
        <w:tblW w:w="0" w:type="auto"/>
        <w:tblLayout w:type="fixed"/>
        <w:tblCellMar>
          <w:left w:w="62" w:type="dxa"/>
          <w:right w:w="62" w:type="dxa"/>
        </w:tblCellMar>
        <w:tblLook w:val="0000"/>
      </w:tblPr>
      <w:tblGrid>
        <w:gridCol w:w="409"/>
        <w:gridCol w:w="2291"/>
        <w:gridCol w:w="932"/>
        <w:gridCol w:w="4828"/>
      </w:tblGrid>
      <w:tr w:rsidTr="009067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PERFORMANCE CRITER</w:t>
            </w:r>
            <w:r w:rsidRPr="007E1575">
              <w:rPr>
                <w:rStyle w:val="SpecialBold"/>
              </w:rPr>
              <w:t>IA</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w:t>
            </w:r>
          </w:p>
        </w:tc>
        <w:tc>
          <w:tcPr>
            <w:tcW w:w="2291"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Prepare/plan to install mobile generation set for synchronised genset HV</w:t>
            </w: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1.1</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 xml:space="preserve">Works schedule(s), including drawings, plans, requirements, established procedures, and material lists, are obtained, analysed, if necessary, </w:t>
            </w:r>
            <w:r w:rsidRPr="007E1575">
              <w:t>by site inspection and the extent of the preparation of the work determined for planning and coordination.</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1.2</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Work is prioritised and sequenced for the most efficient and effective outcome following consultation with others for completion within accept</w:t>
            </w:r>
            <w:r w:rsidRPr="007E1575">
              <w:t>able timeframes, to a quality standard and in accordance with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1.3</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Hazards are identified, OHS risks assessed and control measures are prioritised, implemented and monitored including emergency exits kept clear according to establ</w:t>
            </w:r>
            <w:r w:rsidRPr="007E1575">
              <w:t>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1.4</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Relevant requirements and established procedures for the work are to all personnel and identified for all work sites.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1.5</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OHS policies and procedure</w:t>
            </w:r>
            <w:r w:rsidRPr="007E1575">
              <w:t>s related to the work are identified to ensure safe systems of work are followed.</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1.6</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Relevant work permits are secured to coordinate the performance of work according to requirements and/or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1.7</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 xml:space="preserve">Resources including personnel, </w:t>
            </w:r>
            <w:r w:rsidRPr="007E1575">
              <w:t>equipment, tools and personal protective equipment required for the job are identified, scheduled and coordinated and confirmed in a safe and technical working order.</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1.8</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Clients/customers are provided with possible solutions and/or options within the scope, acceptable cost and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1.9</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Liaison and communication issues with other/authorised personnel, authorities, clients and land owners are resolved and activit</w:t>
            </w:r>
            <w:r w:rsidRPr="007E1575">
              <w:t>ies coordinated to carry out work.</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1.10</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Personnel participating in the work, including plant operators and contractors, are fully briefed and respective responsibilities coordinated and authorised where applicable in accordance with established procedur</w:t>
            </w:r>
            <w:r w:rsidRPr="007E1575">
              <w:t>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1.11</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Site is prepared according to the work schedule and to minimise risk and damage to property, commerce, and individuals in accordance with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1.12</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Positioning of road signs, barriers and warning devices is planned and coordinated in accordance with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w:t>
            </w:r>
          </w:p>
        </w:tc>
        <w:tc>
          <w:tcPr>
            <w:tcW w:w="2291"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Carry out the installation of mobile generation set for synchronised genset HV</w:t>
            </w: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2.1</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OHS and sustainable energy principles and practices to</w:t>
            </w:r>
            <w:r w:rsidRPr="007E1575">
              <w:t xml:space="preserve"> reduce the incidents of accidents and minimise waste are monitored and actioned in accordance with requirements and/or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2.2</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First Aid and other related work procedures are performed according to requirements and/or established pr</w:t>
            </w:r>
            <w:r w:rsidRPr="007E1575">
              <w:t>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2.3</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Lifting, climbing, working in confined spaces and aloft, and use of power tools/equipment, techniques and practices are safely exercised according to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2.4</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Hazard warnings and safety signs are recognised and hazards and asse</w:t>
            </w:r>
            <w:r w:rsidRPr="007E1575">
              <w:t>ssed OHS risks are reported to the immediate authorised persons for directions according to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2.5</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Remedial actions are taken to overcome any shortfalls encountered in the work schedule according to requirements and/or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2.6</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Installation of mobile generation set for synchronised genset HV is carried out, in accordance with the w</w:t>
            </w:r>
            <w:r w:rsidRPr="007E1575">
              <w:t>ork schedule and requirements and/or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2.7</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Essential knowledge and associated skills are applied in the safe installation of mobile generation set for synchronised genset HV to ensure completion in an agreed timeframe and, to quali</w:t>
            </w:r>
            <w:r w:rsidRPr="007E1575">
              <w:t>ty standards with a minimum of waste according to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2.8</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Solutions to non-routine problems are identified and actioned using acquired essential knowledge and associated skills according to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2.9</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Ongoing checks of quality of the work are undertaken in accordance with requirements and established procedures to ensure a quality like outcome is achieved for the client/customer and to a community/industry standard.</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w:t>
            </w:r>
          </w:p>
        </w:tc>
        <w:tc>
          <w:tcPr>
            <w:tcW w:w="2291" w:type="dxa"/>
            <w:vMerge w:val="restart"/>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Complete the installation of mobil</w:t>
            </w:r>
            <w:r w:rsidRPr="007E1575">
              <w:t>e generation set for synchronised genset HV</w:t>
            </w: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3.1</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Work undertaken is checked against works schedule for conformance with requirements, anomalies reported and solutions identified in accordance with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3.2</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Accidents and/or injuries are</w:t>
            </w:r>
            <w:r w:rsidRPr="007E1575">
              <w:t xml:space="preserve"> reported and followed up in accordance with requirements/established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3.3</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Work site is rehabilitated, cleaned up and confirmed safe in accordance with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3.4</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Tools, equipment and any surplus resources and materials are, where appropriate, cleaned, checked and returned to storage in accordance with established procedures.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3.5</w:t>
            </w:r>
          </w:p>
        </w:tc>
        <w:tc>
          <w:tcPr>
            <w:tcW w:w="4828"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Relevant work permit(s) are signed off and, synchronised genset HV apparatus is retu</w:t>
            </w:r>
            <w:r w:rsidRPr="007E1575">
              <w:t>rned to service and advised to client/customer in accordance with requirements.</w:t>
            </w:r>
          </w:p>
        </w:tc>
      </w:tr>
      <w:tr w:rsidTr="009067B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t>3.6</w:t>
            </w:r>
          </w:p>
        </w:tc>
        <w:tc>
          <w:tcPr>
            <w:tcW w:w="4828"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Works completion records, reports, as installed /modified drawing(s) and/or documentation and information are confirmed, processed and appropriate personnel notified.</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9" w:name="O_462869"/>
      <w:bookmarkEnd w:id="9"/>
      <w:r w:rsidRPr="007E1575">
        <w:t>Required Skills and Knowledge</w:t>
      </w:r>
    </w:p>
    <w:tbl>
      <w:tblPr>
        <w:tblW w:w="0" w:type="auto"/>
        <w:tblLayout w:type="fixed"/>
        <w:tblCellMar>
          <w:left w:w="62" w:type="dxa"/>
          <w:right w:w="62" w:type="dxa"/>
        </w:tblCellMar>
        <w:tblLook w:val="0000"/>
      </w:tblPr>
      <w:tblGrid>
        <w:gridCol w:w="8460"/>
      </w:tblGrid>
      <w:tr w:rsidTr="009067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REQUIRED SKILLS AND KNOWLEDGE</w:t>
            </w:r>
          </w:p>
        </w:tc>
      </w:tr>
      <w:tr w:rsidTr="009067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8)</w:t>
            </w:r>
            <w:r w:rsidRPr="007E1575">
              <w:t xml:space="preserve"> Essential Knowledge and Associated Skills (EKAS): This describes the essential skills and knowledge and their level, required for this unit.</w:t>
            </w:r>
          </w:p>
          <w:p w:rsidR="00000000" w:rsidRPr="007E1575" w:rsidP="007E1575">
            <w:pPr>
              <w:pStyle w:val="BodyText"/>
            </w:pPr>
            <w:r w:rsidRPr="007E1575">
              <w:t>Evidence shall show that knowledge</w:t>
            </w:r>
            <w:r w:rsidRPr="007E1575">
              <w:t xml:space="preserve"> has been acquired of installing mobile generation set for synchronised genset HV.</w:t>
            </w:r>
          </w:p>
          <w:p w:rsidR="00000000" w:rsidRPr="007E1575" w:rsidP="007E1575">
            <w:pPr>
              <w:pStyle w:val="BodyText"/>
            </w:pPr>
            <w:r w:rsidRPr="007E1575">
              <w:t>All knowledge and skills detailed in this unit should be contextualised to current industry practices and technologies.</w:t>
            </w:r>
          </w:p>
          <w:p w:rsidR="00000000" w:rsidRPr="007E1575" w:rsidP="007E1575">
            <w:pPr>
              <w:pStyle w:val="BodyText"/>
            </w:pPr>
            <w:r w:rsidRPr="007E1575">
              <w:t xml:space="preserve">KS01-TIS64A </w:t>
            </w:r>
            <w:r w:rsidRPr="007E1575">
              <w:tab/>
              <w:t>HV mobile generation set installation</w:t>
            </w:r>
          </w:p>
          <w:p w:rsidR="00000000" w:rsidRPr="007E1575" w:rsidP="007E1575">
            <w:pPr>
              <w:pStyle w:val="BodyText"/>
            </w:pPr>
            <w:r w:rsidRPr="007E1575">
              <w:t>Ev</w:t>
            </w:r>
            <w:r w:rsidRPr="007E1575">
              <w:t>idence shall show an understanding of the installation of mobile generation set for synchronised with HV supplies to an extent indicated by the following aspects:</w:t>
            </w:r>
          </w:p>
          <w:p w:rsidR="00000000" w:rsidRPr="007E1575" w:rsidP="007E1575">
            <w:pPr>
              <w:pStyle w:val="BodyText"/>
            </w:pPr>
            <w:r w:rsidRPr="007E1575">
              <w:t>T1</w:t>
            </w:r>
            <w:r w:rsidRPr="007E1575">
              <w:tab/>
              <w:t>Installation of a HV mobile generation encompassing:</w:t>
            </w:r>
          </w:p>
          <w:p w:rsidR="00000000" w:rsidRPr="007E1575" w:rsidP="007E1575">
            <w:pPr>
              <w:pStyle w:val="ListBullet"/>
            </w:pPr>
            <w:r w:rsidRPr="007E1575">
              <w:t>Safety precautions specific to installing mobile generators - safe working policies, practices and procedures, techniques in connecting, operating and disconnecting generators, types of tools and equipment, safe use of tools and equipment.</w:t>
            </w:r>
          </w:p>
          <w:p w:rsidR="00000000" w:rsidRPr="007E1575" w:rsidP="007E1575">
            <w:pPr>
              <w:pStyle w:val="ListBullet"/>
            </w:pPr>
            <w:r w:rsidRPr="007E1575">
              <w:t>Techniques in th</w:t>
            </w:r>
            <w:r w:rsidRPr="007E1575">
              <w:t>e installation of generator sets - the connection of generator onto and off the network without interruption to supply, estimation of HV load.</w:t>
            </w:r>
          </w:p>
          <w:p w:rsidR="00000000" w:rsidRPr="007E1575" w:rsidP="007E1575">
            <w:pPr>
              <w:pStyle w:val="ListBullet"/>
            </w:pPr>
            <w:r w:rsidRPr="007E1575">
              <w:t>Assessing the appropriateness of the generator</w:t>
            </w:r>
          </w:p>
          <w:p w:rsidR="00000000" w:rsidRPr="007E1575" w:rsidP="007E1575">
            <w:pPr>
              <w:pStyle w:val="BodyText"/>
            </w:pPr>
            <w:r w:rsidRPr="007E1575">
              <w:t>T2</w:t>
            </w:r>
            <w:r w:rsidRPr="007E1575">
              <w:tab/>
              <w:t>HV generator control systems encompassing:</w:t>
            </w:r>
          </w:p>
          <w:p w:rsidR="00000000" w:rsidRPr="007E1575" w:rsidP="007E1575">
            <w:pPr>
              <w:pStyle w:val="ListBullet"/>
            </w:pPr>
            <w:r w:rsidRPr="007E1575">
              <w:t>Legislation, Standa</w:t>
            </w:r>
            <w:r w:rsidRPr="007E1575">
              <w:t>rds, codes, legislation, supply authority regulations and or enterprise requirements pertaining to the operation of a portable generator.</w:t>
            </w:r>
          </w:p>
          <w:p w:rsidR="00000000" w:rsidRPr="007E1575" w:rsidP="007E1575">
            <w:pPr>
              <w:pStyle w:val="ListBullet"/>
            </w:pPr>
            <w:r w:rsidRPr="007E1575">
              <w:t>Safety precautions specific to the synchronisation of generator sets - safe working policies, practices and procedures</w:t>
            </w:r>
            <w:r w:rsidRPr="007E1575">
              <w:t>, synchronising procedures.</w:t>
            </w:r>
          </w:p>
          <w:p w:rsidR="00000000" w:rsidRPr="007E1575" w:rsidP="007E1575">
            <w:pPr>
              <w:pStyle w:val="ListBullet"/>
            </w:pPr>
            <w:r w:rsidRPr="007E1575">
              <w:t>Techniques in the installation of generator sets control systems - the synchronising of generator control systems onto and off the network without interruption to supply, estimation of HV load, assessing the appropriateness of t</w:t>
            </w:r>
            <w:r w:rsidRPr="007E1575">
              <w:t>he generator.</w:t>
            </w:r>
          </w:p>
          <w:p w:rsidR="00000000" w:rsidRPr="007E1575" w:rsidP="007E1575">
            <w:pPr>
              <w:pStyle w:val="ListBullet"/>
            </w:pPr>
            <w:r w:rsidRPr="007E1575">
              <w:t>Operating a generator in parallel to a single HV job - overhead systems, indoor systems, customer installations, kiosk substations.</w:t>
            </w:r>
          </w:p>
          <w:p w:rsidR="00000000" w:rsidRPr="007E1575" w:rsidP="007E1575">
            <w:pPr>
              <w:pStyle w:val="ListBullet"/>
            </w:pPr>
            <w:r w:rsidRPr="007E1575">
              <w:t>HV generator set and control system to HV distribution assets</w:t>
            </w:r>
          </w:p>
          <w:p w:rsidR="00000000" w:rsidRPr="007E1575" w:rsidP="007E1575">
            <w:pPr>
              <w:pStyle w:val="BodyText"/>
            </w:pPr>
            <w:r w:rsidRPr="007E1575">
              <w:t>T3</w:t>
            </w:r>
            <w:r w:rsidRPr="007E1575">
              <w:tab/>
              <w:t>Powerline safety practices encompassing:</w:t>
            </w:r>
          </w:p>
          <w:p w:rsidR="00000000" w:rsidRPr="007E1575" w:rsidP="007E1575">
            <w:pPr>
              <w:pStyle w:val="ListBullet"/>
            </w:pPr>
            <w:r w:rsidRPr="007E1575">
              <w:t>Pro</w:t>
            </w:r>
            <w:r w:rsidRPr="007E1575">
              <w:t>tective apparatus and apparel for linework - responsibilities for the selection, use, maintenance and storage of protective apparatus and apparel and the types of protective apparatus and apparel used for the line worker</w:t>
            </w:r>
          </w:p>
          <w:p w:rsidR="00000000" w:rsidRPr="007E1575" w:rsidP="007E1575">
            <w:pPr>
              <w:pStyle w:val="ListBullet"/>
            </w:pPr>
            <w:r w:rsidRPr="007E1575">
              <w:t>Requirements for the use of ladders</w:t>
            </w:r>
            <w:r w:rsidRPr="007E1575">
              <w:t xml:space="preserve"> - carrying, erecting, collapsing and lowering different types of extension ladder against a standing pole, maintenance checks on different types of ladders, renewal of extension ropes and the safety issues relating to clearances from overhead conductors</w:t>
            </w:r>
          </w:p>
          <w:p w:rsidR="00000000" w:rsidRPr="007E1575" w:rsidP="007E1575">
            <w:pPr>
              <w:pStyle w:val="ListBullet"/>
            </w:pPr>
            <w:r w:rsidRPr="007E1575">
              <w:t>R</w:t>
            </w:r>
            <w:r w:rsidRPr="007E1575">
              <w:t>equirements for climbing and working aloft - methods used to identify a pole is safe to climb, methods used to inspect a line worker’s body belt, application of knots and hitches appropriate to the requirements of a line worker, height safety principles in</w:t>
            </w:r>
            <w:r w:rsidRPr="007E1575">
              <w:t>cluding personal fall protection, prevention and related requirements, and the practical procedure of climbing an overhead structure and fitting a pole chair</w:t>
            </w:r>
          </w:p>
          <w:p w:rsidR="00000000" w:rsidRPr="007E1575" w:rsidP="007E1575">
            <w:pPr>
              <w:pStyle w:val="ListBullet"/>
            </w:pPr>
            <w:r w:rsidRPr="007E1575">
              <w:t>Traffic management - purpose of traffic management and a line worker’s responsibilities in accorda</w:t>
            </w:r>
            <w:r w:rsidRPr="007E1575">
              <w:t>nce with relevant statutory requirements and electricity supply industry requirements, demonstration of the procedure used to provide an effective traffic management scheme and the use of a two-way radio</w:t>
            </w:r>
          </w:p>
          <w:p w:rsidR="00000000" w:rsidRPr="007E1575" w:rsidP="007E1575">
            <w:pPr>
              <w:pStyle w:val="ListBullet"/>
            </w:pPr>
            <w:r w:rsidRPr="007E1575">
              <w:t>Control of small fires - identification, selection a</w:t>
            </w:r>
            <w:r w:rsidRPr="007E1575">
              <w:t>nd operation of the appropriate extinguishing mediums for various types of fires, general fire prevention methods and the precautions for personal protection when fighting small fires</w:t>
            </w:r>
          </w:p>
          <w:p w:rsidR="00000000" w:rsidRPr="007E1575" w:rsidP="007E1575">
            <w:pPr>
              <w:pStyle w:val="ListBullet"/>
            </w:pPr>
            <w:r w:rsidRPr="007E1575">
              <w:t>Rescue victims from heights and confined spaces - planning, identifying,</w:t>
            </w:r>
            <w:r w:rsidRPr="007E1575">
              <w:t xml:space="preserve"> the procedures, and establishing responses, developing techniques, involvement of external emergency services and practical demonstration/rehearsals of rescuing a person from heights and from confined spaces and emergency procedures for the rescue of an e</w:t>
            </w:r>
            <w:r w:rsidRPr="007E1575">
              <w:t>lectric shock victim including CPR</w:t>
            </w:r>
          </w:p>
          <w:p w:rsidR="00000000" w:rsidRPr="007E1575" w:rsidP="007E1575">
            <w:pPr>
              <w:pStyle w:val="ListBullet"/>
            </w:pPr>
            <w:r w:rsidRPr="007E1575">
              <w:t>Requirements for aerial linework - planning, establishing and implementing relevant aviation authority clearances, determining system requirements, aircrew familiarisation with network operations and equipment, requiremen</w:t>
            </w:r>
            <w:r w:rsidRPr="007E1575">
              <w:t>ts for effective communications operations for aerial work.</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10" w:name="O_462864"/>
      <w:bookmarkEnd w:id="10"/>
      <w:r w:rsidRPr="007E1575">
        <w:t>Evidence Guide</w:t>
      </w:r>
    </w:p>
    <w:tbl>
      <w:tblPr>
        <w:tblW w:w="0" w:type="auto"/>
        <w:tblLayout w:type="fixed"/>
        <w:tblCellMar>
          <w:left w:w="62" w:type="dxa"/>
          <w:right w:w="62" w:type="dxa"/>
        </w:tblCellMar>
        <w:tblLook w:val="0000"/>
      </w:tblPr>
      <w:tblGrid>
        <w:gridCol w:w="8460"/>
      </w:tblGrid>
      <w:tr w:rsidTr="009067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EVIDENCE GUIDE</w:t>
            </w:r>
          </w:p>
        </w:tc>
      </w:tr>
      <w:tr w:rsidTr="009067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9)</w:t>
            </w:r>
            <w:r w:rsidRPr="007E1575">
              <w:t xml:space="preserve"> This provides essential advice for assessment of the unit of competency and must be read in conjunction </w:t>
            </w:r>
            <w:r w:rsidRPr="007E1575">
              <w:t>with the Performance Criteria and the range statement of the unit of competency and the Training Package Assessment Guidelines.</w:t>
            </w:r>
          </w:p>
          <w:p w:rsidR="00000000" w:rsidRPr="007E1575" w:rsidP="007E1575">
            <w:pPr>
              <w:pStyle w:val="BodyText"/>
            </w:pPr>
            <w:r w:rsidRPr="007E1575">
              <w:t>The Evidence Guide forms an integral part of this Competency Standard Unit and shall be used in conjunction with all component p</w:t>
            </w:r>
            <w:r w:rsidRPr="007E1575">
              <w:t>arts of this unit and, performed in accordance with the Assessment Guidelines of this Training Package.</w:t>
            </w:r>
          </w:p>
        </w:tc>
      </w:tr>
    </w:tbl>
    <w:p w:rsidR="00000000" w:rsidRPr="007E1575" w:rsidP="007E1575">
      <w:pPr>
        <w:pStyle w:val="BodyText"/>
      </w:pPr>
    </w:p>
    <w:tbl>
      <w:tblPr>
        <w:tblW w:w="0" w:type="auto"/>
        <w:tblLayout w:type="fixed"/>
        <w:tblCellMar>
          <w:left w:w="62" w:type="dxa"/>
          <w:right w:w="62" w:type="dxa"/>
        </w:tblCellMar>
        <w:tblLook w:val="0000"/>
      </w:tblPr>
      <w:tblGrid>
        <w:gridCol w:w="1890"/>
        <w:gridCol w:w="6570"/>
      </w:tblGrid>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9.1)</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Longitudinal competency development approaches to assessment, such as Profiling, require data to be reliably gathered in a form that can be consistently interpreted over time. This approach is best utilised in Apprenticeship programs and reduces assessment</w:t>
            </w:r>
            <w:r w:rsidRPr="007E157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E1575">
              <w:t>tency in a realistically simulated work environment. It is recognised that, in some circumstances, assessment in part or full can occur outside the workplace. However, it must be in accord with Industry and, Regulatory policy in this regard.</w:t>
            </w:r>
          </w:p>
          <w:p w:rsidR="00000000" w:rsidRPr="007E1575" w:rsidP="007E1575">
            <w:pPr>
              <w:pStyle w:val="BodyText"/>
            </w:pPr>
            <w:r w:rsidRPr="007E1575">
              <w:t>Methods chosen</w:t>
            </w:r>
            <w:r w:rsidRPr="007E157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E1575">
              <w:t>equired and the critical nature of the competencies being assessed.</w:t>
            </w:r>
          </w:p>
          <w:p w:rsidR="00000000" w:rsidRPr="007E1575" w:rsidP="007E1575">
            <w:pPr>
              <w:pStyle w:val="BodyText"/>
            </w:pPr>
            <w:r w:rsidRPr="007E1575">
              <w:t>The critical safety nature of working with electricity, electrical equipment, gas or any other hazardous substance/material carries risk in deeming a person competent. Hence, sources of ev</w:t>
            </w:r>
            <w:r w:rsidRPr="007E1575">
              <w:t>idence need to be ‘rich’ in nature so as to minimise error in judgment.</w:t>
            </w:r>
          </w:p>
          <w:p w:rsidR="00000000" w:rsidRPr="007E1575" w:rsidP="007E1575">
            <w:pPr>
              <w:pStyle w:val="BodyText"/>
            </w:pPr>
            <w:r w:rsidRPr="007E1575">
              <w:t>Activities associated with normal every day work have a bearing on the decision as to how much and how detailed the data gathered will contribute to its ‘richness’. Some skills are mor</w:t>
            </w:r>
            <w:r w:rsidRPr="007E1575">
              <w:t>e critical to safety and operational requirements while the same skills may be more or less frequently practiced. These points are raised for the assessors to consider when choosing an assessment method and developing assessment instruments. Sample assessm</w:t>
            </w:r>
            <w:r w:rsidRPr="007E1575">
              <w:t>ent instruments are included for Assessors in the Assessment Guidelines of this Training Package.</w:t>
            </w:r>
          </w:p>
        </w:tc>
      </w:tr>
    </w:tbl>
    <w:p w:rsidR="00000000" w:rsidRPr="007E1575" w:rsidP="007E157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9.2)</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Before the critical aspects of evidence are considered all prerequisi</w:t>
            </w:r>
            <w:r w:rsidRPr="007E1575">
              <w:t>tes shall be met.</w:t>
            </w:r>
          </w:p>
          <w:p w:rsidR="00000000" w:rsidRPr="007E1575" w:rsidP="007E1575">
            <w:pPr>
              <w:pStyle w:val="BodyText"/>
            </w:pPr>
            <w:r w:rsidRPr="007E1575">
              <w:t xml:space="preserve">Evidence for competence in this unit shall be considered holistically. Each element and associated Performance Criteria shall be demonstrated on at least two occasions in accordance with the “Assessment Guidelines – UET12”. Evidence </w:t>
            </w:r>
            <w:r w:rsidRPr="007E1575">
              <w:t>shall also comprise:</w:t>
            </w:r>
          </w:p>
          <w:p w:rsidR="00000000" w:rsidRPr="007E1575" w:rsidP="007E1575">
            <w:pPr>
              <w:pStyle w:val="ListBullet"/>
            </w:pPr>
            <w:r w:rsidRPr="007E1575">
              <w:t>A representative body of Performance Criteria demonstrated within the timeframes typically expected of the discipline, work function and industrial environment. In particular this shall incorporate evidence that shows a candidate is a</w:t>
            </w:r>
            <w:r w:rsidRPr="007E1575">
              <w:t>ble to:</w:t>
            </w:r>
          </w:p>
          <w:p w:rsidR="00000000" w:rsidRPr="007E1575" w:rsidP="007E1575">
            <w:pPr>
              <w:pStyle w:val="ListBullet2"/>
            </w:pPr>
            <w:r w:rsidRPr="007E1575">
              <w:t>Implement Occupational Health and Safety workplace procedures and practices including the use of risk control measures as specified in the Performance Criteria and range; and</w:t>
            </w:r>
          </w:p>
          <w:p w:rsidR="00000000" w:rsidRPr="007E1575" w:rsidP="007E1575">
            <w:pPr>
              <w:pStyle w:val="ListBullet2"/>
            </w:pPr>
            <w:r w:rsidRPr="007E1575">
              <w:t>Apply sustainable energy principles and practices as specified in the Pe</w:t>
            </w:r>
            <w:r w:rsidRPr="007E1575">
              <w:t>rformance Criteria and range; and</w:t>
            </w:r>
          </w:p>
          <w:p w:rsidR="00000000" w:rsidRPr="007E1575" w:rsidP="007E1575">
            <w:pPr>
              <w:pStyle w:val="ListBullet2"/>
            </w:pPr>
            <w:r w:rsidRPr="007E1575">
              <w:t>Demonstrate an understanding of the essential knowledge and associated skills as described in this unit to such an extent that the learner’s performance outcome is reported in accordance with the preferred approach; namely</w:t>
            </w:r>
            <w:r w:rsidRPr="007E1575">
              <w:t xml:space="preserve"> a percentile graded result, where required by the regulated environment; and</w:t>
            </w:r>
          </w:p>
          <w:p w:rsidR="00000000" w:rsidRPr="007E1575" w:rsidP="007E1575">
            <w:pPr>
              <w:pStyle w:val="ListBullet2"/>
            </w:pPr>
            <w:r w:rsidRPr="007E1575">
              <w:t>Demonstrate an appropriate level of employability skills; and</w:t>
            </w:r>
          </w:p>
          <w:p w:rsidR="00000000" w:rsidRPr="007E1575" w:rsidP="007E1575">
            <w:pPr>
              <w:pStyle w:val="ListBullet"/>
            </w:pPr>
            <w:r w:rsidRPr="007E1575">
              <w:t>Conduct work observing the relevant Anti Discrimination legislation, regulations, policies and workplace procedures</w:t>
            </w:r>
            <w:r w:rsidRPr="007E1575">
              <w:t>; and</w:t>
            </w:r>
          </w:p>
          <w:p w:rsidR="00000000" w:rsidP="007E1575">
            <w:pPr>
              <w:pStyle w:val="ListBullet2"/>
              <w:rPr>
                <w:lang w:val="en-NZ"/>
              </w:rPr>
            </w:pPr>
            <w:r w:rsidRPr="007E1575">
              <w:t>Demonstrated performance across a representative range of contexts from the prescribed items below:</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E157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rPr>
                <w:rStyle w:val="SpecialBold"/>
              </w:rPr>
              <w:t>Range of tools/equipment/materials/procedures/workplaces/other variables</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E157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75" w:rsidP="007E1575">
            <w:pPr>
              <w:pStyle w:val="BodyText"/>
            </w:pPr>
            <w:r w:rsidRPr="007E157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75" w:rsidP="007E1575">
            <w:pPr>
              <w:pStyle w:val="BodyText"/>
            </w:pPr>
            <w:r w:rsidRPr="007E157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rPr>
                <w:rStyle w:val="SpecialBold"/>
              </w:rPr>
              <w:t>Item List</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75" w:rsidP="007E1575">
            <w:pPr>
              <w:pStyle w:val="BodyText"/>
            </w:pPr>
            <w:r w:rsidRPr="007E1575">
              <w:t>Autonomous installation of a mobile generator set for synchronised genset HV incorporating operation, connection and disconnection of the generator</w:t>
            </w:r>
          </w:p>
          <w:p w:rsidR="00000000" w:rsidRPr="007E1575" w:rsidP="007E1575">
            <w:pPr>
              <w:pStyle w:val="BodyText"/>
            </w:pPr>
            <w:r w:rsidRPr="007E1575">
              <w:t>Evaluating load characteristics associated with networking of generators.</w:t>
            </w:r>
          </w:p>
          <w:p w:rsidR="00000000" w:rsidRPr="007E1575" w:rsidP="007E1575">
            <w:pPr>
              <w:pStyle w:val="BodyText"/>
            </w:pPr>
            <w:r w:rsidRPr="007E1575">
              <w:t>Synchronisation of the generator control systems onto and off the network without interruption to supply.</w:t>
            </w:r>
          </w:p>
          <w:p w:rsidR="00000000" w:rsidRPr="007E1575" w:rsidP="007E1575">
            <w:pPr>
              <w:pStyle w:val="BodyText"/>
            </w:pPr>
            <w:r w:rsidRPr="007E1575">
              <w:t>Estimation of HV load and assessing the appropriateness of the generator</w:t>
            </w:r>
          </w:p>
          <w:p w:rsidR="00000000" w:rsidP="007E1575">
            <w:pPr>
              <w:pStyle w:val="BodyText"/>
              <w:rPr>
                <w:lang w:val="en-NZ"/>
              </w:rPr>
            </w:pPr>
            <w:r w:rsidRPr="007E1575">
              <w:t>Ope</w:t>
            </w:r>
            <w:r w:rsidRPr="007E1575">
              <w:t>rating a generator in parallel to a single HV job</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75">
            <w:pPr>
              <w:pStyle w:val="BodyText"/>
              <w:rPr>
                <w:lang w:val="en-NZ"/>
              </w:rPr>
            </w:pPr>
            <w:r w:rsidRPr="007E157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75" w:rsidP="007E1575">
            <w:pPr>
              <w:pStyle w:val="BodyText"/>
            </w:pPr>
            <w:r w:rsidRPr="007E1575">
              <w:t>Dealing with an unplanned event by drawing on essential knowledge and associated skills to provide appropriate solutions incorporated in the holistic assessment with the above lis</w:t>
            </w:r>
            <w:r w:rsidRPr="007E1575">
              <w:t>ted items.</w:t>
            </w:r>
          </w:p>
        </w:tc>
      </w:tr>
    </w:tbl>
    <w:p w:rsidR="00000000" w:rsidRPr="007E1575" w:rsidP="007E1575">
      <w:pPr>
        <w:pStyle w:val="BodyText"/>
      </w:pPr>
    </w:p>
    <w:tbl>
      <w:tblPr>
        <w:tblW w:w="0" w:type="auto"/>
        <w:tblLayout w:type="fixed"/>
        <w:tblCellMar>
          <w:left w:w="62" w:type="dxa"/>
          <w:right w:w="62" w:type="dxa"/>
        </w:tblCellMar>
        <w:tblLook w:val="0000"/>
      </w:tblPr>
      <w:tblGrid>
        <w:gridCol w:w="1890"/>
        <w:gridCol w:w="6570"/>
      </w:tblGrid>
      <w:tr w:rsidTr="009067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9.3)</w:t>
            </w:r>
          </w:p>
        </w:tc>
      </w:tr>
      <w:tr w:rsidTr="009067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This unit should be assessed as it relates to normal work practice using procedures, information and resources typical of a workplace. This should include:</w:t>
            </w:r>
          </w:p>
          <w:p w:rsidR="00000000" w:rsidRPr="007E1575" w:rsidP="007E1575">
            <w:pPr>
              <w:pStyle w:val="ListBullet"/>
            </w:pPr>
            <w:r w:rsidRPr="007E1575">
              <w:t>OHS policy and work procedures and instructions.</w:t>
            </w:r>
          </w:p>
          <w:p w:rsidR="00000000" w:rsidRPr="007E1575" w:rsidP="007E1575">
            <w:pPr>
              <w:pStyle w:val="ListBullet"/>
            </w:pPr>
            <w:r w:rsidRPr="007E1575">
              <w:t>Suitable work environment, facilities, equipment and materials to undertake actual installation of mobile generation set for synchronised genset HV</w:t>
            </w:r>
          </w:p>
          <w:p w:rsidR="00000000" w:rsidRPr="007E1575" w:rsidP="007E1575">
            <w:pPr>
              <w:pStyle w:val="BodyText"/>
            </w:pPr>
            <w:r w:rsidRPr="007E1575">
              <w:t>In addition to the resources listed above, in Context of an</w:t>
            </w:r>
            <w:r w:rsidRPr="007E1575">
              <w:t>d specific resources for assessment, evidence should show demonstrated competency working at realistic heights above ground i.e. above 3 metres, in limited spaces, with different structural/construction types and method and in a variety of environments.</w:t>
            </w:r>
          </w:p>
        </w:tc>
      </w:tr>
    </w:tbl>
    <w:p w:rsidR="00000000" w:rsidRPr="007E1575" w:rsidP="007E1575">
      <w:pPr>
        <w:pStyle w:val="BodyText"/>
      </w:pPr>
    </w:p>
    <w:tbl>
      <w:tblPr>
        <w:tblW w:w="0" w:type="auto"/>
        <w:tblLayout w:type="fixed"/>
        <w:tblCellMar>
          <w:left w:w="62" w:type="dxa"/>
          <w:right w:w="62" w:type="dxa"/>
        </w:tblCellMar>
        <w:tblLook w:val="0000"/>
      </w:tblPr>
      <w:tblGrid>
        <w:gridCol w:w="1890"/>
        <w:gridCol w:w="6570"/>
      </w:tblGrid>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9.4)</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This Competency Standard Unit shall be assessed by methods given in Volume 1, Part 3 “Assessment Guidelines”.</w:t>
            </w:r>
          </w:p>
          <w:p w:rsidR="00000000" w:rsidRPr="007E1575" w:rsidP="007E1575">
            <w:pPr>
              <w:pStyle w:val="BodyText"/>
            </w:pPr>
            <w:r w:rsidRPr="007E1575">
              <w:t>Note:</w:t>
            </w:r>
          </w:p>
          <w:p w:rsidR="00000000" w:rsidRPr="007E1575" w:rsidP="007E1575">
            <w:pPr>
              <w:pStyle w:val="BodyText"/>
            </w:pPr>
            <w:r w:rsidRPr="007E1575">
              <w:t xml:space="preserve">Competent performance with inherent safe working practices is expected in the Industry to which this Competency </w:t>
            </w:r>
            <w:r w:rsidRPr="007E1575">
              <w:t>Standard Unit applies. This requires that the specified essential knowledge and associated skills are assessed in a structured environment which is primarily intended for learning/assessment and incorporates all necessary equipment and facilities for learn</w:t>
            </w:r>
            <w:r w:rsidRPr="007E1575">
              <w:t>ers to develop and demonstrate the essential knowledge and associated skills described in this unit.</w:t>
            </w:r>
          </w:p>
        </w:tc>
      </w:tr>
    </w:tbl>
    <w:p w:rsidR="00000000" w:rsidRPr="007E1575" w:rsidP="007E1575">
      <w:pPr>
        <w:pStyle w:val="BodyText"/>
      </w:pPr>
    </w:p>
    <w:tbl>
      <w:tblPr>
        <w:tblW w:w="0" w:type="auto"/>
        <w:tblLayout w:type="fixed"/>
        <w:tblCellMar>
          <w:left w:w="62" w:type="dxa"/>
          <w:right w:w="62" w:type="dxa"/>
        </w:tblCellMar>
        <w:tblLook w:val="0000"/>
      </w:tblPr>
      <w:tblGrid>
        <w:gridCol w:w="1890"/>
        <w:gridCol w:w="6570"/>
      </w:tblGrid>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9.5)</w:t>
            </w:r>
          </w:p>
        </w:tc>
      </w:tr>
      <w:tr w:rsidTr="009067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There are no concurrent assessment recommendations for this unit.</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11" w:name="O_462868"/>
      <w:bookmarkEnd w:id="11"/>
      <w:r w:rsidRPr="007E1575">
        <w:t>Range</w:t>
      </w:r>
      <w:r w:rsidRPr="007E1575">
        <w:t xml:space="preserve"> Statement</w:t>
      </w:r>
    </w:p>
    <w:tbl>
      <w:tblPr>
        <w:tblW w:w="0" w:type="auto"/>
        <w:tblLayout w:type="fixed"/>
        <w:tblCellMar>
          <w:left w:w="62" w:type="dxa"/>
          <w:right w:w="62" w:type="dxa"/>
        </w:tblCellMar>
        <w:tblLook w:val="0000"/>
      </w:tblPr>
      <w:tblGrid>
        <w:gridCol w:w="8460"/>
      </w:tblGrid>
      <w:tr w:rsidTr="009067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RANGE STATEMENT</w:t>
            </w:r>
          </w:p>
        </w:tc>
      </w:tr>
      <w:tr w:rsidTr="009067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10)</w:t>
            </w:r>
            <w:r w:rsidRPr="007E157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7E1575" w:rsidP="007E1575">
            <w:pPr>
              <w:pStyle w:val="BodyText"/>
            </w:pPr>
            <w:r w:rsidRPr="007E1575">
              <w:t>This Competency Standard Unit shall be demonstrated in relation to the installation of mobile generation set for synchronised genset HV and may include overhead systems, indoor systems, customer installations, Kiosk Substations, HV genset and control syst</w:t>
            </w:r>
            <w:r w:rsidRPr="007E1575">
              <w:t>em associated with loads for networking generator sets.</w:t>
            </w:r>
          </w:p>
          <w:p w:rsidR="00000000" w:rsidRPr="007E1575" w:rsidP="007E1575">
            <w:pPr>
              <w:pStyle w:val="BodyText"/>
            </w:pPr>
            <w:r w:rsidRPr="007E1575">
              <w:t>The following constants and variables included in the element/Performance Criteria in this unit are fully described in the Definitions Section 1 of this volume and form an integral part of the Range S</w:t>
            </w:r>
            <w:r w:rsidRPr="007E1575">
              <w:t>tatement of this unit:</w:t>
            </w:r>
          </w:p>
          <w:p w:rsidR="00000000" w:rsidRPr="007E1575" w:rsidP="007E1575">
            <w:pPr>
              <w:pStyle w:val="ListBullet3"/>
            </w:pPr>
            <w:r w:rsidRPr="007E1575">
              <w:t>Appropriate and relevant persons (see Personnel)</w:t>
            </w:r>
          </w:p>
          <w:p w:rsidR="00000000" w:rsidRPr="007E1575" w:rsidP="007E1575">
            <w:pPr>
              <w:pStyle w:val="ListBullet3"/>
            </w:pPr>
            <w:r w:rsidRPr="007E1575">
              <w:t>Appropriate authorities</w:t>
            </w:r>
          </w:p>
          <w:p w:rsidR="00000000" w:rsidRPr="007E1575" w:rsidP="007E1575">
            <w:pPr>
              <w:pStyle w:val="ListBullet3"/>
            </w:pPr>
            <w:r w:rsidRPr="007E1575">
              <w:t>Appropriate work platform</w:t>
            </w:r>
          </w:p>
          <w:p w:rsidR="00000000" w:rsidRPr="007E1575" w:rsidP="007E1575">
            <w:pPr>
              <w:pStyle w:val="ListBullet3"/>
            </w:pPr>
            <w:r w:rsidRPr="007E1575">
              <w:t>Assessing risk</w:t>
            </w:r>
          </w:p>
          <w:p w:rsidR="00000000" w:rsidRPr="007E1575" w:rsidP="007E1575">
            <w:pPr>
              <w:pStyle w:val="ListBullet3"/>
            </w:pPr>
            <w:r w:rsidRPr="007E1575">
              <w:t>Assessment</w:t>
            </w:r>
          </w:p>
          <w:p w:rsidR="00000000" w:rsidRPr="007E1575" w:rsidP="007E1575">
            <w:pPr>
              <w:pStyle w:val="ListBullet3"/>
            </w:pPr>
            <w:r w:rsidRPr="007E1575">
              <w:t>Authorisation</w:t>
            </w:r>
          </w:p>
          <w:p w:rsidR="00000000" w:rsidRPr="007E1575" w:rsidP="007E1575">
            <w:pPr>
              <w:pStyle w:val="ListBullet3"/>
            </w:pPr>
            <w:r w:rsidRPr="007E1575">
              <w:t>Confined space</w:t>
            </w:r>
          </w:p>
          <w:p w:rsidR="00000000" w:rsidRPr="007E1575" w:rsidP="007E1575">
            <w:pPr>
              <w:pStyle w:val="ListBullet3"/>
            </w:pPr>
            <w:r w:rsidRPr="007E1575">
              <w:t>Diagnostic, testing and restoration</w:t>
            </w:r>
          </w:p>
          <w:p w:rsidR="00000000" w:rsidRPr="007E1575" w:rsidP="007E1575">
            <w:pPr>
              <w:pStyle w:val="ListBullet3"/>
            </w:pPr>
            <w:r w:rsidRPr="007E1575">
              <w:t>Documenting detail work events, record kee</w:t>
            </w:r>
            <w:r w:rsidRPr="007E1575">
              <w:t>ping and or storage of information</w:t>
            </w:r>
          </w:p>
          <w:p w:rsidR="00000000" w:rsidRPr="007E1575" w:rsidP="007E1575">
            <w:pPr>
              <w:pStyle w:val="ListBullet3"/>
            </w:pPr>
            <w:r w:rsidRPr="007E1575">
              <w:t>Drawings and specifications</w:t>
            </w:r>
          </w:p>
          <w:p w:rsidR="00000000" w:rsidRPr="007E1575" w:rsidP="007E1575">
            <w:pPr>
              <w:pStyle w:val="ListBullet3"/>
            </w:pPr>
            <w:r w:rsidRPr="007E1575">
              <w:t>Emergency</w:t>
            </w:r>
          </w:p>
          <w:p w:rsidR="00000000" w:rsidRPr="007E1575" w:rsidP="007E1575">
            <w:pPr>
              <w:pStyle w:val="ListBullet3"/>
            </w:pPr>
            <w:r w:rsidRPr="007E1575">
              <w:t>Environmental and sustainable energy procedures</w:t>
            </w:r>
          </w:p>
          <w:p w:rsidR="00000000" w:rsidRPr="007E1575" w:rsidP="007E1575">
            <w:pPr>
              <w:pStyle w:val="ListBullet3"/>
            </w:pPr>
            <w:r w:rsidRPr="007E1575">
              <w:t>Environmental legislation</w:t>
            </w:r>
          </w:p>
          <w:p w:rsidR="00000000" w:rsidRPr="007E1575" w:rsidP="007E1575">
            <w:pPr>
              <w:pStyle w:val="ListBullet3"/>
            </w:pPr>
            <w:r w:rsidRPr="007E1575">
              <w:t>Environmental management documentation</w:t>
            </w:r>
          </w:p>
          <w:p w:rsidR="00000000" w:rsidRPr="007E1575" w:rsidP="007E1575">
            <w:pPr>
              <w:pStyle w:val="ListBullet3"/>
            </w:pPr>
            <w:r w:rsidRPr="007E1575">
              <w:t>Established procedures</w:t>
            </w:r>
          </w:p>
          <w:p w:rsidR="00000000" w:rsidRPr="007E1575" w:rsidP="007E1575">
            <w:pPr>
              <w:pStyle w:val="ListBullet3"/>
            </w:pPr>
            <w:r w:rsidRPr="007E1575">
              <w:t>Fall prevention</w:t>
            </w:r>
          </w:p>
          <w:p w:rsidR="00000000" w:rsidRPr="007E1575" w:rsidP="007E1575">
            <w:pPr>
              <w:pStyle w:val="ListBullet3"/>
            </w:pPr>
            <w:r w:rsidRPr="007E1575">
              <w:t>Hazards</w:t>
            </w:r>
          </w:p>
          <w:p w:rsidR="00000000" w:rsidRPr="007E1575" w:rsidP="007E1575">
            <w:pPr>
              <w:pStyle w:val="ListBullet3"/>
            </w:pPr>
            <w:r w:rsidRPr="007E1575">
              <w:t>Identifying hazards</w:t>
            </w:r>
          </w:p>
          <w:p w:rsidR="00000000" w:rsidRPr="007E1575" w:rsidP="007E1575">
            <w:pPr>
              <w:pStyle w:val="ListBullet3"/>
            </w:pPr>
            <w:r w:rsidRPr="007E1575">
              <w:t>Inspect</w:t>
            </w:r>
          </w:p>
          <w:p w:rsidR="00000000" w:rsidRPr="007E1575" w:rsidP="007E1575">
            <w:pPr>
              <w:pStyle w:val="ListBullet3"/>
            </w:pPr>
            <w:r w:rsidRPr="007E1575">
              <w:t>Legislation</w:t>
            </w:r>
          </w:p>
          <w:p w:rsidR="00000000" w:rsidRPr="007E1575" w:rsidP="007E1575">
            <w:pPr>
              <w:pStyle w:val="ListBullet3"/>
            </w:pPr>
            <w:r w:rsidRPr="007E1575">
              <w:t>MSDS</w:t>
            </w:r>
          </w:p>
          <w:p w:rsidR="00000000" w:rsidRPr="007E1575" w:rsidP="007E1575">
            <w:pPr>
              <w:pStyle w:val="ListBullet3"/>
            </w:pPr>
            <w:r w:rsidRPr="007E1575">
              <w:t>Notification</w:t>
            </w:r>
          </w:p>
          <w:p w:rsidR="00000000" w:rsidRPr="007E1575" w:rsidP="007E1575">
            <w:pPr>
              <w:pStyle w:val="ListBullet3"/>
            </w:pPr>
            <w:r w:rsidRPr="007E1575">
              <w:t>OHS practices</w:t>
            </w:r>
          </w:p>
          <w:p w:rsidR="00000000" w:rsidRPr="007E1575" w:rsidP="007E1575">
            <w:pPr>
              <w:pStyle w:val="ListBullet3"/>
            </w:pPr>
            <w:r w:rsidRPr="007E1575">
              <w:t>OHS issues</w:t>
            </w:r>
          </w:p>
          <w:p w:rsidR="00000000" w:rsidRPr="007E1575" w:rsidP="007E1575">
            <w:pPr>
              <w:pStyle w:val="ListBullet3"/>
            </w:pPr>
            <w:r w:rsidRPr="007E1575">
              <w:t>Permits and/or permits to work</w:t>
            </w:r>
          </w:p>
          <w:p w:rsidR="00000000" w:rsidRPr="007E1575" w:rsidP="007E1575">
            <w:pPr>
              <w:pStyle w:val="ListBullet3"/>
            </w:pPr>
            <w:r w:rsidRPr="007E1575">
              <w:t>Personnel</w:t>
            </w:r>
          </w:p>
          <w:p w:rsidR="00000000" w:rsidRPr="007E1575" w:rsidP="007E1575">
            <w:pPr>
              <w:pStyle w:val="ListBullet3"/>
            </w:pPr>
            <w:r w:rsidRPr="007E1575">
              <w:t>Quality assurance systems</w:t>
            </w:r>
          </w:p>
          <w:p w:rsidR="00000000" w:rsidRPr="007E1575" w:rsidP="007E1575">
            <w:pPr>
              <w:pStyle w:val="ListBullet3"/>
            </w:pPr>
            <w:r w:rsidRPr="007E1575">
              <w:t>Requirements</w:t>
            </w:r>
          </w:p>
          <w:p w:rsidR="00000000" w:rsidRPr="007E1575" w:rsidP="007E1575">
            <w:pPr>
              <w:pStyle w:val="ListBullet3"/>
            </w:pPr>
            <w:r w:rsidRPr="007E1575">
              <w:t>Testing procedures</w:t>
            </w:r>
          </w:p>
          <w:p w:rsidR="00000000" w:rsidRPr="007E1575" w:rsidP="007E1575">
            <w:pPr>
              <w:pStyle w:val="ListBullet3"/>
            </w:pPr>
            <w:r w:rsidRPr="007E1575">
              <w:t>Work clearance systems</w:t>
            </w:r>
          </w:p>
        </w:tc>
      </w:tr>
    </w:tbl>
    <w:p w:rsidR="00000000" w:rsidRPr="007E1575" w:rsidP="007E1575">
      <w:pPr>
        <w:pStyle w:val="BodyText"/>
      </w:pPr>
    </w:p>
    <w:p w:rsidR="00000000" w:rsidRPr="007E1575" w:rsidP="007E1575">
      <w:pPr>
        <w:pStyle w:val="AllowPageBreak"/>
      </w:pPr>
    </w:p>
    <w:p w:rsidR="00000000" w:rsidRPr="007E1575" w:rsidP="007E1575">
      <w:pPr>
        <w:pStyle w:val="Heading1"/>
      </w:pPr>
      <w:bookmarkStart w:id="12" w:name="O_462871"/>
      <w:bookmarkEnd w:id="12"/>
      <w:r w:rsidRPr="007E1575">
        <w:t>Unit Sector(s)</w:t>
      </w:r>
    </w:p>
    <w:p w:rsidR="00000000" w:rsidRPr="007E1575" w:rsidP="007E1575">
      <w:pPr>
        <w:pStyle w:val="BodyText"/>
      </w:pPr>
      <w:r w:rsidRPr="007E1575">
        <w:t>Not applicable.</w:t>
      </w:r>
    </w:p>
    <w:p w:rsidR="00000000" w:rsidRPr="007E1575" w:rsidP="007E1575">
      <w:pPr>
        <w:pStyle w:val="AllowPageBreak"/>
      </w:pPr>
    </w:p>
    <w:p w:rsidR="00000000" w:rsidRPr="007E1575" w:rsidP="007E1575">
      <w:pPr>
        <w:pStyle w:val="Heading1"/>
      </w:pPr>
      <w:bookmarkStart w:id="13" w:name="O_462860"/>
      <w:bookmarkEnd w:id="13"/>
      <w:r w:rsidRPr="007E1575">
        <w:t>Competency Field</w:t>
      </w:r>
    </w:p>
    <w:tbl>
      <w:tblPr>
        <w:tblW w:w="0" w:type="auto"/>
        <w:tblLayout w:type="fixed"/>
        <w:tblCellMar>
          <w:left w:w="62" w:type="dxa"/>
          <w:right w:w="62" w:type="dxa"/>
        </w:tblCellMar>
        <w:tblLook w:val="0000"/>
      </w:tblPr>
      <w:tblGrid>
        <w:gridCol w:w="2700"/>
        <w:gridCol w:w="5760"/>
      </w:tblGrid>
      <w:tr w:rsidTr="00906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1575">
            <w:pPr>
              <w:pStyle w:val="BodyText"/>
              <w:rPr>
                <w:lang w:val="en-NZ"/>
              </w:rPr>
            </w:pPr>
            <w:r w:rsidRPr="007E1575">
              <w:rPr>
                <w:rStyle w:val="SpecialBold"/>
              </w:rPr>
              <w:t xml:space="preserve">11) </w:t>
            </w:r>
          </w:p>
        </w:tc>
      </w:tr>
      <w:tr w:rsidTr="00906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75" w:rsidP="007E1575">
            <w:pPr>
              <w:pStyle w:val="BodyText"/>
            </w:pPr>
            <w:r w:rsidRPr="007E1575">
              <w:t>Industry Specific Cross-Discipline Units</w:t>
            </w:r>
          </w:p>
        </w:tc>
      </w:tr>
    </w:tbl>
    <w:p w:rsidR="00000000" w:rsidRPr="007E1575" w:rsidP="007E1575">
      <w:pPr>
        <w:pStyle w:val="BodyText"/>
      </w:pPr>
    </w:p>
    <w:p w:rsidR="00000000" w:rsidRPr="007E1575" w:rsidP="007E1575"/>
    <w:sectPr w:rsidSect="007E15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B4" w:rsidP="00906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B4" w:rsidP="007E1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067B4" w:rsidP="007E15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067B4" w:rsidP="007E15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B4" w:rsidP="009067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B4" w:rsidP="007E1575">
    <w:pPr>
      <w:pStyle w:val="Header"/>
      <w:framePr w:wrap="around"/>
    </w:pPr>
    <w:r>
      <w:fldChar w:fldCharType="begin"/>
    </w:r>
    <w:r>
      <w:instrText xml:space="preserve"> TITLE   \* MERGEFORMAT </w:instrText>
    </w:r>
    <w:r>
      <w:fldChar w:fldCharType="separate"/>
    </w:r>
    <w:r>
      <w:t>UETTDRIS64A Install mobile generation set for synchronised HV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67B4" w:rsidP="007E15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69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10D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0D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575"/>
    <w:pPr>
      <w:spacing w:before="360" w:after="60"/>
      <w:outlineLvl w:val="0"/>
    </w:pPr>
    <w:rPr>
      <w:sz w:val="32"/>
    </w:rPr>
  </w:style>
  <w:style w:type="paragraph" w:styleId="Heading2">
    <w:name w:val="heading 2"/>
    <w:basedOn w:val="HeadingBase"/>
    <w:next w:val="BodyText"/>
    <w:link w:val="Heading2Char"/>
    <w:qFormat/>
    <w:rsid w:val="007E1575"/>
    <w:pPr>
      <w:keepLines/>
      <w:spacing w:before="240" w:after="120"/>
      <w:outlineLvl w:val="1"/>
    </w:pPr>
    <w:rPr>
      <w:sz w:val="28"/>
      <w:szCs w:val="40"/>
    </w:rPr>
  </w:style>
  <w:style w:type="paragraph" w:styleId="Heading3">
    <w:name w:val="heading 3"/>
    <w:basedOn w:val="HeadingBase"/>
    <w:next w:val="BodyText"/>
    <w:link w:val="Heading3Char"/>
    <w:qFormat/>
    <w:rsid w:val="007E1575"/>
    <w:pPr>
      <w:spacing w:before="180" w:after="120"/>
      <w:outlineLvl w:val="2"/>
    </w:pPr>
    <w:rPr>
      <w:spacing w:val="-10"/>
      <w:kern w:val="32"/>
    </w:rPr>
  </w:style>
  <w:style w:type="paragraph" w:styleId="Heading4">
    <w:name w:val="heading 4"/>
    <w:basedOn w:val="HeadingBase"/>
    <w:next w:val="BodyText"/>
    <w:link w:val="Heading4Char"/>
    <w:qFormat/>
    <w:rsid w:val="007E1575"/>
    <w:pPr>
      <w:spacing w:before="160" w:after="120"/>
      <w:outlineLvl w:val="3"/>
    </w:pPr>
    <w:rPr>
      <w:sz w:val="22"/>
    </w:rPr>
  </w:style>
  <w:style w:type="paragraph" w:styleId="Heading5">
    <w:name w:val="heading 5"/>
    <w:basedOn w:val="HeadingBase"/>
    <w:next w:val="Normal"/>
    <w:link w:val="Heading5Char"/>
    <w:qFormat/>
    <w:rsid w:val="007E1575"/>
    <w:pPr>
      <w:spacing w:before="80"/>
      <w:outlineLvl w:val="4"/>
    </w:pPr>
    <w:rPr>
      <w:color w:val="918585"/>
      <w:sz w:val="20"/>
    </w:rPr>
  </w:style>
  <w:style w:type="paragraph" w:styleId="Heading6">
    <w:name w:val="heading 6"/>
    <w:basedOn w:val="HeadingBase"/>
    <w:next w:val="Normal"/>
    <w:link w:val="Heading6Char"/>
    <w:qFormat/>
    <w:rsid w:val="007E1575"/>
    <w:pPr>
      <w:spacing w:before="60"/>
      <w:outlineLvl w:val="5"/>
    </w:pPr>
    <w:rPr>
      <w:color w:val="918585"/>
      <w:sz w:val="20"/>
    </w:rPr>
  </w:style>
  <w:style w:type="paragraph" w:styleId="Heading7">
    <w:name w:val="heading 7"/>
    <w:basedOn w:val="Normal"/>
    <w:next w:val="Normal"/>
    <w:link w:val="Heading7Char"/>
    <w:qFormat/>
    <w:rsid w:val="007E1575"/>
    <w:pPr>
      <w:ind w:left="720"/>
      <w:outlineLvl w:val="6"/>
    </w:pPr>
    <w:rPr>
      <w:i/>
    </w:rPr>
  </w:style>
  <w:style w:type="paragraph" w:styleId="Heading8">
    <w:name w:val="heading 8"/>
    <w:basedOn w:val="Normal"/>
    <w:next w:val="Normal"/>
    <w:link w:val="Heading8Char"/>
    <w:qFormat/>
    <w:rsid w:val="007E1575"/>
    <w:pPr>
      <w:ind w:left="720"/>
      <w:outlineLvl w:val="7"/>
    </w:pPr>
    <w:rPr>
      <w:i/>
    </w:rPr>
  </w:style>
  <w:style w:type="paragraph" w:styleId="Heading9">
    <w:name w:val="heading 9"/>
    <w:basedOn w:val="Normal"/>
    <w:next w:val="Normal"/>
    <w:link w:val="Heading9Char"/>
    <w:qFormat/>
    <w:rsid w:val="007E1575"/>
    <w:pPr>
      <w:ind w:left="720"/>
      <w:outlineLvl w:val="8"/>
    </w:pPr>
    <w:rPr>
      <w:i/>
    </w:rPr>
  </w:style>
  <w:style w:type="character" w:default="1" w:styleId="DefaultParagraphFont">
    <w:name w:val="Default Paragraph Font"/>
    <w:uiPriority w:val="1"/>
    <w:unhideWhenUsed/>
    <w:rsid w:val="007E1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75"/>
  </w:style>
  <w:style w:type="character" w:customStyle="1" w:styleId="Heading1Char">
    <w:name w:val="Heading 1 Char"/>
    <w:link w:val="Heading1"/>
    <w:rsid w:val="007E1575"/>
    <w:rPr>
      <w:rFonts w:ascii="Times New Roman" w:eastAsia="Times New Roman" w:hAnsi="Times New Roman" w:cs="Times New Roman"/>
      <w:b/>
      <w:sz w:val="32"/>
      <w:szCs w:val="20"/>
      <w:lang w:eastAsia="en-US"/>
    </w:rPr>
  </w:style>
  <w:style w:type="paragraph" w:styleId="BodyText">
    <w:name w:val="Body Text"/>
    <w:basedOn w:val="Normal"/>
    <w:link w:val="BodyTextChar"/>
    <w:rsid w:val="007E1575"/>
    <w:pPr>
      <w:spacing w:before="120" w:after="120"/>
      <w:contextualSpacing/>
    </w:pPr>
    <w:rPr>
      <w:rFonts w:ascii="Times New Roman" w:hAnsi="Times New Roman"/>
      <w:sz w:val="24"/>
      <w:szCs w:val="22"/>
    </w:rPr>
  </w:style>
  <w:style w:type="character" w:customStyle="1" w:styleId="BodyTextChar">
    <w:name w:val="Body Text Char"/>
    <w:link w:val="BodyText"/>
    <w:rsid w:val="007E1575"/>
    <w:rPr>
      <w:rFonts w:ascii="Times New Roman" w:eastAsia="Times New Roman" w:hAnsi="Times New Roman" w:cs="Times New Roman"/>
      <w:sz w:val="24"/>
      <w:lang w:val="en-US" w:eastAsia="en-US"/>
    </w:rPr>
  </w:style>
  <w:style w:type="paragraph" w:styleId="Footer">
    <w:name w:val="footer"/>
    <w:basedOn w:val="Normal"/>
    <w:link w:val="FooterChar"/>
    <w:rsid w:val="007E1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1575"/>
    <w:rPr>
      <w:rFonts w:ascii="Times New Roman" w:eastAsia="Times New Roman" w:hAnsi="Times New Roman" w:cs="Times New Roman"/>
      <w:sz w:val="16"/>
      <w:lang w:val="en-US" w:eastAsia="en-US"/>
    </w:rPr>
  </w:style>
  <w:style w:type="paragraph" w:styleId="ListBullet">
    <w:name w:val="List Bullet"/>
    <w:basedOn w:val="List"/>
    <w:rsid w:val="007E1575"/>
    <w:pPr>
      <w:numPr>
        <w:numId w:val="14"/>
      </w:numPr>
      <w:tabs>
        <w:tab w:val="clear" w:pos="340"/>
      </w:tabs>
      <w:spacing w:before="40" w:after="40"/>
    </w:pPr>
  </w:style>
  <w:style w:type="character" w:customStyle="1" w:styleId="SpecialBold">
    <w:name w:val="Special Bold"/>
    <w:rsid w:val="007E1575"/>
    <w:rPr>
      <w:b/>
      <w:spacing w:val="0"/>
    </w:rPr>
  </w:style>
  <w:style w:type="paragraph" w:styleId="ListBullet2">
    <w:name w:val="List Bullet 2"/>
    <w:basedOn w:val="List2"/>
    <w:rsid w:val="007E1575"/>
    <w:pPr>
      <w:numPr>
        <w:numId w:val="15"/>
      </w:numPr>
      <w:tabs>
        <w:tab w:val="clear" w:pos="680"/>
      </w:tabs>
    </w:pPr>
  </w:style>
  <w:style w:type="paragraph" w:styleId="Header">
    <w:name w:val="header"/>
    <w:basedOn w:val="Normal"/>
    <w:link w:val="HeaderChar"/>
    <w:rsid w:val="007E1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15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1575"/>
    <w:pPr>
      <w:spacing w:before="240" w:after="120"/>
      <w:outlineLvl w:val="0"/>
    </w:pPr>
    <w:rPr>
      <w:rFonts w:ascii="Times New Roman" w:hAnsi="Times New Roman"/>
      <w:b/>
      <w:sz w:val="28"/>
    </w:rPr>
  </w:style>
  <w:style w:type="paragraph" w:customStyle="1" w:styleId="AllowPageBreak">
    <w:name w:val="AllowPageBreak"/>
    <w:rsid w:val="007E15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575"/>
    <w:pPr>
      <w:numPr>
        <w:numId w:val="3"/>
      </w:numPr>
      <w:tabs>
        <w:tab w:val="clear" w:pos="1021"/>
      </w:tabs>
      <w:ind w:left="1037" w:hanging="357"/>
    </w:pPr>
  </w:style>
  <w:style w:type="character" w:customStyle="1" w:styleId="Heading2Char">
    <w:name w:val="Heading 2 Char"/>
    <w:link w:val="Heading2"/>
    <w:rsid w:val="007E1575"/>
    <w:rPr>
      <w:rFonts w:ascii="Times New Roman" w:eastAsia="Times New Roman" w:hAnsi="Times New Roman" w:cs="Times New Roman"/>
      <w:b/>
      <w:sz w:val="28"/>
      <w:szCs w:val="40"/>
      <w:lang w:eastAsia="en-US"/>
    </w:rPr>
  </w:style>
  <w:style w:type="character" w:customStyle="1" w:styleId="Heading3Char">
    <w:name w:val="Heading 3 Char"/>
    <w:link w:val="Heading3"/>
    <w:rsid w:val="007E15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1575"/>
    <w:rPr>
      <w:rFonts w:ascii="Times New Roman" w:eastAsia="Times New Roman" w:hAnsi="Times New Roman" w:cs="Times New Roman"/>
      <w:b/>
      <w:szCs w:val="20"/>
      <w:lang w:eastAsia="en-US"/>
    </w:rPr>
  </w:style>
  <w:style w:type="character" w:customStyle="1" w:styleId="Heading5Char">
    <w:name w:val="Heading 5 Char"/>
    <w:link w:val="Heading5"/>
    <w:rsid w:val="007E15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1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5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575"/>
    <w:rPr>
      <w:rFonts w:ascii="Courier New" w:eastAsia="Times New Roman" w:hAnsi="Courier New" w:cs="Times New Roman"/>
      <w:i/>
      <w:szCs w:val="20"/>
      <w:lang w:val="en-US" w:eastAsia="en-US"/>
    </w:rPr>
  </w:style>
  <w:style w:type="paragraph" w:customStyle="1" w:styleId="HeadingBase">
    <w:name w:val="Heading Base"/>
    <w:rsid w:val="007E1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75"/>
    <w:pPr>
      <w:tabs>
        <w:tab w:val="right" w:leader="dot" w:pos="9072"/>
      </w:tabs>
      <w:ind w:left="567"/>
    </w:pPr>
    <w:rPr>
      <w:szCs w:val="22"/>
    </w:rPr>
  </w:style>
  <w:style w:type="paragraph" w:customStyle="1" w:styleId="TOCBase">
    <w:name w:val="TOC Base"/>
    <w:rsid w:val="007E1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75"/>
    <w:pPr>
      <w:tabs>
        <w:tab w:val="right" w:leader="dot" w:pos="9072"/>
      </w:tabs>
      <w:spacing w:before="40" w:after="40"/>
      <w:ind w:left="284"/>
    </w:pPr>
    <w:rPr>
      <w:rFonts w:ascii="Times New Roman" w:hAnsi="Times New Roman"/>
    </w:rPr>
  </w:style>
  <w:style w:type="paragraph" w:styleId="TOC1">
    <w:name w:val="toc 1"/>
    <w:basedOn w:val="TOCBase"/>
    <w:next w:val="Normal"/>
    <w:rsid w:val="007E15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575"/>
    <w:pPr>
      <w:spacing w:before="5040"/>
      <w:jc w:val="center"/>
    </w:pPr>
    <w:rPr>
      <w:sz w:val="48"/>
      <w:szCs w:val="72"/>
      <w:lang w:val="en-US"/>
    </w:rPr>
  </w:style>
  <w:style w:type="character" w:customStyle="1" w:styleId="TitleChar">
    <w:name w:val="Title Char"/>
    <w:link w:val="Title"/>
    <w:rsid w:val="007E1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75"/>
    <w:pPr>
      <w:tabs>
        <w:tab w:val="left" w:pos="3600"/>
        <w:tab w:val="left" w:pos="3958"/>
      </w:tabs>
    </w:pPr>
  </w:style>
  <w:style w:type="paragraph" w:styleId="List">
    <w:name w:val="List"/>
    <w:basedOn w:val="BodyText"/>
    <w:next w:val="BodyText"/>
    <w:rsid w:val="007E1575"/>
    <w:pPr>
      <w:tabs>
        <w:tab w:val="left" w:pos="340"/>
      </w:tabs>
      <w:spacing w:before="60" w:after="60"/>
      <w:ind w:left="340" w:hanging="340"/>
    </w:pPr>
  </w:style>
  <w:style w:type="paragraph" w:customStyle="1" w:styleId="Note">
    <w:name w:val="Note"/>
    <w:basedOn w:val="BodyText"/>
    <w:rsid w:val="007E1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575"/>
    <w:pPr>
      <w:framePr w:wrap="auto" w:hAnchor="text" w:y="6049"/>
    </w:pPr>
    <w:rPr>
      <w:color w:val="000000"/>
      <w:sz w:val="40"/>
    </w:rPr>
  </w:style>
  <w:style w:type="paragraph" w:customStyle="1" w:styleId="TOCTitle">
    <w:name w:val="TOCTitle"/>
    <w:basedOn w:val="Heading1"/>
    <w:rsid w:val="007E1575"/>
    <w:pPr>
      <w:spacing w:after="240"/>
      <w:jc w:val="center"/>
      <w:outlineLvl w:val="9"/>
    </w:pPr>
    <w:rPr>
      <w:caps/>
    </w:rPr>
  </w:style>
  <w:style w:type="paragraph" w:customStyle="1" w:styleId="Version">
    <w:name w:val="Version"/>
    <w:rsid w:val="007E15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575"/>
    <w:pPr>
      <w:keepNext w:val="0"/>
      <w:tabs>
        <w:tab w:val="right" w:pos="4176"/>
      </w:tabs>
      <w:ind w:left="198" w:hanging="198"/>
    </w:pPr>
    <w:rPr>
      <w:rFonts w:ascii="Garamond" w:hAnsi="Garamond"/>
    </w:rPr>
  </w:style>
  <w:style w:type="paragraph" w:styleId="IndexHeading">
    <w:name w:val="index heading"/>
    <w:basedOn w:val="Normal"/>
    <w:next w:val="Index1"/>
    <w:semiHidden/>
    <w:rsid w:val="007E1575"/>
    <w:pPr>
      <w:spacing w:before="120" w:after="120"/>
    </w:pPr>
    <w:rPr>
      <w:rFonts w:ascii="Arial" w:hAnsi="Arial"/>
      <w:b/>
      <w:color w:val="918585"/>
      <w:sz w:val="24"/>
    </w:rPr>
  </w:style>
  <w:style w:type="paragraph" w:customStyle="1" w:styleId="Chapter">
    <w:name w:val="Chapter"/>
    <w:basedOn w:val="Normal"/>
    <w:rsid w:val="007E1575"/>
    <w:pPr>
      <w:spacing w:before="240"/>
    </w:pPr>
    <w:rPr>
      <w:rFonts w:ascii="Times New Roman" w:hAnsi="Times New Roman"/>
      <w:smallCaps/>
      <w:spacing w:val="80"/>
      <w:sz w:val="28"/>
    </w:rPr>
  </w:style>
  <w:style w:type="paragraph" w:customStyle="1" w:styleId="InChapter">
    <w:name w:val="InChapter"/>
    <w:basedOn w:val="Heading3"/>
    <w:rsid w:val="007E1575"/>
    <w:pPr>
      <w:spacing w:after="240"/>
      <w:outlineLvl w:val="9"/>
    </w:pPr>
    <w:rPr>
      <w:noProof/>
    </w:rPr>
  </w:style>
  <w:style w:type="paragraph" w:styleId="Index2">
    <w:name w:val="index 2"/>
    <w:basedOn w:val="Normal"/>
    <w:next w:val="Normal"/>
    <w:semiHidden/>
    <w:rsid w:val="007E1575"/>
    <w:pPr>
      <w:tabs>
        <w:tab w:val="right" w:pos="4176"/>
      </w:tabs>
      <w:ind w:left="568" w:hanging="284"/>
    </w:pPr>
    <w:rPr>
      <w:rFonts w:ascii="Garamond" w:hAnsi="Garamond"/>
    </w:rPr>
  </w:style>
  <w:style w:type="paragraph" w:customStyle="1" w:styleId="Byline">
    <w:name w:val="Byline"/>
    <w:rsid w:val="007E1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75"/>
    <w:pPr>
      <w:tabs>
        <w:tab w:val="clear" w:pos="3600"/>
        <w:tab w:val="clear" w:pos="3958"/>
      </w:tabs>
      <w:jc w:val="right"/>
    </w:pPr>
  </w:style>
  <w:style w:type="character" w:styleId="Emphasis">
    <w:name w:val="Emphasis"/>
    <w:qFormat/>
    <w:rsid w:val="007E1575"/>
    <w:rPr>
      <w:i/>
    </w:rPr>
  </w:style>
  <w:style w:type="paragraph" w:styleId="Caption">
    <w:name w:val="caption"/>
    <w:basedOn w:val="BodyText"/>
    <w:next w:val="Normal"/>
    <w:qFormat/>
    <w:rsid w:val="007E1575"/>
    <w:pPr>
      <w:framePr w:w="2268" w:hSpace="181" w:vSpace="181" w:wrap="around" w:vAnchor="text" w:hAnchor="page" w:x="1135" w:y="285" w:anchorLock="1"/>
    </w:pPr>
    <w:rPr>
      <w:i/>
    </w:rPr>
  </w:style>
  <w:style w:type="paragraph" w:customStyle="1" w:styleId="MiniTOCTitle">
    <w:name w:val="MiniTOCTitle"/>
    <w:basedOn w:val="Heading4"/>
    <w:rsid w:val="007E1575"/>
    <w:pPr>
      <w:spacing w:before="240"/>
      <w:outlineLvl w:val="9"/>
    </w:pPr>
    <w:rPr>
      <w:noProof/>
      <w:sz w:val="24"/>
    </w:rPr>
  </w:style>
  <w:style w:type="paragraph" w:customStyle="1" w:styleId="MiniTOCItem">
    <w:name w:val="MiniTOCItem"/>
    <w:basedOn w:val="ListBullet"/>
    <w:rsid w:val="007E1575"/>
    <w:pPr>
      <w:numPr>
        <w:numId w:val="0"/>
      </w:numPr>
      <w:tabs>
        <w:tab w:val="right" w:leader="dot" w:pos="6521"/>
      </w:tabs>
      <w:spacing w:before="0" w:after="0"/>
    </w:pPr>
  </w:style>
  <w:style w:type="paragraph" w:customStyle="1" w:styleId="TOFTitle">
    <w:name w:val="TOFTitle"/>
    <w:basedOn w:val="TOCTitle"/>
    <w:rsid w:val="007E1575"/>
  </w:style>
  <w:style w:type="paragraph" w:styleId="TableofFigures">
    <w:name w:val="table of figures"/>
    <w:basedOn w:val="Normal"/>
    <w:next w:val="Normal"/>
    <w:semiHidden/>
    <w:rsid w:val="007E1575"/>
    <w:pPr>
      <w:tabs>
        <w:tab w:val="right" w:leader="dot" w:pos="9072"/>
      </w:tabs>
      <w:ind w:left="970" w:hanging="403"/>
    </w:pPr>
    <w:rPr>
      <w:rFonts w:ascii="Times New Roman" w:hAnsi="Times New Roman"/>
      <w:b/>
    </w:rPr>
  </w:style>
  <w:style w:type="paragraph" w:styleId="ListNumber">
    <w:name w:val="List Number"/>
    <w:basedOn w:val="List"/>
    <w:rsid w:val="007E1575"/>
    <w:pPr>
      <w:numPr>
        <w:numId w:val="12"/>
      </w:numPr>
    </w:pPr>
  </w:style>
  <w:style w:type="character" w:customStyle="1" w:styleId="WingdingSymbols">
    <w:name w:val="Wingding Symbols"/>
    <w:rsid w:val="007E1575"/>
    <w:rPr>
      <w:rFonts w:ascii="Wingdings" w:hAnsi="Wingdings"/>
    </w:rPr>
  </w:style>
  <w:style w:type="paragraph" w:customStyle="1" w:styleId="TableHeading">
    <w:name w:val="Table Heading"/>
    <w:basedOn w:val="HeadingBase"/>
    <w:rsid w:val="007E1575"/>
    <w:pPr>
      <w:keepLines/>
      <w:pBdr>
        <w:bottom w:val="single" w:sz="6" w:space="1" w:color="918585"/>
      </w:pBdr>
      <w:spacing w:before="240"/>
    </w:pPr>
  </w:style>
  <w:style w:type="character" w:customStyle="1" w:styleId="HotSpot">
    <w:name w:val="HotSpot"/>
    <w:rsid w:val="007E1575"/>
    <w:rPr>
      <w:color w:val="0033CC"/>
      <w:u w:val="none"/>
    </w:rPr>
  </w:style>
  <w:style w:type="paragraph" w:customStyle="1" w:styleId="BodyTextRight">
    <w:name w:val="Body Text Right"/>
    <w:basedOn w:val="BodyText"/>
    <w:rsid w:val="007E1575"/>
    <w:pPr>
      <w:spacing w:before="0" w:after="0"/>
      <w:jc w:val="right"/>
    </w:pPr>
  </w:style>
  <w:style w:type="paragraph" w:styleId="Index3">
    <w:name w:val="index 3"/>
    <w:basedOn w:val="ListNumber2"/>
    <w:next w:val="Normal"/>
    <w:semiHidden/>
    <w:rsid w:val="007E1575"/>
    <w:pPr>
      <w:numPr>
        <w:numId w:val="0"/>
      </w:numPr>
      <w:tabs>
        <w:tab w:val="right" w:leader="dot" w:pos="4176"/>
      </w:tabs>
    </w:pPr>
  </w:style>
  <w:style w:type="paragraph" w:styleId="ListNumber2">
    <w:name w:val="List Number 2"/>
    <w:basedOn w:val="List2"/>
    <w:rsid w:val="007E1575"/>
    <w:pPr>
      <w:numPr>
        <w:numId w:val="11"/>
      </w:numPr>
      <w:tabs>
        <w:tab w:val="clear" w:pos="1060"/>
      </w:tabs>
    </w:pPr>
  </w:style>
  <w:style w:type="paragraph" w:customStyle="1" w:styleId="MarginNote">
    <w:name w:val="Margin Note"/>
    <w:basedOn w:val="BodyText"/>
    <w:rsid w:val="007E1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15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575"/>
    <w:rPr>
      <w:sz w:val="32"/>
    </w:rPr>
  </w:style>
  <w:style w:type="paragraph" w:customStyle="1" w:styleId="HeadingProcedure">
    <w:name w:val="Heading Procedure"/>
    <w:basedOn w:val="HeadingBase"/>
    <w:next w:val="Normal"/>
    <w:rsid w:val="007E1575"/>
    <w:pPr>
      <w:tabs>
        <w:tab w:val="left" w:pos="0"/>
      </w:tabs>
      <w:spacing w:before="120" w:after="60"/>
    </w:pPr>
    <w:rPr>
      <w:i/>
      <w:color w:val="918585"/>
      <w:sz w:val="22"/>
    </w:rPr>
  </w:style>
  <w:style w:type="paragraph" w:customStyle="1" w:styleId="TableBodyText">
    <w:name w:val="Table Body Text"/>
    <w:basedOn w:val="BodyText"/>
    <w:rsid w:val="007E1575"/>
    <w:pPr>
      <w:spacing w:before="60" w:after="60"/>
    </w:pPr>
  </w:style>
  <w:style w:type="paragraph" w:styleId="ListContinue">
    <w:name w:val="List Continue"/>
    <w:basedOn w:val="List"/>
    <w:rsid w:val="007E1575"/>
    <w:pPr>
      <w:ind w:firstLine="0"/>
    </w:pPr>
  </w:style>
  <w:style w:type="paragraph" w:customStyle="1" w:styleId="ListNote">
    <w:name w:val="List Note"/>
    <w:basedOn w:val="List"/>
    <w:rsid w:val="007E1575"/>
    <w:pPr>
      <w:pBdr>
        <w:top w:val="single" w:sz="6" w:space="2" w:color="918585"/>
        <w:bottom w:val="single" w:sz="6" w:space="2" w:color="918585"/>
      </w:pBdr>
      <w:tabs>
        <w:tab w:val="left" w:pos="1021"/>
      </w:tabs>
      <w:ind w:firstLine="0"/>
    </w:pPr>
  </w:style>
  <w:style w:type="paragraph" w:customStyle="1" w:styleId="Warning">
    <w:name w:val="Warning"/>
    <w:basedOn w:val="BodyText"/>
    <w:rsid w:val="007E1575"/>
    <w:pPr>
      <w:shd w:val="clear" w:color="auto" w:fill="D9D9D9"/>
      <w:tabs>
        <w:tab w:val="left" w:pos="992"/>
      </w:tabs>
      <w:ind w:left="119" w:right="119"/>
    </w:pPr>
    <w:rPr>
      <w:sz w:val="20"/>
    </w:rPr>
  </w:style>
  <w:style w:type="paragraph" w:customStyle="1" w:styleId="MarginIcons">
    <w:name w:val="Margin Icons"/>
    <w:basedOn w:val="BodyText"/>
    <w:rsid w:val="007E15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1575"/>
    <w:rPr>
      <w:rFonts w:ascii="Courier New" w:hAnsi="Courier New"/>
    </w:rPr>
  </w:style>
  <w:style w:type="paragraph" w:customStyle="1" w:styleId="NoteBullet">
    <w:name w:val="Note Bullet"/>
    <w:basedOn w:val="Note"/>
    <w:rsid w:val="007E1575"/>
    <w:pPr>
      <w:tabs>
        <w:tab w:val="clear" w:pos="680"/>
      </w:tabs>
      <w:spacing w:before="60" w:after="60"/>
    </w:pPr>
  </w:style>
  <w:style w:type="paragraph" w:customStyle="1" w:styleId="SubHeading2">
    <w:name w:val="SubHeading2"/>
    <w:basedOn w:val="HeadingBase"/>
    <w:rsid w:val="007E1575"/>
    <w:pPr>
      <w:spacing w:before="240" w:after="60"/>
    </w:pPr>
    <w:rPr>
      <w:sz w:val="20"/>
    </w:rPr>
  </w:style>
  <w:style w:type="paragraph" w:customStyle="1" w:styleId="SubHeading1">
    <w:name w:val="SubHeading1"/>
    <w:basedOn w:val="HeadingBase"/>
    <w:rsid w:val="007E1575"/>
    <w:pPr>
      <w:spacing w:before="240" w:after="60"/>
    </w:pPr>
    <w:rPr>
      <w:color w:val="918585"/>
      <w:sz w:val="22"/>
    </w:rPr>
  </w:style>
  <w:style w:type="paragraph" w:customStyle="1" w:styleId="SideHeading">
    <w:name w:val="Side Heading"/>
    <w:basedOn w:val="HeadingBase"/>
    <w:rsid w:val="007E1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75"/>
    <w:pPr>
      <w:numPr>
        <w:numId w:val="13"/>
      </w:numPr>
    </w:pPr>
  </w:style>
  <w:style w:type="paragraph" w:styleId="PlainText">
    <w:name w:val="Plain Text"/>
    <w:basedOn w:val="Normal"/>
    <w:link w:val="PlainTextChar"/>
    <w:rsid w:val="007E1575"/>
    <w:rPr>
      <w:sz w:val="20"/>
    </w:rPr>
  </w:style>
  <w:style w:type="character" w:customStyle="1" w:styleId="PlainTextChar">
    <w:name w:val="Plain Text Char"/>
    <w:basedOn w:val="DefaultParagraphFont"/>
    <w:link w:val="PlainText"/>
    <w:rsid w:val="007E1575"/>
    <w:rPr>
      <w:rFonts w:ascii="Courier New" w:eastAsia="Times New Roman" w:hAnsi="Courier New" w:cs="Times New Roman"/>
      <w:sz w:val="20"/>
      <w:szCs w:val="20"/>
      <w:lang w:val="en-US" w:eastAsia="en-US"/>
    </w:rPr>
  </w:style>
  <w:style w:type="character" w:customStyle="1" w:styleId="MenuOption">
    <w:name w:val="Menu Option"/>
    <w:rsid w:val="007E1575"/>
    <w:rPr>
      <w:b/>
      <w:smallCaps/>
    </w:rPr>
  </w:style>
  <w:style w:type="paragraph" w:customStyle="1" w:styleId="TableListNumber">
    <w:name w:val="Table List Number"/>
    <w:basedOn w:val="ListNumber"/>
    <w:rsid w:val="007E1575"/>
    <w:pPr>
      <w:numPr>
        <w:numId w:val="0"/>
      </w:numPr>
    </w:pPr>
  </w:style>
  <w:style w:type="paragraph" w:styleId="TOC4">
    <w:name w:val="toc 4"/>
    <w:basedOn w:val="TOCBase"/>
    <w:next w:val="Normal"/>
    <w:semiHidden/>
    <w:rsid w:val="007E1575"/>
    <w:pPr>
      <w:tabs>
        <w:tab w:val="right" w:leader="dot" w:pos="9071"/>
      </w:tabs>
      <w:ind w:left="1701"/>
    </w:pPr>
  </w:style>
  <w:style w:type="paragraph" w:customStyle="1" w:styleId="ListAlpha">
    <w:name w:val="List Alpha"/>
    <w:basedOn w:val="List"/>
    <w:rsid w:val="007E1575"/>
    <w:pPr>
      <w:numPr>
        <w:numId w:val="10"/>
      </w:numPr>
    </w:pPr>
  </w:style>
  <w:style w:type="paragraph" w:customStyle="1" w:styleId="ListAlpha2">
    <w:name w:val="List Alpha 2"/>
    <w:basedOn w:val="List2"/>
    <w:rsid w:val="007E1575"/>
    <w:pPr>
      <w:numPr>
        <w:numId w:val="9"/>
      </w:numPr>
    </w:pPr>
  </w:style>
  <w:style w:type="paragraph" w:styleId="List2">
    <w:name w:val="List 2"/>
    <w:basedOn w:val="BodyText"/>
    <w:rsid w:val="007E1575"/>
    <w:pPr>
      <w:tabs>
        <w:tab w:val="left" w:pos="680"/>
      </w:tabs>
      <w:spacing w:before="60" w:after="60"/>
      <w:ind w:left="680" w:hanging="340"/>
    </w:pPr>
  </w:style>
  <w:style w:type="paragraph" w:styleId="List3">
    <w:name w:val="List 3"/>
    <w:basedOn w:val="BodyText"/>
    <w:rsid w:val="007E1575"/>
    <w:pPr>
      <w:tabs>
        <w:tab w:val="left" w:pos="1021"/>
      </w:tabs>
      <w:spacing w:before="60" w:after="60"/>
      <w:ind w:left="1020" w:hanging="340"/>
    </w:pPr>
  </w:style>
  <w:style w:type="paragraph" w:styleId="List4">
    <w:name w:val="List 4"/>
    <w:basedOn w:val="BodyText"/>
    <w:rsid w:val="007E1575"/>
    <w:pPr>
      <w:tabs>
        <w:tab w:val="left" w:pos="1361"/>
      </w:tabs>
      <w:spacing w:before="60" w:after="60"/>
      <w:ind w:left="1361" w:hanging="340"/>
    </w:pPr>
  </w:style>
  <w:style w:type="paragraph" w:styleId="List5">
    <w:name w:val="List 5"/>
    <w:basedOn w:val="BodyText"/>
    <w:rsid w:val="007E1575"/>
    <w:pPr>
      <w:tabs>
        <w:tab w:val="left" w:pos="1701"/>
      </w:tabs>
      <w:spacing w:before="60" w:after="60"/>
      <w:ind w:left="1701" w:hanging="340"/>
    </w:pPr>
  </w:style>
  <w:style w:type="paragraph" w:styleId="ListBullet4">
    <w:name w:val="List Bullet 4"/>
    <w:basedOn w:val="List4"/>
    <w:rsid w:val="007E1575"/>
    <w:pPr>
      <w:numPr>
        <w:numId w:val="4"/>
      </w:numPr>
    </w:pPr>
  </w:style>
  <w:style w:type="paragraph" w:styleId="ListBullet5">
    <w:name w:val="List Bullet 5"/>
    <w:basedOn w:val="List5"/>
    <w:rsid w:val="007E1575"/>
    <w:pPr>
      <w:numPr>
        <w:numId w:val="5"/>
      </w:numPr>
    </w:pPr>
  </w:style>
  <w:style w:type="paragraph" w:styleId="ListContinue2">
    <w:name w:val="List Continue 2"/>
    <w:basedOn w:val="List2"/>
    <w:rsid w:val="007E1575"/>
    <w:pPr>
      <w:ind w:firstLine="0"/>
    </w:pPr>
  </w:style>
  <w:style w:type="paragraph" w:styleId="ListContinue3">
    <w:name w:val="List Continue 3"/>
    <w:basedOn w:val="List3"/>
    <w:rsid w:val="007E1575"/>
    <w:pPr>
      <w:ind w:left="1021" w:firstLine="0"/>
    </w:pPr>
  </w:style>
  <w:style w:type="paragraph" w:styleId="ListContinue4">
    <w:name w:val="List Continue 4"/>
    <w:basedOn w:val="List4"/>
    <w:rsid w:val="007E1575"/>
    <w:pPr>
      <w:ind w:firstLine="0"/>
    </w:pPr>
  </w:style>
  <w:style w:type="paragraph" w:styleId="ListContinue5">
    <w:name w:val="List Continue 5"/>
    <w:basedOn w:val="List5"/>
    <w:rsid w:val="007E1575"/>
    <w:pPr>
      <w:ind w:firstLine="0"/>
    </w:pPr>
  </w:style>
  <w:style w:type="paragraph" w:styleId="ListNumber3">
    <w:name w:val="List Number 3"/>
    <w:basedOn w:val="List3"/>
    <w:rsid w:val="007E1575"/>
    <w:pPr>
      <w:numPr>
        <w:numId w:val="6"/>
      </w:numPr>
    </w:pPr>
  </w:style>
  <w:style w:type="paragraph" w:styleId="ListNumber4">
    <w:name w:val="List Number 4"/>
    <w:basedOn w:val="List4"/>
    <w:rsid w:val="007E1575"/>
    <w:pPr>
      <w:numPr>
        <w:numId w:val="7"/>
      </w:numPr>
    </w:pPr>
  </w:style>
  <w:style w:type="paragraph" w:styleId="ListNumber5">
    <w:name w:val="List Number 5"/>
    <w:basedOn w:val="List5"/>
    <w:rsid w:val="007E1575"/>
    <w:pPr>
      <w:numPr>
        <w:numId w:val="8"/>
      </w:numPr>
    </w:pPr>
  </w:style>
  <w:style w:type="paragraph" w:styleId="BlockText">
    <w:name w:val="Block Text"/>
    <w:basedOn w:val="Normal"/>
    <w:rsid w:val="007E1575"/>
    <w:pPr>
      <w:spacing w:after="120"/>
      <w:ind w:left="1440" w:right="1440"/>
    </w:pPr>
  </w:style>
  <w:style w:type="character" w:customStyle="1" w:styleId="Subscript">
    <w:name w:val="Subscript"/>
    <w:rsid w:val="007E1575"/>
    <w:rPr>
      <w:sz w:val="16"/>
      <w:vertAlign w:val="subscript"/>
    </w:rPr>
  </w:style>
  <w:style w:type="character" w:customStyle="1" w:styleId="Superscript">
    <w:name w:val="Superscript"/>
    <w:rsid w:val="007E1575"/>
    <w:rPr>
      <w:sz w:val="16"/>
      <w:vertAlign w:val="superscript"/>
    </w:rPr>
  </w:style>
  <w:style w:type="character" w:customStyle="1" w:styleId="Symbols">
    <w:name w:val="Symbols"/>
    <w:rsid w:val="007E1575"/>
    <w:rPr>
      <w:rFonts w:ascii="Symbol" w:hAnsi="Symbol"/>
    </w:rPr>
  </w:style>
  <w:style w:type="character" w:customStyle="1" w:styleId="MenuOptions">
    <w:name w:val="Menu Options"/>
    <w:rsid w:val="007E1575"/>
    <w:rPr>
      <w:rFonts w:ascii="Arial Narrow" w:hAnsi="Arial Narrow"/>
      <w:smallCaps/>
    </w:rPr>
  </w:style>
  <w:style w:type="character" w:customStyle="1" w:styleId="Buttons">
    <w:name w:val="Buttons"/>
    <w:rsid w:val="007E1575"/>
    <w:rPr>
      <w:b/>
    </w:rPr>
  </w:style>
  <w:style w:type="character" w:customStyle="1" w:styleId="Underlined">
    <w:name w:val="Underlined"/>
    <w:rsid w:val="007E1575"/>
    <w:rPr>
      <w:u w:val="single"/>
    </w:rPr>
  </w:style>
  <w:style w:type="paragraph" w:customStyle="1" w:styleId="TableBodyTextRight">
    <w:name w:val="Table Body Text Right"/>
    <w:basedOn w:val="TableBodyText"/>
    <w:rsid w:val="007E1575"/>
    <w:pPr>
      <w:widowControl w:val="0"/>
      <w:autoSpaceDE w:val="0"/>
      <w:autoSpaceDN w:val="0"/>
      <w:adjustRightInd w:val="0"/>
      <w:jc w:val="right"/>
    </w:pPr>
    <w:rPr>
      <w:rFonts w:cs="Arial"/>
      <w:szCs w:val="18"/>
    </w:rPr>
  </w:style>
  <w:style w:type="paragraph" w:customStyle="1" w:styleId="CopyrightText">
    <w:name w:val="Copyright Text"/>
    <w:basedOn w:val="BodyText"/>
    <w:rsid w:val="007E1575"/>
    <w:rPr>
      <w:sz w:val="18"/>
    </w:rPr>
  </w:style>
  <w:style w:type="paragraph" w:customStyle="1" w:styleId="BodySmallRight">
    <w:name w:val="Body Small Right"/>
    <w:basedOn w:val="BodyTextRight"/>
    <w:rsid w:val="007E1575"/>
    <w:rPr>
      <w:sz w:val="18"/>
      <w:szCs w:val="18"/>
    </w:rPr>
  </w:style>
  <w:style w:type="paragraph" w:customStyle="1" w:styleId="MarginEdition">
    <w:name w:val="Margin Edition"/>
    <w:basedOn w:val="MarginNote"/>
    <w:rsid w:val="007E1575"/>
    <w:pPr>
      <w:spacing w:before="0" w:after="0"/>
    </w:pPr>
    <w:rPr>
      <w:rFonts w:ascii="Times New Roman" w:hAnsi="Times New Roman"/>
      <w:color w:val="999999"/>
    </w:rPr>
  </w:style>
  <w:style w:type="paragraph" w:customStyle="1" w:styleId="Spacer">
    <w:name w:val="Spacer"/>
    <w:basedOn w:val="Normal"/>
    <w:rsid w:val="007E1575"/>
    <w:rPr>
      <w:sz w:val="2"/>
      <w:szCs w:val="2"/>
    </w:rPr>
  </w:style>
  <w:style w:type="character" w:customStyle="1" w:styleId="Small">
    <w:name w:val="Small"/>
    <w:rsid w:val="007E1575"/>
    <w:rPr>
      <w:sz w:val="16"/>
    </w:rPr>
  </w:style>
  <w:style w:type="paragraph" w:customStyle="1" w:styleId="WideTable">
    <w:name w:val="Wide Table"/>
    <w:basedOn w:val="Normal"/>
    <w:rsid w:val="007E1575"/>
    <w:pPr>
      <w:ind w:left="-1418"/>
    </w:pPr>
    <w:rPr>
      <w:sz w:val="2"/>
      <w:szCs w:val="2"/>
    </w:rPr>
  </w:style>
  <w:style w:type="character" w:styleId="PageNumber">
    <w:name w:val="page number"/>
    <w:rsid w:val="007E1575"/>
  </w:style>
  <w:style w:type="paragraph" w:styleId="Quote">
    <w:name w:val="Quote"/>
    <w:basedOn w:val="Heading1"/>
    <w:link w:val="QuoteChar"/>
    <w:qFormat/>
    <w:rsid w:val="007E1575"/>
    <w:rPr>
      <w:b w:val="0"/>
      <w:sz w:val="72"/>
      <w:szCs w:val="72"/>
      <w:lang w:val="en-NZ"/>
    </w:rPr>
  </w:style>
  <w:style w:type="character" w:customStyle="1" w:styleId="QuoteChar">
    <w:name w:val="Quote Char"/>
    <w:link w:val="Quote"/>
    <w:rsid w:val="007E1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75"/>
    <w:pPr>
      <w:pageBreakBefore/>
    </w:pPr>
  </w:style>
  <w:style w:type="paragraph" w:customStyle="1" w:styleId="Border">
    <w:name w:val="Border"/>
    <w:basedOn w:val="Normal"/>
    <w:qFormat/>
    <w:rsid w:val="007E1575"/>
    <w:pPr>
      <w:pBdr>
        <w:top w:val="single" w:sz="18" w:space="1" w:color="auto"/>
      </w:pBdr>
    </w:pPr>
    <w:rPr>
      <w:rFonts w:ascii="Times New Roman" w:hAnsi="Times New Roman"/>
      <w:color w:val="FFFFFF"/>
      <w:sz w:val="2"/>
    </w:rPr>
  </w:style>
  <w:style w:type="character" w:styleId="IntenseEmphasis">
    <w:name w:val="Intense Emphasis"/>
    <w:uiPriority w:val="21"/>
    <w:qFormat/>
    <w:rsid w:val="007E1575"/>
    <w:rPr>
      <w:b/>
      <w:bCs/>
      <w:i/>
      <w:iCs/>
      <w:color w:val="auto"/>
    </w:rPr>
  </w:style>
  <w:style w:type="paragraph" w:styleId="IntenseQuote">
    <w:name w:val="Intense Quote"/>
    <w:basedOn w:val="Normal"/>
    <w:next w:val="Normal"/>
    <w:link w:val="IntenseQuoteChar"/>
    <w:uiPriority w:val="30"/>
    <w:qFormat/>
    <w:rsid w:val="007E15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1575"/>
    <w:rPr>
      <w:rFonts w:ascii="Courier New" w:eastAsia="Times New Roman" w:hAnsi="Courier New" w:cs="Times New Roman"/>
      <w:b/>
      <w:bCs/>
      <w:i/>
      <w:iCs/>
      <w:szCs w:val="20"/>
      <w:lang w:val="en-US" w:eastAsia="en-US"/>
    </w:rPr>
  </w:style>
  <w:style w:type="character" w:styleId="SubtleReference">
    <w:name w:val="Subtle Reference"/>
    <w:uiPriority w:val="31"/>
    <w:qFormat/>
    <w:rsid w:val="007E1575"/>
    <w:rPr>
      <w:smallCaps/>
      <w:color w:val="auto"/>
      <w:u w:val="single"/>
    </w:rPr>
  </w:style>
  <w:style w:type="character" w:styleId="IntenseReference">
    <w:name w:val="Intense Reference"/>
    <w:uiPriority w:val="32"/>
    <w:qFormat/>
    <w:rsid w:val="007E1575"/>
    <w:rPr>
      <w:b/>
      <w:bCs/>
      <w:smallCaps/>
      <w:color w:val="auto"/>
      <w:spacing w:val="5"/>
      <w:u w:val="single"/>
    </w:rPr>
  </w:style>
  <w:style w:type="paragraph" w:customStyle="1" w:styleId="2ColumnHeading">
    <w:name w:val="2Column Heading"/>
    <w:basedOn w:val="BodyText"/>
    <w:qFormat/>
    <w:rsid w:val="007E1575"/>
    <w:pPr>
      <w:spacing w:after="60"/>
      <w:ind w:left="-2268"/>
    </w:pPr>
    <w:rPr>
      <w:b/>
    </w:rPr>
  </w:style>
  <w:style w:type="paragraph" w:customStyle="1" w:styleId="Heading1TOC">
    <w:name w:val="Heading1 TOC"/>
    <w:basedOn w:val="Normal"/>
    <w:qFormat/>
    <w:rsid w:val="007E1575"/>
    <w:pPr>
      <w:spacing w:before="240" w:after="120"/>
    </w:pPr>
    <w:rPr>
      <w:rFonts w:ascii="Times New Roman" w:hAnsi="Times New Roman"/>
      <w:b/>
      <w:sz w:val="32"/>
    </w:rPr>
  </w:style>
  <w:style w:type="paragraph" w:customStyle="1" w:styleId="Heading2TOC">
    <w:name w:val="Heading2 TOC"/>
    <w:basedOn w:val="Normal"/>
    <w:qFormat/>
    <w:rsid w:val="007E1575"/>
    <w:pPr>
      <w:spacing w:before="240" w:after="60"/>
    </w:pPr>
    <w:rPr>
      <w:rFonts w:ascii="Times New Roman" w:hAnsi="Times New Roman"/>
      <w:b/>
      <w:sz w:val="28"/>
    </w:rPr>
  </w:style>
  <w:style w:type="character" w:customStyle="1" w:styleId="Underline">
    <w:name w:val="Underline"/>
    <w:qFormat/>
    <w:rsid w:val="007E1575"/>
    <w:rPr>
      <w:u w:val="single"/>
    </w:rPr>
  </w:style>
  <w:style w:type="character" w:customStyle="1" w:styleId="BoldandItalics">
    <w:name w:val="Bold and Italics"/>
    <w:qFormat/>
    <w:rsid w:val="007E1575"/>
    <w:rPr>
      <w:b/>
      <w:i/>
      <w:u w:val="none"/>
    </w:rPr>
  </w:style>
  <w:style w:type="paragraph" w:styleId="BalloonText">
    <w:name w:val="Balloon Text"/>
    <w:basedOn w:val="Normal"/>
    <w:link w:val="BalloonTextChar"/>
    <w:rsid w:val="007E1575"/>
    <w:rPr>
      <w:rFonts w:ascii="Tahoma" w:hAnsi="Tahoma" w:cs="Tahoma"/>
      <w:sz w:val="16"/>
      <w:szCs w:val="16"/>
    </w:rPr>
  </w:style>
  <w:style w:type="character" w:customStyle="1" w:styleId="BalloonTextChar">
    <w:name w:val="Balloon Text Char"/>
    <w:link w:val="BalloonText"/>
    <w:rsid w:val="007E15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5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15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3262</Words>
  <Characters>20668</Characters>
  <Application>Microsoft Office Word</Application>
  <DocSecurity>0</DocSecurity>
  <Lines>868</Lines>
  <Paragraphs>348</Paragraphs>
  <ScaleCrop>false</ScaleCrop>
  <Company>Author-it Software Corporation Ltd.</Company>
  <LinksUpToDate>false</LinksUpToDate>
  <CharactersWithSpaces>23673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UETTDRIS64A Install mobile generation set for synchronised HV Genset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2012-05-26T12:13:00Z</dcterms:created>
  <dcterms:modified xsi:type="dcterms:W3CDTF">2012-05-26T12:13:00Z</dcterms:modified>
</cp:coreProperties>
</file>