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FFA" w:rsidP="00504FFA">
      <w:pPr>
        <w:pStyle w:val="Title"/>
      </w:pPr>
      <w:bookmarkStart w:id="0" w:name="_GoBack"/>
      <w:bookmarkEnd w:id="0"/>
      <w:r>
        <w:fldChar w:fldCharType="begin"/>
      </w:r>
      <w:r>
        <w:instrText xml:space="preserve"> TITLE   \* MERGEFORMAT </w:instrText>
      </w:r>
      <w:r>
        <w:fldChar w:fldCharType="separate"/>
      </w:r>
      <w:r>
        <w:t>UETTDRIS62A Implement and monitor the power system organisational OHS policies, procedures and programs</w:t>
      </w:r>
      <w:r>
        <w:fldChar w:fldCharType="end"/>
      </w:r>
    </w:p>
    <w:p w:rsidR="00504FFA" w:rsidP="00504FFA">
      <w:pPr>
        <w:pStyle w:val="Version"/>
        <w:sectPr w:rsidSect="00F768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684A" w:rsidP="00F7684A">
      <w:pPr>
        <w:pStyle w:val="SuperHeading"/>
      </w:pPr>
      <w:r w:rsidRPr="00F7684A">
        <w:t>UETTDRIS62A Implement and monitor the power system organisational OHS policies, procedures and programs</w:t>
      </w:r>
    </w:p>
    <w:p w:rsidR="00000000" w:rsidRPr="00F7684A" w:rsidP="00F7684A">
      <w:pPr>
        <w:pStyle w:val="Heading1"/>
      </w:pPr>
      <w:bookmarkStart w:id="1" w:name="O_462810"/>
      <w:bookmarkEnd w:id="1"/>
      <w:r w:rsidRPr="00F7684A">
        <w:t>Modification History</w:t>
      </w:r>
    </w:p>
    <w:p w:rsidR="00000000" w:rsidRPr="00F7684A" w:rsidP="00F7684A">
      <w:pPr>
        <w:pStyle w:val="BodyText"/>
      </w:pPr>
      <w:r w:rsidRPr="00F7684A">
        <w:t>Not applicable.</w:t>
      </w:r>
    </w:p>
    <w:p w:rsidR="00000000" w:rsidRPr="00F7684A" w:rsidP="00F7684A">
      <w:pPr>
        <w:pStyle w:val="AllowPageBreak"/>
      </w:pPr>
    </w:p>
    <w:p w:rsidR="00000000" w:rsidRPr="00F7684A" w:rsidP="00F7684A">
      <w:pPr>
        <w:pStyle w:val="Heading1"/>
      </w:pPr>
      <w:bookmarkStart w:id="2" w:name="O_462807"/>
      <w:bookmarkEnd w:id="2"/>
      <w:r w:rsidRPr="00F7684A">
        <w:t>Unit Descriptor</w:t>
      </w:r>
    </w:p>
    <w:tbl>
      <w:tblPr>
        <w:tblW w:w="0" w:type="auto"/>
        <w:tblLayout w:type="fixed"/>
        <w:tblCellMar>
          <w:left w:w="62" w:type="dxa"/>
          <w:right w:w="62" w:type="dxa"/>
        </w:tblCellMar>
        <w:tblLook w:val="0000"/>
      </w:tblPr>
      <w:tblGrid>
        <w:gridCol w:w="2700"/>
        <w:gridCol w:w="5760"/>
      </w:tblGrid>
      <w:tr w:rsidTr="00504F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1)</w:t>
            </w:r>
            <w:r w:rsidRPr="00F7684A">
              <w:t xml:space="preserve"> </w:t>
            </w:r>
            <w:r w:rsidRPr="00F7684A">
              <w:rPr>
                <w:rStyle w:val="SpecialBold"/>
              </w:rPr>
              <w:t>Scope:</w:t>
            </w:r>
          </w:p>
        </w:tc>
      </w:tr>
      <w:tr w:rsidTr="0050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7684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1.1) Descriptor</w:t>
            </w:r>
          </w:p>
        </w:tc>
      </w:tr>
      <w:tr w:rsidTr="0050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t xml:space="preserve">This Competency Standard Unit covers the implementation and monitoring of the participative arrangements for the management of the organisational </w:t>
            </w:r>
            <w:r w:rsidRPr="00F7684A">
              <w:t xml:space="preserve">OHS policies procedures, programs and issues, including disseminating information on hazards and risk assessment to meet OHS standards. It also encompasses the collation of work group input, as well as implementation of enterprise procedures for resolving </w:t>
            </w:r>
            <w:r w:rsidRPr="00F7684A">
              <w:t>OHS issues.</w:t>
            </w:r>
          </w:p>
        </w:tc>
      </w:tr>
    </w:tbl>
    <w:p w:rsidR="00000000" w:rsidRPr="00F7684A" w:rsidP="00F7684A">
      <w:pPr>
        <w:pStyle w:val="BodyText"/>
      </w:pPr>
    </w:p>
    <w:p w:rsidR="00000000" w:rsidRPr="00F7684A" w:rsidP="00F7684A">
      <w:pPr>
        <w:pStyle w:val="AllowPageBreak"/>
      </w:pPr>
    </w:p>
    <w:p w:rsidR="00000000" w:rsidRPr="00F7684A" w:rsidP="00F7684A">
      <w:pPr>
        <w:pStyle w:val="Heading1"/>
      </w:pPr>
      <w:bookmarkStart w:id="3" w:name="O_462796"/>
      <w:bookmarkEnd w:id="3"/>
      <w:r w:rsidRPr="00F7684A">
        <w:t>Application of the Unit</w:t>
      </w:r>
    </w:p>
    <w:tbl>
      <w:tblPr>
        <w:tblW w:w="0" w:type="auto"/>
        <w:tblLayout w:type="fixed"/>
        <w:tblCellMar>
          <w:left w:w="62" w:type="dxa"/>
          <w:right w:w="62" w:type="dxa"/>
        </w:tblCellMar>
        <w:tblLook w:val="0000"/>
      </w:tblPr>
      <w:tblGrid>
        <w:gridCol w:w="2672"/>
        <w:gridCol w:w="5699"/>
      </w:tblGrid>
      <w:tr w:rsidTr="00504FF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2)</w:t>
            </w:r>
          </w:p>
        </w:tc>
      </w:tr>
      <w:tr w:rsidTr="00504FF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t>This Competency Standard Unit is intended to augment formally acquired competencies. It is suitable for employment-based programs under an approved contract of training.</w:t>
            </w:r>
          </w:p>
        </w:tc>
      </w:tr>
    </w:tbl>
    <w:p w:rsidR="00000000" w:rsidRPr="00F7684A" w:rsidP="00F7684A">
      <w:pPr>
        <w:pStyle w:val="BodyText"/>
      </w:pPr>
    </w:p>
    <w:p w:rsidR="00000000" w:rsidRPr="00F7684A" w:rsidP="00F7684A">
      <w:pPr>
        <w:pStyle w:val="AllowPageBreak"/>
      </w:pPr>
    </w:p>
    <w:p w:rsidR="00000000" w:rsidRPr="00F7684A" w:rsidP="00F7684A">
      <w:pPr>
        <w:pStyle w:val="Heading1"/>
      </w:pPr>
      <w:bookmarkStart w:id="4" w:name="O_462803"/>
      <w:bookmarkEnd w:id="4"/>
      <w:r w:rsidRPr="00F7684A">
        <w:t>Licensing/Regulatory Information</w:t>
      </w:r>
    </w:p>
    <w:tbl>
      <w:tblPr>
        <w:tblW w:w="0" w:type="auto"/>
        <w:tblLayout w:type="fixed"/>
        <w:tblCellMar>
          <w:left w:w="62" w:type="dxa"/>
          <w:right w:w="62" w:type="dxa"/>
        </w:tblCellMar>
        <w:tblLook w:val="0000"/>
      </w:tblPr>
      <w:tblGrid>
        <w:gridCol w:w="2700"/>
        <w:gridCol w:w="5760"/>
      </w:tblGrid>
      <w:tr w:rsidTr="00504F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 xml:space="preserve">3) </w:t>
            </w:r>
          </w:p>
        </w:tc>
      </w:tr>
      <w:tr w:rsidTr="0050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t>The skills and knowledge described in this unit may require a licence/registration to practice in the work place subject to regulations for undertaking of electrical work. Practice</w:t>
            </w:r>
            <w:r w:rsidRPr="00F7684A">
              <w:t xml:space="preserve"> in workplace and during training is also subject to regulations directly related to Occupational Health and Safety, electricity/telecommunications/gas/water industry safety and compliance, industrial relations, environmental </w:t>
            </w:r>
            <w:r w:rsidRPr="00F7684A">
              <w:t>protection, anti discriminatio</w:t>
            </w:r>
            <w:r w:rsidRPr="00F7684A">
              <w:t>n and training. Commonwealth, State/Territory or Local Government legislation and regulations may exist that limits the age of operating certain equipment.</w:t>
            </w:r>
          </w:p>
        </w:tc>
      </w:tr>
    </w:tbl>
    <w:p w:rsidR="00000000" w:rsidRPr="00F7684A" w:rsidP="00F7684A">
      <w:pPr>
        <w:pStyle w:val="BodyText"/>
      </w:pPr>
    </w:p>
    <w:p w:rsidR="00000000" w:rsidRPr="00F7684A" w:rsidP="00F7684A">
      <w:pPr>
        <w:pStyle w:val="AllowPageBreak"/>
      </w:pPr>
    </w:p>
    <w:p w:rsidR="00000000" w:rsidRPr="00F7684A" w:rsidP="00F7684A">
      <w:pPr>
        <w:pStyle w:val="Heading1"/>
      </w:pPr>
      <w:bookmarkStart w:id="5" w:name="O_462804"/>
      <w:bookmarkEnd w:id="5"/>
      <w:r w:rsidRPr="00F7684A">
        <w:t>Pre-Requisites</w:t>
      </w:r>
    </w:p>
    <w:tbl>
      <w:tblPr>
        <w:tblW w:w="0" w:type="auto"/>
        <w:tblLayout w:type="fixed"/>
        <w:tblCellMar>
          <w:left w:w="62" w:type="dxa"/>
          <w:right w:w="62" w:type="dxa"/>
        </w:tblCellMar>
        <w:tblLook w:val="0000"/>
      </w:tblPr>
      <w:tblGrid>
        <w:gridCol w:w="2700"/>
        <w:gridCol w:w="2070"/>
        <w:gridCol w:w="3690"/>
      </w:tblGrid>
      <w:tr w:rsidTr="00504F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 xml:space="preserve">4) </w:t>
            </w:r>
          </w:p>
        </w:tc>
      </w:tr>
      <w:tr w:rsidTr="0050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4.1)</w:t>
            </w:r>
          </w:p>
        </w:tc>
      </w:tr>
      <w:tr w:rsidTr="0050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t>Granting of competency in this unit shall be made only after competency in the following unit(s) has/have been confirmed.</w:t>
            </w:r>
          </w:p>
          <w:p w:rsidR="00000000" w:rsidRPr="00F7684A" w:rsidP="00F7684A">
            <w:pPr>
              <w:pStyle w:val="BodyText"/>
            </w:pPr>
            <w:r w:rsidRPr="00F7684A">
              <w:t xml:space="preserve">Where pre-requisite pathways have been identified. All competencies in the Common Unit Group must be have been completed plus all the </w:t>
            </w:r>
            <w:r w:rsidRPr="00F7684A">
              <w:t>competencies in one (1) of the identified Pathway Unit Group(s):</w:t>
            </w:r>
          </w:p>
          <w:p w:rsidR="00000000" w:rsidP="00F7684A">
            <w:pPr>
              <w:pStyle w:val="BodyText"/>
              <w:rPr>
                <w:lang w:val="en-NZ"/>
              </w:rPr>
            </w:pPr>
            <w:r w:rsidRPr="00F7684A">
              <w:t>Common Unit Group</w:t>
            </w:r>
          </w:p>
        </w:tc>
      </w:tr>
      <w:tr w:rsidTr="0050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Unit Code</w:t>
            </w:r>
          </w:p>
        </w:tc>
        <w:tc>
          <w:tcPr>
            <w:tcW w:w="369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Unit Title</w:t>
            </w:r>
          </w:p>
        </w:tc>
      </w:tr>
      <w:tr w:rsidTr="0050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7684A">
            <w:pPr>
              <w:pStyle w:val="BodyText"/>
              <w:rPr>
                <w:lang w:val="en-NZ"/>
              </w:rPr>
            </w:pPr>
            <w:r w:rsidRPr="00F7684A">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F7684A">
            <w:pPr>
              <w:pStyle w:val="BodyText"/>
              <w:rPr>
                <w:lang w:val="en-NZ"/>
              </w:rPr>
            </w:pPr>
            <w:r w:rsidRPr="00F7684A">
              <w:t>Apply Occupational Health and Safety regulations, codes and practices in the workplace</w:t>
            </w:r>
          </w:p>
        </w:tc>
      </w:tr>
      <w:tr w:rsidTr="0050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7684A">
            <w:pPr>
              <w:pStyle w:val="BodyText"/>
              <w:rPr>
                <w:lang w:val="en-NZ"/>
              </w:rPr>
            </w:pPr>
            <w:r w:rsidRPr="00F7684A">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RPr="00F7684A" w:rsidP="00F7684A">
            <w:pPr>
              <w:pStyle w:val="BodyText"/>
            </w:pPr>
            <w:r w:rsidRPr="00F7684A">
              <w:t>Working safely near live electrical apparatus</w:t>
            </w:r>
          </w:p>
        </w:tc>
      </w:tr>
    </w:tbl>
    <w:p w:rsidR="00000000" w:rsidRPr="00F7684A" w:rsidP="00F7684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04FF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 xml:space="preserve">4.2) </w:t>
            </w:r>
          </w:p>
        </w:tc>
      </w:tr>
      <w:tr w:rsidTr="0050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 xml:space="preserve">Participants are best equipped to achieve this unit if they have reading, writing and numeracy skills indicated by the following scales. Description of each scale is </w:t>
            </w:r>
            <w:r w:rsidRPr="00F7684A">
              <w:t>given in Volume 2, Part 3 “Literacy and Numeracy”</w:t>
            </w:r>
          </w:p>
        </w:tc>
      </w:tr>
      <w:tr w:rsidTr="0050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Reading</w:t>
            </w:r>
          </w:p>
        </w:tc>
        <w:tc>
          <w:tcPr>
            <w:tcW w:w="81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4</w:t>
            </w:r>
          </w:p>
        </w:tc>
        <w:tc>
          <w:tcPr>
            <w:tcW w:w="99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Writing</w:t>
            </w:r>
          </w:p>
        </w:tc>
        <w:tc>
          <w:tcPr>
            <w:tcW w:w="90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4</w:t>
            </w:r>
          </w:p>
        </w:tc>
        <w:tc>
          <w:tcPr>
            <w:tcW w:w="126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Numeracy</w:t>
            </w:r>
          </w:p>
        </w:tc>
        <w:tc>
          <w:tcPr>
            <w:tcW w:w="72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t>4</w:t>
            </w:r>
          </w:p>
        </w:tc>
      </w:tr>
    </w:tbl>
    <w:p w:rsidR="00000000" w:rsidRPr="00F7684A" w:rsidP="00F7684A">
      <w:pPr>
        <w:pStyle w:val="BodyText"/>
      </w:pPr>
    </w:p>
    <w:p w:rsidR="00000000" w:rsidRPr="00F7684A" w:rsidP="00F7684A">
      <w:pPr>
        <w:pStyle w:val="AllowPageBreak"/>
      </w:pPr>
    </w:p>
    <w:p w:rsidR="00000000" w:rsidRPr="00F7684A" w:rsidP="00F7684A">
      <w:pPr>
        <w:pStyle w:val="Heading1"/>
      </w:pPr>
      <w:bookmarkStart w:id="6" w:name="O_462800"/>
      <w:bookmarkEnd w:id="6"/>
      <w:r w:rsidRPr="00F7684A">
        <w:t>Employability Skills Information</w:t>
      </w:r>
    </w:p>
    <w:tbl>
      <w:tblPr>
        <w:tblW w:w="0" w:type="auto"/>
        <w:tblLayout w:type="fixed"/>
        <w:tblCellMar>
          <w:left w:w="62" w:type="dxa"/>
          <w:right w:w="62" w:type="dxa"/>
        </w:tblCellMar>
        <w:tblLook w:val="0000"/>
      </w:tblPr>
      <w:tblGrid>
        <w:gridCol w:w="2700"/>
        <w:gridCol w:w="5760"/>
      </w:tblGrid>
      <w:tr w:rsidTr="00504F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 xml:space="preserve">5) </w:t>
            </w:r>
          </w:p>
        </w:tc>
      </w:tr>
      <w:tr w:rsidTr="0050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t>The required outcomes described in this unit of competency contain ap</w:t>
            </w:r>
            <w:r w:rsidRPr="00F7684A">
              <w:t>plicable facets of Employability Skills. The Employability Skills Summary of the qualification in which this unit of competency is packaged will assist in identifying Employability Skill requirements.</w:t>
            </w:r>
          </w:p>
        </w:tc>
      </w:tr>
    </w:tbl>
    <w:p w:rsidR="00000000" w:rsidRPr="00F7684A" w:rsidP="00F7684A">
      <w:pPr>
        <w:pStyle w:val="BodyText"/>
      </w:pPr>
    </w:p>
    <w:p w:rsidR="00000000" w:rsidRPr="00F7684A" w:rsidP="00F7684A">
      <w:pPr>
        <w:pStyle w:val="AllowPageBreak"/>
      </w:pPr>
    </w:p>
    <w:p w:rsidR="00000000" w:rsidRPr="00F7684A" w:rsidP="00F7684A">
      <w:pPr>
        <w:pStyle w:val="Heading1"/>
      </w:pPr>
      <w:bookmarkStart w:id="7" w:name="O_462799"/>
      <w:bookmarkEnd w:id="7"/>
      <w:r w:rsidRPr="00F7684A">
        <w:t>Elements and Performance Criteria Pr</w:t>
      </w:r>
      <w:r w:rsidRPr="00F7684A">
        <w:t>e-Content</w:t>
      </w:r>
    </w:p>
    <w:tbl>
      <w:tblPr>
        <w:tblW w:w="0" w:type="auto"/>
        <w:tblLayout w:type="fixed"/>
        <w:tblCellMar>
          <w:left w:w="62" w:type="dxa"/>
          <w:right w:w="62" w:type="dxa"/>
        </w:tblCellMar>
        <w:tblLook w:val="0000"/>
      </w:tblPr>
      <w:tblGrid>
        <w:gridCol w:w="2700"/>
        <w:gridCol w:w="5760"/>
      </w:tblGrid>
      <w:tr w:rsidTr="0050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6)</w:t>
            </w:r>
            <w:r w:rsidRPr="00F7684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t>Performance Criteria describe the required performance needed to demonstrate achievement of the element. Assessment of performance is to be consistent with the Evidence Gui</w:t>
            </w:r>
            <w:r w:rsidRPr="00F7684A">
              <w:t>de.</w:t>
            </w:r>
          </w:p>
        </w:tc>
      </w:tr>
    </w:tbl>
    <w:p w:rsidR="00000000" w:rsidRPr="00F7684A" w:rsidP="00F7684A">
      <w:pPr>
        <w:pStyle w:val="BodyText"/>
      </w:pPr>
    </w:p>
    <w:p w:rsidR="00000000" w:rsidRPr="00F7684A" w:rsidP="00F7684A">
      <w:pPr>
        <w:pStyle w:val="AllowPageBreak"/>
      </w:pPr>
    </w:p>
    <w:p w:rsidR="00000000" w:rsidRPr="00F7684A" w:rsidP="00F7684A">
      <w:pPr>
        <w:pStyle w:val="Heading1"/>
      </w:pPr>
      <w:bookmarkStart w:id="8" w:name="O_462798"/>
      <w:bookmarkEnd w:id="8"/>
      <w:r w:rsidRPr="00F7684A">
        <w:t>Elements and Performance Criteria</w:t>
      </w:r>
    </w:p>
    <w:tbl>
      <w:tblPr>
        <w:tblW w:w="0" w:type="auto"/>
        <w:tblLayout w:type="fixed"/>
        <w:tblCellMar>
          <w:left w:w="62" w:type="dxa"/>
          <w:right w:w="62" w:type="dxa"/>
        </w:tblCellMar>
        <w:tblLook w:val="0000"/>
      </w:tblPr>
      <w:tblGrid>
        <w:gridCol w:w="404"/>
        <w:gridCol w:w="2296"/>
        <w:gridCol w:w="819"/>
        <w:gridCol w:w="4941"/>
      </w:tblGrid>
      <w:tr w:rsidTr="00504FF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PERFORMANCE CRITERIA</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1</w:t>
            </w:r>
          </w:p>
        </w:tc>
        <w:tc>
          <w:tcPr>
            <w:tcW w:w="2296"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Prepare/Plan to implement and monitor the organisational OHS policies, procedures and programs</w:t>
            </w: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1.1</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Works schedule(s), including drawings, plans, requirements, established procedures, and material lists, are received, analysed, if necessary, by site inspection and the extent of the preparation of the work determined for planning and coordination.</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1.2</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Relevant requirements and established procedures for the work are communicated to all personnel and identified for all work sites.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1.3</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Hazards are identified, OHS risks assessed and control measures are prioritised, implemented and monitored including e</w:t>
            </w:r>
            <w:r w:rsidRPr="00F7684A">
              <w:t>mergency exits kept clear, to ensure safe systems of work are followed and according to established procedures.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1.4</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Work is prioritised and sequenced for the most efficient and effective outcome following consultation with others for completion within a</w:t>
            </w:r>
            <w:r w:rsidRPr="00F7684A">
              <w:t>cceptable timeframes, to a quality standard and in accordance with established procedures.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1.5</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Risk control measures are identified, prioritised, implemented and evaluated against the work schedule.</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1.6</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Relevant work permits are secure</w:t>
            </w:r>
            <w:r w:rsidRPr="00F7684A">
              <w:t>d to coordinate the performance of work according to requirements and/or established procedures.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1.7</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Resources including personnel, equipment, tools and personal protective equipment required for the job are identified, scheduled and coordinated and con</w:t>
            </w:r>
            <w:r w:rsidRPr="00F7684A">
              <w:t>firmed in a safe and technical working order.</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1.8</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Clients/Customers are provided with alternative methods within the scope, acceptable cost and requirements.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1.9</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Liaison and communication issues with other/authorised personnel, authorities, clients a</w:t>
            </w:r>
            <w:r w:rsidRPr="00F7684A">
              <w:t>nd land owners are resolved and activities coordinated to carry out work.</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1.10</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Site is prepared according to the work schedule and to minimise OHS risk, damage to property, commerce, and individuals in accordance with established procedures.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1.11</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Personnel participating in the work, including contractors, are fully briefed and respective responsibilities authorised and coordinated where applicable in accordance with established procedures.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1.12</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Positioning of road signs, barriers and warning dev</w:t>
            </w:r>
            <w:r w:rsidRPr="00F7684A">
              <w:t>ices is planned in accordance with traffic control management requirements and established procedures.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2</w:t>
            </w:r>
          </w:p>
        </w:tc>
        <w:tc>
          <w:tcPr>
            <w:tcW w:w="2296" w:type="dxa"/>
            <w:vMerge w:val="restart"/>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Carry out the implementation and monitoring of the organisational OHS policies, procedures and programs</w:t>
            </w: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2.1</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 xml:space="preserve">OHS and sustainable energy principles and </w:t>
            </w:r>
            <w:r w:rsidRPr="00F7684A">
              <w:t>practices to reduce the incidents of accidents and minimise waste are implemented and monitored in accordance with requirements and/or established procedures.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2.2</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First Aid, Pole Top Rescue and other related work procedures are performed according to requirements and/or established procedures.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2.3</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Lifting, climbing, working in confined spaces, working at heights, and use of power tools/equipment, techniques and p</w:t>
            </w:r>
            <w:r w:rsidRPr="00F7684A">
              <w:t>ractices are safely exercised according to requirements.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2.4</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Hazard warnings and safety signs are recognised and hazards and assessed OHS risks are risk control measures are implemented, preventative action taken and mon</w:t>
            </w:r>
            <w:r w:rsidRPr="00F7684A">
              <w:t>itored and/or appropriate authorities consulted, where necessary, in accordance with requirements and established procedures.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2.5</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Remedial actions are taken to overcome any shortfalls encountered in the work schedule according to requirements and/or est</w:t>
            </w:r>
            <w:r w:rsidRPr="00F7684A">
              <w:t>ablished procedures.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2.6</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Implementation and monitoring of the participative arrangements for the systematic management of organisational OHS policy procedures, programs and issues are carried out, in accordance with the work schedule and requirements an</w:t>
            </w:r>
            <w:r w:rsidRPr="00F7684A">
              <w:t>d/or established procedures.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2.7</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 xml:space="preserve">Essential knowledge and associated skills are applied in the safe implementation and monitoring of the participative arrangements for the management of organisational OHS policy procedures, programs and issues to ensure </w:t>
            </w:r>
            <w:r w:rsidRPr="00F7684A">
              <w:t>completion in an agreed timeframe and, to quality standards with a minimum of waste according to requirements.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2.8</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Solutions to non-routine problems are identified and actioned using acquired essential knowledge and associated skills according to requirements.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2.9</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Ongoing checks of quality of the work are undertaken in accordance with requirements and established pr</w:t>
            </w:r>
            <w:r w:rsidRPr="00F7684A">
              <w:t>ocedures to ensure a quality outcome is achieved for the client/customer and to a community/industry standard.</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3</w:t>
            </w:r>
          </w:p>
        </w:tc>
        <w:tc>
          <w:tcPr>
            <w:tcW w:w="2296" w:type="dxa"/>
            <w:vMerge w:val="restart"/>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Complete the implementation and monitoring of the organisational OHS policies, procedures and programs</w:t>
            </w: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3.1</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 xml:space="preserve">Work undertaken is checked against </w:t>
            </w:r>
            <w:r w:rsidRPr="00F7684A">
              <w:t>works schedule for conformance with requirements, anomalies reported and solutions identified in accordance with established procedures.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3.2</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Accidents, incidents and/or injuries are reported in accordance with requirements/established procedures.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3.3</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Work site is rehabilitated, cleaned up and confirmed safe in accordance with established procedures.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3.4</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Tools, equipment and any surplus resources and materials are, where appropriate, cleaned, checked and returned to storage in accordance with establ</w:t>
            </w:r>
            <w:r w:rsidRPr="00F7684A">
              <w:t>ished procedures.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3.5</w:t>
            </w:r>
          </w:p>
        </w:tc>
        <w:tc>
          <w:tcPr>
            <w:tcW w:w="4941"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Relevant work permit(s) are signed off and, the work completed/returned to service and advised to client/customer in accordance with requirements.</w:t>
            </w:r>
          </w:p>
        </w:tc>
      </w:tr>
      <w:tr w:rsidTr="00504F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3.6</w:t>
            </w:r>
          </w:p>
        </w:tc>
        <w:tc>
          <w:tcPr>
            <w:tcW w:w="4941"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t>Works completion records, reports, as installed /modified drawing(s) and/or documentation and information are confirmed, processed and appropriate personnel notified.</w:t>
            </w:r>
          </w:p>
        </w:tc>
      </w:tr>
    </w:tbl>
    <w:p w:rsidR="00000000" w:rsidRPr="00F7684A" w:rsidP="00F7684A">
      <w:pPr>
        <w:pStyle w:val="BodyText"/>
      </w:pPr>
    </w:p>
    <w:p w:rsidR="00000000" w:rsidRPr="00F7684A" w:rsidP="00F7684A">
      <w:pPr>
        <w:pStyle w:val="AllowPageBreak"/>
      </w:pPr>
    </w:p>
    <w:p w:rsidR="00000000" w:rsidRPr="00F7684A" w:rsidP="00F7684A">
      <w:pPr>
        <w:pStyle w:val="Heading1"/>
      </w:pPr>
      <w:bookmarkStart w:id="9" w:name="O_462806"/>
      <w:bookmarkEnd w:id="9"/>
      <w:r w:rsidRPr="00F7684A">
        <w:t>Required Skills and Knowledge</w:t>
      </w:r>
    </w:p>
    <w:tbl>
      <w:tblPr>
        <w:tblW w:w="0" w:type="auto"/>
        <w:tblLayout w:type="fixed"/>
        <w:tblCellMar>
          <w:left w:w="62" w:type="dxa"/>
          <w:right w:w="62" w:type="dxa"/>
        </w:tblCellMar>
        <w:tblLook w:val="0000"/>
      </w:tblPr>
      <w:tblGrid>
        <w:gridCol w:w="8460"/>
      </w:tblGrid>
      <w:tr w:rsidTr="00504FF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REQUIRED SKILLS AND KNOWLEDGE</w:t>
            </w:r>
          </w:p>
        </w:tc>
      </w:tr>
      <w:tr w:rsidTr="00504FF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rPr>
                <w:rStyle w:val="SpecialBold"/>
              </w:rPr>
              <w:t>8)</w:t>
            </w:r>
            <w:r w:rsidRPr="00F7684A">
              <w:t xml:space="preserve"> Essent</w:t>
            </w:r>
            <w:r w:rsidRPr="00F7684A">
              <w:t>ial Knowledge and Associated Skills (EKAS): This describes the essential skills and knowledge and their level, required for this unit.</w:t>
            </w:r>
          </w:p>
          <w:p w:rsidR="00000000" w:rsidRPr="00F7684A" w:rsidP="00F7684A">
            <w:pPr>
              <w:pStyle w:val="BodyText"/>
            </w:pPr>
            <w:r w:rsidRPr="00F7684A">
              <w:t>Evidence shall show that knowledge has been acquired of implementing and monitoring the organisational OHS policies, proc</w:t>
            </w:r>
            <w:r w:rsidRPr="00F7684A">
              <w:t>edures and programs.</w:t>
            </w:r>
          </w:p>
          <w:p w:rsidR="00000000" w:rsidRPr="00F7684A" w:rsidP="00F7684A">
            <w:pPr>
              <w:pStyle w:val="BodyText"/>
            </w:pPr>
            <w:r w:rsidRPr="00F7684A">
              <w:t>All knowledge and skills detailed in this unit should be contextualised to current industry practices and technologies.</w:t>
            </w:r>
          </w:p>
          <w:p w:rsidR="00000000" w:rsidRPr="00F7684A" w:rsidP="00F7684A">
            <w:pPr>
              <w:pStyle w:val="BodyText"/>
            </w:pPr>
            <w:r w:rsidRPr="00F7684A">
              <w:t xml:space="preserve">KS01-TIS62A </w:t>
            </w:r>
            <w:r w:rsidRPr="00F7684A">
              <w:tab/>
              <w:t>OHS policies, procedures and programs - implementation and monitoring</w:t>
            </w:r>
          </w:p>
          <w:p w:rsidR="00000000" w:rsidRPr="00F7684A" w:rsidP="00F7684A">
            <w:pPr>
              <w:pStyle w:val="BodyText"/>
            </w:pPr>
            <w:r w:rsidRPr="00F7684A">
              <w:t>Evidence shall show an understanding of the implementation and monitoring of power system organisational OHS policies, procedures and programs to an extent indicated by the following aspects:</w:t>
            </w:r>
          </w:p>
          <w:p w:rsidR="00000000" w:rsidRPr="00F7684A" w:rsidP="00F7684A">
            <w:pPr>
              <w:pStyle w:val="BodyText"/>
            </w:pPr>
            <w:r w:rsidRPr="00F7684A">
              <w:t>T1</w:t>
            </w:r>
            <w:r w:rsidRPr="00F7684A">
              <w:tab/>
              <w:t>Safe working practices and procedures for the installation of</w:t>
            </w:r>
            <w:r w:rsidRPr="00F7684A">
              <w:t xml:space="preserve"> overhead distribution conductors encompassing:</w:t>
            </w:r>
          </w:p>
          <w:p w:rsidR="00000000" w:rsidRPr="00F7684A" w:rsidP="00F7684A">
            <w:pPr>
              <w:pStyle w:val="ListBullet"/>
            </w:pPr>
            <w:r w:rsidRPr="00F7684A">
              <w:t>Limits of approach for personnel, vehicles, mobile plant and elevating work platforms (EWP)</w:t>
            </w:r>
          </w:p>
          <w:p w:rsidR="00000000" w:rsidRPr="00F7684A" w:rsidP="00F7684A">
            <w:pPr>
              <w:pStyle w:val="ListBullet"/>
            </w:pPr>
            <w:r w:rsidRPr="00F7684A">
              <w:t>Requirements of persons prior to making bare hand contact with dead low voltage mains and apparatus</w:t>
            </w:r>
          </w:p>
          <w:p w:rsidR="00000000" w:rsidRPr="00F7684A" w:rsidP="00F7684A">
            <w:pPr>
              <w:pStyle w:val="ListBullet"/>
            </w:pPr>
            <w:r w:rsidRPr="00F7684A">
              <w:t xml:space="preserve">Requirements of </w:t>
            </w:r>
            <w:r w:rsidRPr="00F7684A">
              <w:t>relevant electrical access permits necessary to allow work to be performed on low and high voltage apparatus</w:t>
            </w:r>
          </w:p>
          <w:p w:rsidR="00000000" w:rsidRPr="00F7684A" w:rsidP="00F7684A">
            <w:pPr>
              <w:pStyle w:val="ListBullet"/>
            </w:pPr>
            <w:r w:rsidRPr="00F7684A">
              <w:t xml:space="preserve">Safe working practices - requirements to enable safe working on conductive poles, procedure to attach an “on-site” earthing device to de-energised </w:t>
            </w:r>
            <w:r w:rsidRPr="00F7684A">
              <w:t>low and high voltage overhead circuit.</w:t>
            </w:r>
          </w:p>
          <w:p w:rsidR="00000000" w:rsidRPr="00F7684A" w:rsidP="00F7684A">
            <w:pPr>
              <w:pStyle w:val="BodyText"/>
            </w:pPr>
            <w:r w:rsidRPr="00F7684A">
              <w:t>T2</w:t>
            </w:r>
            <w:r w:rsidRPr="00F7684A">
              <w:tab/>
              <w:t>Powerline safety practices encompassing:</w:t>
            </w:r>
          </w:p>
          <w:p w:rsidR="00000000" w:rsidRPr="00F7684A" w:rsidP="00F7684A">
            <w:pPr>
              <w:pStyle w:val="ListBullet"/>
            </w:pPr>
            <w:r w:rsidRPr="00F7684A">
              <w:t>Protective apparatus and apparel for linework - responsibilities for the selection, use, maintenance and storage of protective apparatus and apparel and the types of protect</w:t>
            </w:r>
            <w:r w:rsidRPr="00F7684A">
              <w:t>ive apparatus and apparel used for the line worker</w:t>
            </w:r>
          </w:p>
          <w:p w:rsidR="00000000" w:rsidRPr="00F7684A" w:rsidP="00F7684A">
            <w:pPr>
              <w:pStyle w:val="ListBullet"/>
            </w:pPr>
            <w:r w:rsidRPr="00F7684A">
              <w:t>Requirements for the use of ladders - carrying, erecting, collapsing and lowering different types of extension ladder against a standing pole, maintenance checks on different types of ladders, renewal of e</w:t>
            </w:r>
            <w:r w:rsidRPr="00F7684A">
              <w:t>xtension ropes and the safety issues relating to clearances from overhead conductors</w:t>
            </w:r>
          </w:p>
          <w:p w:rsidR="00000000" w:rsidRPr="00F7684A" w:rsidP="00F7684A">
            <w:pPr>
              <w:pStyle w:val="ListBullet"/>
            </w:pPr>
            <w:r w:rsidRPr="00F7684A">
              <w:t>Requirements for climbing and working aloft - methods used to identify a pole is safe to climb, methods used to inspect a line worker’s body belt, application of knots and</w:t>
            </w:r>
            <w:r w:rsidRPr="00F7684A">
              <w:t xml:space="preserve"> hitches appropriate to the requirements of a line worker, height safety principles including personal fall protection, prevention and related requirements, and the practical procedure of climbing an overhead structure and fitting a pole chair</w:t>
            </w:r>
          </w:p>
          <w:p w:rsidR="00000000" w:rsidRPr="00F7684A" w:rsidP="00F7684A">
            <w:pPr>
              <w:pStyle w:val="ListBullet"/>
            </w:pPr>
            <w:r w:rsidRPr="00F7684A">
              <w:t>Traffic mana</w:t>
            </w:r>
            <w:r w:rsidRPr="00F7684A">
              <w:t>gement - purpose of traffic management and a line worker’s responsibilities in accordance with relevant statutory requirements and electricity supply industry requirements, demonstration of the procedure used to provide an effective traffic management sche</w:t>
            </w:r>
            <w:r w:rsidRPr="00F7684A">
              <w:t>me and the use of a two-way radio</w:t>
            </w:r>
          </w:p>
          <w:p w:rsidR="00000000" w:rsidRPr="00F7684A" w:rsidP="00F7684A">
            <w:pPr>
              <w:pStyle w:val="ListBullet"/>
            </w:pPr>
            <w:r w:rsidRPr="00F7684A">
              <w:t>Control of small fires - identification, selection and operation of the appropriate extinguishing mediums for various types of fires, general fire prevention methods and the precautions for personal protection when fightin</w:t>
            </w:r>
            <w:r w:rsidRPr="00F7684A">
              <w:t>g small fires</w:t>
            </w:r>
          </w:p>
          <w:p w:rsidR="00000000" w:rsidRPr="00F7684A" w:rsidP="00F7684A">
            <w:pPr>
              <w:pStyle w:val="ListBullet"/>
            </w:pPr>
            <w:r w:rsidRPr="00F7684A">
              <w:t>Rescue victims from heights and confined spaces - planning, identifying, the procedures, and establishing responses, developing techniques, involvement of external emergency services and practical demonstration/rehearsals of rescuing a person</w:t>
            </w:r>
            <w:r w:rsidRPr="00F7684A">
              <w:t xml:space="preserve"> from heights and from confined spaces and emergency procedures for the rescue of an electric shock victim including CPR</w:t>
            </w:r>
          </w:p>
          <w:p w:rsidR="00000000" w:rsidRPr="00F7684A" w:rsidP="00F7684A">
            <w:pPr>
              <w:pStyle w:val="ListBullet"/>
            </w:pPr>
            <w:r w:rsidRPr="00F7684A">
              <w:t>Requirements for aerial linework - planning, establishing and implementing relevant aviation authority clearances, determining system r</w:t>
            </w:r>
            <w:r w:rsidRPr="00F7684A">
              <w:t>equirements, aircrew familiarisation with network operations and equipment, requirements for effective communications operations for aerial work.</w:t>
            </w:r>
          </w:p>
          <w:p w:rsidR="00000000" w:rsidRPr="00F7684A" w:rsidP="00F7684A">
            <w:pPr>
              <w:pStyle w:val="BodyText"/>
            </w:pPr>
            <w:r w:rsidRPr="00F7684A">
              <w:t>T3</w:t>
            </w:r>
            <w:r w:rsidRPr="00F7684A">
              <w:tab/>
              <w:t>Implementation and monitoring requirements for powerline safety encompassing:</w:t>
            </w:r>
          </w:p>
          <w:p w:rsidR="00000000" w:rsidRPr="00F7684A" w:rsidP="00F7684A">
            <w:pPr>
              <w:pStyle w:val="ListBullet"/>
            </w:pPr>
            <w:r w:rsidRPr="00F7684A">
              <w:t>Identification of relevant le</w:t>
            </w:r>
            <w:r w:rsidRPr="00F7684A">
              <w:t>gislation, codes and government guidelines for the implementation and monitoring of OHS in the workplace - Commonwealth/State/Territory legislation relevant to the workplace and the meaning of general duty of care under OHS legislation and common law.</w:t>
            </w:r>
          </w:p>
          <w:p w:rsidR="00000000" w:rsidRPr="00F7684A" w:rsidP="00F7684A">
            <w:pPr>
              <w:pStyle w:val="ListBullet"/>
            </w:pPr>
            <w:r w:rsidRPr="00F7684A">
              <w:t>Work</w:t>
            </w:r>
            <w:r w:rsidRPr="00F7684A">
              <w:t>place OHS enterprise plan - responsibilities of each member of the work team, review process for changing/improving OHS safety plan/standing instructions for the systematic management of OHS in the workplace.</w:t>
            </w:r>
          </w:p>
          <w:p w:rsidR="00000000" w:rsidRPr="00F7684A" w:rsidP="00F7684A">
            <w:pPr>
              <w:pStyle w:val="ListBullet"/>
            </w:pPr>
            <w:r w:rsidRPr="00F7684A">
              <w:t>Relationship between the OHS committee and empl</w:t>
            </w:r>
            <w:r w:rsidRPr="00F7684A">
              <w:t>oyees - methods used to collate and distribute/disseminate OHS information, staff development activities and legislation requirements with regards to OHS training, methods of addressing barriers such as literacy and cultural differences and provisions rela</w:t>
            </w:r>
            <w:r w:rsidRPr="00F7684A">
              <w:t>ting to OHS issue resolution</w:t>
            </w:r>
          </w:p>
          <w:p w:rsidR="00000000" w:rsidRPr="00F7684A" w:rsidP="00F7684A">
            <w:pPr>
              <w:pStyle w:val="ListBullet"/>
            </w:pPr>
            <w:r w:rsidRPr="00F7684A">
              <w:t>Hazards associated with Powerline industry - identification of hazards in the workplace, processes used and contributing factors to a hazardous situation assessment of risks and control of OHS risks (risk management), the hiera</w:t>
            </w:r>
            <w:r w:rsidRPr="00F7684A">
              <w:t>rchy of control and monitoring of risk control measures</w:t>
            </w:r>
          </w:p>
          <w:p w:rsidR="00000000" w:rsidRPr="00F7684A" w:rsidP="00F7684A">
            <w:pPr>
              <w:pStyle w:val="ListBullet"/>
            </w:pPr>
            <w:r w:rsidRPr="00F7684A">
              <w:t xml:space="preserve">Risk assessment and its management in Powerline industry - principles and purposes of risk management, processes for conducting risk assessment including, risk analysis and risk evaluation activities </w:t>
            </w:r>
            <w:r w:rsidRPr="00F7684A">
              <w:t>for selecting and implementing appropriate options for eliminating or minimising risk</w:t>
            </w:r>
          </w:p>
          <w:p w:rsidR="00000000" w:rsidRPr="00F7684A" w:rsidP="00F7684A">
            <w:pPr>
              <w:pStyle w:val="ListBullet"/>
            </w:pPr>
            <w:r w:rsidRPr="00F7684A">
              <w:t>Maintenance strategies for OHS programs - developing processes for promoting, maintaining and improving OHS in the workplace and identify techniques for the evaluating an</w:t>
            </w:r>
            <w:r w:rsidRPr="00F7684A">
              <w:t>d reviewing OHS education and training programs and elements of an effective OHS management system, OHS consultation and accident/incident investigations</w:t>
            </w:r>
          </w:p>
          <w:p w:rsidR="00000000" w:rsidRPr="00F7684A" w:rsidP="00F7684A">
            <w:pPr>
              <w:pStyle w:val="BodyText"/>
            </w:pPr>
            <w:r w:rsidRPr="00F7684A">
              <w:t>T4</w:t>
            </w:r>
            <w:r w:rsidRPr="00F7684A">
              <w:tab/>
              <w:t>Enterprise specific — policy and procedure instructions encompassing:</w:t>
            </w:r>
          </w:p>
          <w:p w:rsidR="00000000" w:rsidRPr="00F7684A" w:rsidP="00F7684A">
            <w:pPr>
              <w:pStyle w:val="ListBullet"/>
            </w:pPr>
            <w:r w:rsidRPr="00F7684A">
              <w:t xml:space="preserve">Responsibilities and duty of </w:t>
            </w:r>
            <w:r w:rsidRPr="00F7684A">
              <w:t>care of employer and employee relationship</w:t>
            </w:r>
          </w:p>
          <w:p w:rsidR="00000000" w:rsidRPr="00F7684A" w:rsidP="00F7684A">
            <w:pPr>
              <w:pStyle w:val="ListBullet"/>
            </w:pPr>
            <w:r w:rsidRPr="00F7684A">
              <w:t>Methods of obtaining the up-to-date information on enterprise policy and procedures</w:t>
            </w:r>
          </w:p>
          <w:p w:rsidR="00000000" w:rsidRPr="00F7684A" w:rsidP="00F7684A">
            <w:pPr>
              <w:pStyle w:val="ListBullet"/>
            </w:pPr>
            <w:r w:rsidRPr="00F7684A">
              <w:t>Rules and regulations, Induction into workplace - location of work area and storage area, timeta</w:t>
            </w:r>
            <w:r w:rsidRPr="00F7684A">
              <w:t>ble, uniform, personal well-being, housekeeping rules, emergency procedures, evacuation procedures</w:t>
            </w:r>
          </w:p>
          <w:p w:rsidR="00000000" w:rsidRPr="00F7684A" w:rsidP="00F7684A">
            <w:pPr>
              <w:pStyle w:val="ListBullet"/>
            </w:pPr>
            <w:r w:rsidRPr="00F7684A">
              <w:t>Techniques when deal with others - working in teams, customer relation, complaint and issues procedures.</w:t>
            </w:r>
          </w:p>
          <w:p w:rsidR="00000000" w:rsidRPr="00F7684A" w:rsidP="00F7684A">
            <w:pPr>
              <w:pStyle w:val="ListBullet"/>
            </w:pPr>
            <w:r w:rsidRPr="00F7684A">
              <w:t>Overview of enterprise professional development - fi</w:t>
            </w:r>
            <w:r w:rsidRPr="00F7684A">
              <w:t>re fighting procedures, fatigue management, training and competency development - understanding and promotion</w:t>
            </w:r>
          </w:p>
          <w:p w:rsidR="00000000" w:rsidRPr="00F7684A" w:rsidP="00F7684A">
            <w:pPr>
              <w:pStyle w:val="BodyText"/>
            </w:pPr>
            <w:r w:rsidRPr="00F7684A">
              <w:t>T5</w:t>
            </w:r>
            <w:r w:rsidRPr="00F7684A">
              <w:tab/>
              <w:t>Enterprises specific — OHS instructions encompassing:</w:t>
            </w:r>
          </w:p>
          <w:p w:rsidR="00000000" w:rsidRPr="00F7684A" w:rsidP="00F7684A">
            <w:pPr>
              <w:pStyle w:val="ListBullet"/>
            </w:pPr>
            <w:r w:rsidRPr="00F7684A">
              <w:t>Standards, codes, legislation, supply authority regulations and specific enterprise regul</w:t>
            </w:r>
            <w:r w:rsidRPr="00F7684A">
              <w:t>ations pertaining to the OHS policies and procedures</w:t>
            </w:r>
          </w:p>
          <w:p w:rsidR="00000000" w:rsidRPr="00F7684A" w:rsidP="00F7684A">
            <w:pPr>
              <w:pStyle w:val="ListBullet"/>
            </w:pPr>
            <w:r w:rsidRPr="00F7684A">
              <w:t>Methods of obtaining the up-to-date information on enterprise OHS policy and procedures</w:t>
            </w:r>
          </w:p>
          <w:p w:rsidR="00000000" w:rsidRPr="00F7684A" w:rsidP="00F7684A">
            <w:pPr>
              <w:pStyle w:val="ListBullet"/>
            </w:pPr>
            <w:r w:rsidRPr="00F7684A">
              <w:t>Specific enterprise personal protection equipment - type and application, where and when to be used, method of repl</w:t>
            </w:r>
            <w:r w:rsidRPr="00F7684A">
              <w:t>acement, responsibility of maintenance including cleaning inspection and testing, emergency response, rescue, evacuation and First Aid procedures</w:t>
            </w:r>
          </w:p>
          <w:p w:rsidR="00000000" w:rsidRPr="00F7684A" w:rsidP="00F7684A">
            <w:pPr>
              <w:pStyle w:val="ListBullet"/>
            </w:pPr>
            <w:r w:rsidRPr="00F7684A">
              <w:t>Personal well-being – hygiene, fatigue/stress management, drugs/alcohol</w:t>
            </w:r>
          </w:p>
          <w:p w:rsidR="00000000" w:rsidRPr="00F7684A" w:rsidP="00F7684A">
            <w:pPr>
              <w:pStyle w:val="ListBullet"/>
            </w:pPr>
            <w:r w:rsidRPr="00F7684A">
              <w:t>OHS training - induction training, spe</w:t>
            </w:r>
            <w:r w:rsidRPr="00F7684A">
              <w:t>cific hazard training, specific task or equipment training, emergency and evacuation training, training as part of broader programs such as equipment operation</w:t>
            </w:r>
          </w:p>
          <w:p w:rsidR="00000000" w:rsidRPr="00F7684A" w:rsidP="00F7684A">
            <w:pPr>
              <w:pStyle w:val="ListBullet"/>
            </w:pPr>
            <w:r w:rsidRPr="00F7684A">
              <w:t xml:space="preserve">OHS records including audits, inspection reports, workplace health and environmental monitoring </w:t>
            </w:r>
            <w:r w:rsidRPr="00F7684A">
              <w:t>records, training and instruction records, manufacturers and suppliers information such as MSDSs, registers, maintenance reports, workers compensation and rehabilitation records and First Aid/medical records</w:t>
            </w:r>
          </w:p>
          <w:p w:rsidR="00000000" w:rsidRPr="00F7684A" w:rsidP="00F7684A">
            <w:pPr>
              <w:pStyle w:val="BodyText"/>
            </w:pPr>
            <w:r w:rsidRPr="00F7684A">
              <w:t>T6</w:t>
            </w:r>
            <w:r w:rsidRPr="00F7684A">
              <w:tab/>
              <w:t xml:space="preserve">Enterprises specific — technical drawing and </w:t>
            </w:r>
            <w:r w:rsidRPr="00F7684A">
              <w:t>documents encompassing:</w:t>
            </w:r>
          </w:p>
          <w:p w:rsidR="00000000" w:rsidRPr="00F7684A" w:rsidP="00F7684A">
            <w:pPr>
              <w:pStyle w:val="ListBullet"/>
            </w:pPr>
            <w:r w:rsidRPr="00F7684A">
              <w:t>Types and application of enterprise specific drawings and documents - electrical and electronic drawings, mechanical drawings, project charts, schedules, graphs, technical manuals and catalogues</w:t>
            </w:r>
          </w:p>
          <w:p w:rsidR="00000000" w:rsidRPr="00F7684A" w:rsidP="00F7684A">
            <w:pPr>
              <w:pStyle w:val="ListBullet"/>
            </w:pPr>
            <w:r w:rsidRPr="00F7684A">
              <w:t>Instruction/worksheets sheets - types</w:t>
            </w:r>
            <w:r w:rsidRPr="00F7684A">
              <w:t xml:space="preserve"> and application of enterprise specific symbols and diagrams</w:t>
            </w:r>
          </w:p>
          <w:p w:rsidR="00000000" w:rsidRPr="00F7684A" w:rsidP="00F7684A">
            <w:pPr>
              <w:pStyle w:val="ListBullet"/>
            </w:pPr>
            <w:r w:rsidRPr="00F7684A">
              <w:t>Title box - description of parts and version control</w:t>
            </w:r>
          </w:p>
        </w:tc>
      </w:tr>
    </w:tbl>
    <w:p w:rsidR="00000000" w:rsidRPr="00F7684A" w:rsidP="00F7684A">
      <w:pPr>
        <w:pStyle w:val="BodyText"/>
      </w:pPr>
    </w:p>
    <w:p w:rsidR="00000000" w:rsidRPr="00F7684A" w:rsidP="00F7684A">
      <w:pPr>
        <w:pStyle w:val="AllowPageBreak"/>
      </w:pPr>
    </w:p>
    <w:p w:rsidR="00000000" w:rsidRPr="00F7684A" w:rsidP="00F7684A">
      <w:pPr>
        <w:pStyle w:val="Heading1"/>
      </w:pPr>
      <w:bookmarkStart w:id="10" w:name="O_462801"/>
      <w:bookmarkEnd w:id="10"/>
      <w:r w:rsidRPr="00F7684A">
        <w:t>Evidence Guide</w:t>
      </w:r>
    </w:p>
    <w:tbl>
      <w:tblPr>
        <w:tblW w:w="0" w:type="auto"/>
        <w:tblLayout w:type="fixed"/>
        <w:tblCellMar>
          <w:left w:w="62" w:type="dxa"/>
          <w:right w:w="62" w:type="dxa"/>
        </w:tblCellMar>
        <w:tblLook w:val="0000"/>
      </w:tblPr>
      <w:tblGrid>
        <w:gridCol w:w="8460"/>
      </w:tblGrid>
      <w:tr w:rsidTr="00504FF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EVIDENCE GUIDE</w:t>
            </w:r>
          </w:p>
        </w:tc>
      </w:tr>
      <w:tr w:rsidTr="00504FF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rPr>
                <w:rStyle w:val="SpecialBold"/>
              </w:rPr>
              <w:t>9)</w:t>
            </w:r>
            <w:r w:rsidRPr="00F7684A">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F7684A" w:rsidP="00F7684A">
            <w:pPr>
              <w:pStyle w:val="BodyText"/>
            </w:pPr>
            <w:r w:rsidRPr="00F7684A">
              <w:t>The Evidence Guide form</w:t>
            </w:r>
            <w:r w:rsidRPr="00F7684A">
              <w:t>s an integral part of this Competency Standard Unit and shall be used in conjunction with all component parts of this unit and, performed in accordance with the Assessment Guidelines of this Training Package.</w:t>
            </w:r>
          </w:p>
        </w:tc>
      </w:tr>
    </w:tbl>
    <w:p w:rsidR="00000000" w:rsidRPr="00F7684A" w:rsidP="00F7684A">
      <w:pPr>
        <w:pStyle w:val="BodyText"/>
      </w:pPr>
    </w:p>
    <w:tbl>
      <w:tblPr>
        <w:tblW w:w="0" w:type="auto"/>
        <w:tblLayout w:type="fixed"/>
        <w:tblCellMar>
          <w:left w:w="62" w:type="dxa"/>
          <w:right w:w="62" w:type="dxa"/>
        </w:tblCellMar>
        <w:tblLook w:val="0000"/>
      </w:tblPr>
      <w:tblGrid>
        <w:gridCol w:w="1890"/>
        <w:gridCol w:w="6570"/>
      </w:tblGrid>
      <w:tr w:rsidTr="00504F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9.1)</w:t>
            </w:r>
          </w:p>
        </w:tc>
      </w:tr>
      <w:tr w:rsidTr="00504F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t>Longitudinal competency development approaches to assessment, such as Profiling, require data to be reliably gathered in a form that can be consistently interpreted over time. This approach is best utilised in Apprenticeship programs and reduces assessment</w:t>
            </w:r>
            <w:r w:rsidRPr="00F7684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7684A">
              <w:t>tency in a realistically simulated work environment. It is recognised that, in some circumstances, assessment in part or full can occur outside the workplace. However, it must be in accord with Industry and, Regulatory policy in this regard.</w:t>
            </w:r>
          </w:p>
          <w:p w:rsidR="00000000" w:rsidRPr="00F7684A" w:rsidP="00F7684A">
            <w:pPr>
              <w:pStyle w:val="BodyText"/>
            </w:pPr>
            <w:r w:rsidRPr="00F7684A">
              <w:t>Methods chosen</w:t>
            </w:r>
            <w:r w:rsidRPr="00F7684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F7684A">
              <w:t>equired and the critical nature of the competencies being assessed.</w:t>
            </w:r>
          </w:p>
          <w:p w:rsidR="00000000" w:rsidRPr="00F7684A" w:rsidP="00F7684A">
            <w:pPr>
              <w:pStyle w:val="BodyText"/>
            </w:pPr>
            <w:r w:rsidRPr="00F7684A">
              <w:t>The critical safety nature of working with electricity, electrical equipment, gas or any other hazardous substance/material carries risk in deeming a person competent. Hence, sources of ev</w:t>
            </w:r>
            <w:r w:rsidRPr="00F7684A">
              <w:t>idence need to be ‘rich’ in nature so as to minimise error in judgment.</w:t>
            </w:r>
          </w:p>
          <w:p w:rsidR="00000000" w:rsidRPr="00F7684A" w:rsidP="00F7684A">
            <w:pPr>
              <w:pStyle w:val="BodyText"/>
            </w:pPr>
            <w:r w:rsidRPr="00F7684A">
              <w:t>Activities associated with normal every day work have a bearing on the decision as to how much and how detailed the data gathered will contribute to its ‘richness’. Some skills are mor</w:t>
            </w:r>
            <w:r w:rsidRPr="00F7684A">
              <w:t>e critical to safety and operational requirements while the same skills may be more or less frequently practiced. These points are raised for the assessors to consider when choosing an assessment method and developing assessment instruments. Sample assessm</w:t>
            </w:r>
            <w:r w:rsidRPr="00F7684A">
              <w:t>ent instruments are included for Assessors in the Assessment Guidelines of this Training Package.</w:t>
            </w:r>
          </w:p>
        </w:tc>
      </w:tr>
    </w:tbl>
    <w:p w:rsidR="00000000" w:rsidRPr="00F7684A" w:rsidP="00F7684A">
      <w:pPr>
        <w:pStyle w:val="BodyText"/>
      </w:pPr>
    </w:p>
    <w:tbl>
      <w:tblPr>
        <w:tblW w:w="0" w:type="auto"/>
        <w:tblLayout w:type="fixed"/>
        <w:tblCellMar>
          <w:left w:w="62" w:type="dxa"/>
          <w:right w:w="62" w:type="dxa"/>
        </w:tblCellMar>
        <w:tblLook w:val="0000"/>
      </w:tblPr>
      <w:tblGrid>
        <w:gridCol w:w="1890"/>
        <w:gridCol w:w="720"/>
        <w:gridCol w:w="1278"/>
        <w:gridCol w:w="2142"/>
        <w:gridCol w:w="2430"/>
      </w:tblGrid>
      <w:tr w:rsidTr="00504F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9.2)</w:t>
            </w:r>
          </w:p>
        </w:tc>
      </w:tr>
      <w:tr w:rsidTr="00504F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t>Before the critical aspects of evidence are considered all prerequisi</w:t>
            </w:r>
            <w:r w:rsidRPr="00F7684A">
              <w:t>tes shall be met.</w:t>
            </w:r>
          </w:p>
          <w:p w:rsidR="00000000" w:rsidRPr="00F7684A" w:rsidP="00F7684A">
            <w:pPr>
              <w:pStyle w:val="BodyText"/>
            </w:pPr>
            <w:r w:rsidRPr="00F7684A">
              <w:t>Evidence for competence in this unit shall be considered holistically. Each element and associated Performance Criteria shall be demonstrated on at least two occasions in accordance with the “Assessment Guidelines – UET12”. Evidence shall</w:t>
            </w:r>
            <w:r w:rsidRPr="00F7684A">
              <w:t xml:space="preserve"> also comprise:</w:t>
            </w:r>
          </w:p>
          <w:p w:rsidR="00000000" w:rsidRPr="00F7684A" w:rsidP="00F7684A">
            <w:pPr>
              <w:pStyle w:val="ListBullet"/>
            </w:pPr>
            <w:r w:rsidRPr="00F7684A">
              <w:t xml:space="preserve">A representative body of Performance Criteria demonstrated within the timeframes typically expected of the discipline, work </w:t>
            </w:r>
            <w:r w:rsidRPr="00F7684A">
              <w:t>function and industrial environment. In particular this shall incorporate evidence that shows a candidate is able to:</w:t>
            </w:r>
          </w:p>
          <w:p w:rsidR="00000000" w:rsidRPr="00F7684A" w:rsidP="00F7684A">
            <w:pPr>
              <w:pStyle w:val="ListBullet2"/>
            </w:pPr>
            <w:r w:rsidRPr="00F7684A">
              <w:t>Implement Occupational Health and Safety workplace procedures and practices including the use of risk control measures as specified in th</w:t>
            </w:r>
            <w:r w:rsidRPr="00F7684A">
              <w:t>e Performance Criteria and range; and</w:t>
            </w:r>
          </w:p>
          <w:p w:rsidR="00000000" w:rsidRPr="00F7684A" w:rsidP="00F7684A">
            <w:pPr>
              <w:pStyle w:val="ListBullet2"/>
            </w:pPr>
            <w:r w:rsidRPr="00F7684A">
              <w:t>Apply sustainable energy principles and practices as specified in the Performance Criteria and range; and</w:t>
            </w:r>
          </w:p>
          <w:p w:rsidR="00000000" w:rsidRPr="00F7684A" w:rsidP="00F7684A">
            <w:pPr>
              <w:pStyle w:val="ListBullet2"/>
            </w:pPr>
            <w:r w:rsidRPr="00F7684A">
              <w:t xml:space="preserve">Demonstrate an understanding of the essential knowledge and associated skills as described in this unit to such </w:t>
            </w:r>
            <w:r w:rsidRPr="00F7684A">
              <w:t>an extent that the learner’s performance outcome is reported in accordance with the preferred approach; namely a percentile graded result, where required by the regulated environment; and</w:t>
            </w:r>
          </w:p>
          <w:p w:rsidR="00000000" w:rsidRPr="00F7684A" w:rsidP="00F7684A">
            <w:pPr>
              <w:pStyle w:val="ListBullet2"/>
            </w:pPr>
            <w:r w:rsidRPr="00F7684A">
              <w:t>Demonstrate an appropriate level of employability skills; and</w:t>
            </w:r>
          </w:p>
          <w:p w:rsidR="00000000" w:rsidRPr="00F7684A" w:rsidP="00F7684A">
            <w:pPr>
              <w:pStyle w:val="ListBullet"/>
            </w:pPr>
            <w:r w:rsidRPr="00F7684A">
              <w:t>Conduc</w:t>
            </w:r>
            <w:r w:rsidRPr="00F7684A">
              <w:t>t work observing the relevant Anti Discrimination legislation, regulations, policies and workplace procedures; and</w:t>
            </w:r>
          </w:p>
          <w:p w:rsidR="00000000" w:rsidP="00F7684A">
            <w:pPr>
              <w:pStyle w:val="ListBullet2"/>
              <w:rPr>
                <w:lang w:val="en-NZ"/>
              </w:rPr>
            </w:pPr>
            <w:r w:rsidRPr="00F7684A">
              <w:t>Demonstrated performance across a representative range of contexts from the prescribed items below:</w:t>
            </w:r>
          </w:p>
        </w:tc>
      </w:tr>
      <w:tr w:rsidTr="00504F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7684A">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84A">
            <w:pPr>
              <w:pStyle w:val="BodyText"/>
              <w:rPr>
                <w:lang w:val="en-NZ"/>
              </w:rPr>
            </w:pPr>
            <w:r w:rsidRPr="00F7684A">
              <w:rPr>
                <w:rStyle w:val="SpecialBold"/>
              </w:rPr>
              <w:t>Range of tools/equipment/materials/procedures/workplaces/other variables</w:t>
            </w:r>
          </w:p>
        </w:tc>
      </w:tr>
      <w:tr w:rsidTr="00504F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7684A">
            <w:pPr>
              <w:pStyle w:val="BodyText"/>
              <w:keepNext w:val="0"/>
              <w:keepLines w:val="0"/>
              <w:contextualSpacing w:val="0"/>
            </w:pPr>
          </w:p>
        </w:tc>
        <w:tc>
          <w:tcPr>
            <w:tcW w:w="1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84A" w:rsidP="00F7684A">
            <w:pPr>
              <w:pStyle w:val="BodyText"/>
            </w:pPr>
            <w:r w:rsidRPr="00F7684A">
              <w:rPr>
                <w:rStyle w:val="SpecialBold"/>
              </w:rPr>
              <w:t>Group No</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84A" w:rsidP="00F7684A">
            <w:pPr>
              <w:pStyle w:val="BodyText"/>
            </w:pPr>
            <w:r w:rsidRPr="00F7684A">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84A">
            <w:pPr>
              <w:pStyle w:val="BodyText"/>
              <w:rPr>
                <w:lang w:val="en-NZ"/>
              </w:rPr>
            </w:pPr>
            <w:r w:rsidRPr="00F7684A">
              <w:rPr>
                <w:rStyle w:val="SpecialBold"/>
              </w:rPr>
              <w:t>Item List</w:t>
            </w:r>
          </w:p>
        </w:tc>
      </w:tr>
      <w:tr w:rsidTr="00504F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84A">
            <w:pPr>
              <w:pStyle w:val="BodyText"/>
              <w:rPr>
                <w:lang w:val="en-NZ"/>
              </w:rPr>
            </w:pPr>
            <w:r w:rsidRPr="00F7684A">
              <w:t>A</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84A">
            <w:pPr>
              <w:pStyle w:val="BodyText"/>
              <w:rPr>
                <w:lang w:val="en-NZ"/>
              </w:rPr>
            </w:pPr>
            <w:r w:rsidRPr="00F7684A">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84A" w:rsidP="00F7684A">
            <w:pPr>
              <w:pStyle w:val="BodyText"/>
            </w:pPr>
            <w:r w:rsidRPr="00F7684A">
              <w:t>Relevant OHS Acts</w:t>
            </w:r>
          </w:p>
          <w:p w:rsidR="00000000" w:rsidRPr="00F7684A" w:rsidP="00F7684A">
            <w:pPr>
              <w:pStyle w:val="BodyText"/>
            </w:pPr>
            <w:r w:rsidRPr="00F7684A">
              <w:t xml:space="preserve">Regulations </w:t>
            </w:r>
          </w:p>
          <w:p w:rsidR="00000000" w:rsidP="00F7684A">
            <w:pPr>
              <w:pStyle w:val="BodyText"/>
              <w:rPr>
                <w:lang w:val="en-NZ"/>
              </w:rPr>
            </w:pPr>
            <w:r w:rsidRPr="00F7684A">
              <w:t>Codes of practice</w:t>
            </w:r>
          </w:p>
        </w:tc>
      </w:tr>
      <w:tr w:rsidTr="00504F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84A">
            <w:pPr>
              <w:pStyle w:val="BodyText"/>
              <w:rPr>
                <w:lang w:val="en-NZ"/>
              </w:rPr>
            </w:pPr>
            <w:r w:rsidRPr="00F7684A">
              <w:t>B</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84A">
            <w:pPr>
              <w:pStyle w:val="BodyText"/>
              <w:rPr>
                <w:lang w:val="en-NZ"/>
              </w:rPr>
            </w:pPr>
            <w:r w:rsidRPr="00F7684A">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84A" w:rsidP="00F7684A">
            <w:pPr>
              <w:pStyle w:val="BodyText"/>
            </w:pPr>
            <w:r w:rsidRPr="00F7684A">
              <w:t>Application of organisation management systems and procedures to OHS</w:t>
            </w:r>
          </w:p>
          <w:p w:rsidR="00000000" w:rsidP="00F7684A">
            <w:pPr>
              <w:pStyle w:val="BodyText"/>
              <w:rPr>
                <w:lang w:val="en-NZ"/>
              </w:rPr>
            </w:pPr>
            <w:r w:rsidRPr="00F7684A">
              <w:t>Organisation’s procedure for maintaining OHS records</w:t>
            </w:r>
          </w:p>
        </w:tc>
      </w:tr>
      <w:tr w:rsidTr="00504F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84A">
            <w:pPr>
              <w:pStyle w:val="BodyText"/>
              <w:rPr>
                <w:lang w:val="en-NZ"/>
              </w:rPr>
            </w:pPr>
            <w:r w:rsidRPr="00F7684A">
              <w:t>C</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84A">
            <w:pPr>
              <w:pStyle w:val="BodyText"/>
              <w:rPr>
                <w:lang w:val="en-NZ"/>
              </w:rPr>
            </w:pPr>
            <w:r w:rsidRPr="00F7684A">
              <w:t>All of the following applications of risk management procedures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84A" w:rsidP="00F7684A">
            <w:pPr>
              <w:pStyle w:val="BodyText"/>
            </w:pPr>
            <w:r w:rsidRPr="00F7684A">
              <w:t>Undertake hazard identification</w:t>
            </w:r>
          </w:p>
          <w:p w:rsidR="00000000" w:rsidRPr="00F7684A" w:rsidP="00F7684A">
            <w:pPr>
              <w:pStyle w:val="BodyText"/>
            </w:pPr>
            <w:r w:rsidRPr="00F7684A">
              <w:t>Risk assessment and risk control in accordance with the hierarchy of control</w:t>
            </w:r>
          </w:p>
          <w:p w:rsidR="00000000" w:rsidP="00F7684A">
            <w:pPr>
              <w:pStyle w:val="BodyText"/>
              <w:rPr>
                <w:lang w:val="en-NZ"/>
              </w:rPr>
            </w:pPr>
            <w:r w:rsidRPr="00F7684A">
              <w:t xml:space="preserve">Application of the characteristics of the workforce impacting on </w:t>
            </w:r>
            <w:r w:rsidRPr="00F7684A">
              <w:t>the management of OHS</w:t>
            </w:r>
          </w:p>
        </w:tc>
      </w:tr>
      <w:tr w:rsidTr="00504F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84A">
            <w:pPr>
              <w:pStyle w:val="BodyText"/>
              <w:rPr>
                <w:lang w:val="en-NZ"/>
              </w:rPr>
            </w:pPr>
            <w:r w:rsidRPr="00F7684A">
              <w:t>D</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84A">
            <w:pPr>
              <w:pStyle w:val="BodyText"/>
              <w:rPr>
                <w:lang w:val="en-NZ"/>
              </w:rPr>
            </w:pPr>
            <w:r w:rsidRPr="00F7684A">
              <w:t>All of the following implementation and monitoring procedures.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84A" w:rsidP="00F7684A">
            <w:pPr>
              <w:pStyle w:val="BodyText"/>
            </w:pPr>
            <w:r w:rsidRPr="00F7684A">
              <w:t>Provision of relevant in</w:t>
            </w:r>
            <w:r w:rsidRPr="00F7684A">
              <w:t>formation to the workgroup about OHS and the organisation's OHS policies, procedures and programs.</w:t>
            </w:r>
          </w:p>
          <w:p w:rsidR="00000000" w:rsidRPr="00F7684A" w:rsidP="00F7684A">
            <w:pPr>
              <w:pStyle w:val="BodyText"/>
            </w:pPr>
            <w:r w:rsidRPr="00F7684A">
              <w:t>Participative arrangements for the management of OHS.</w:t>
            </w:r>
          </w:p>
          <w:p w:rsidR="00000000" w:rsidRPr="00F7684A" w:rsidP="00F7684A">
            <w:pPr>
              <w:pStyle w:val="BodyText"/>
            </w:pPr>
            <w:r w:rsidRPr="00F7684A">
              <w:t>Organisation's procedures for identifying hazards and assessing risks.</w:t>
            </w:r>
          </w:p>
          <w:p w:rsidR="00000000" w:rsidRPr="00F7684A" w:rsidP="00F7684A">
            <w:pPr>
              <w:pStyle w:val="BodyText"/>
            </w:pPr>
            <w:r w:rsidRPr="00F7684A">
              <w:t>Organisation's procedures for co</w:t>
            </w:r>
            <w:r w:rsidRPr="00F7684A">
              <w:t>ntrolling risks.</w:t>
            </w:r>
          </w:p>
          <w:p w:rsidR="00000000" w:rsidRPr="00F7684A" w:rsidP="00F7684A">
            <w:pPr>
              <w:pStyle w:val="BodyText"/>
            </w:pPr>
            <w:r w:rsidRPr="00F7684A">
              <w:t>Organisation's procedures for dealing with hazardous events.</w:t>
            </w:r>
          </w:p>
          <w:p w:rsidR="00000000" w:rsidP="00F7684A">
            <w:pPr>
              <w:pStyle w:val="BodyText"/>
              <w:rPr>
                <w:lang w:val="en-NZ"/>
              </w:rPr>
            </w:pPr>
            <w:r w:rsidRPr="00F7684A">
              <w:t>Organisation’s procedure for providing OHS training.</w:t>
            </w:r>
          </w:p>
        </w:tc>
      </w:tr>
      <w:tr w:rsidTr="00504F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84A">
            <w:pPr>
              <w:pStyle w:val="BodyText"/>
              <w:rPr>
                <w:lang w:val="en-NZ"/>
              </w:rPr>
            </w:pPr>
            <w:r w:rsidRPr="00F7684A">
              <w:t>E</w:t>
            </w:r>
          </w:p>
        </w:tc>
        <w:tc>
          <w:tcPr>
            <w:tcW w:w="2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84A">
            <w:pPr>
              <w:pStyle w:val="BodyText"/>
              <w:rPr>
                <w:lang w:val="en-NZ"/>
              </w:rPr>
            </w:pPr>
            <w:r w:rsidRPr="00F7684A">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84A" w:rsidP="00F7684A">
            <w:pPr>
              <w:pStyle w:val="BodyText"/>
            </w:pPr>
            <w:r w:rsidRPr="00F7684A">
              <w:t>Dealing with an unplanned event by drawing on essential knowledge and associated skills to p</w:t>
            </w:r>
            <w:r w:rsidRPr="00F7684A">
              <w:t>rovide appropriate solutions incorporated in the holistic assessment with the above listed items.</w:t>
            </w:r>
          </w:p>
        </w:tc>
      </w:tr>
    </w:tbl>
    <w:p w:rsidR="00000000" w:rsidRPr="00F7684A" w:rsidP="00F7684A">
      <w:pPr>
        <w:pStyle w:val="BodyText"/>
      </w:pPr>
    </w:p>
    <w:tbl>
      <w:tblPr>
        <w:tblW w:w="0" w:type="auto"/>
        <w:tblLayout w:type="fixed"/>
        <w:tblCellMar>
          <w:left w:w="62" w:type="dxa"/>
          <w:right w:w="62" w:type="dxa"/>
        </w:tblCellMar>
        <w:tblLook w:val="0000"/>
      </w:tblPr>
      <w:tblGrid>
        <w:gridCol w:w="1890"/>
        <w:gridCol w:w="6570"/>
      </w:tblGrid>
      <w:tr w:rsidTr="00504FF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9.3)</w:t>
            </w:r>
          </w:p>
        </w:tc>
      </w:tr>
      <w:tr w:rsidTr="00504FF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t>This unit should be assessed as it relates to normal work practice using procedures, information and</w:t>
            </w:r>
            <w:r w:rsidRPr="00F7684A">
              <w:t xml:space="preserve"> resources typical of a workplace. This should include:</w:t>
            </w:r>
          </w:p>
          <w:p w:rsidR="00000000" w:rsidRPr="00F7684A" w:rsidP="00F7684A">
            <w:pPr>
              <w:pStyle w:val="ListBullet"/>
            </w:pPr>
            <w:r w:rsidRPr="00F7684A">
              <w:t>OHS policy and work procedures and instructions.</w:t>
            </w:r>
          </w:p>
          <w:p w:rsidR="00000000" w:rsidRPr="00F7684A" w:rsidP="00F7684A">
            <w:pPr>
              <w:pStyle w:val="ListBullet"/>
            </w:pPr>
            <w:r w:rsidRPr="00F7684A">
              <w:t>Access to a range of emergencies and hazardous events (may be gathered through simulations)</w:t>
            </w:r>
          </w:p>
          <w:p w:rsidR="00000000" w:rsidRPr="00F7684A" w:rsidP="00F7684A">
            <w:pPr>
              <w:pStyle w:val="ListBullet"/>
            </w:pPr>
            <w:r w:rsidRPr="00F7684A">
              <w:t>Access to workplace environment.</w:t>
            </w:r>
          </w:p>
          <w:p w:rsidR="00000000" w:rsidRPr="00F7684A" w:rsidP="00F7684A">
            <w:pPr>
              <w:pStyle w:val="ListBullet"/>
            </w:pPr>
            <w:r w:rsidRPr="00F7684A">
              <w:t>Access to document on current OHS Acts, regulations and enterprise OHS policies and procedures.</w:t>
            </w:r>
          </w:p>
          <w:p w:rsidR="00000000" w:rsidRPr="00F7684A" w:rsidP="00F7684A">
            <w:pPr>
              <w:pStyle w:val="ListBullet"/>
            </w:pPr>
            <w:r w:rsidRPr="00F7684A">
              <w:t>Access to personal protective equipment (PPE)</w:t>
            </w:r>
          </w:p>
          <w:p w:rsidR="00000000" w:rsidRPr="00F7684A" w:rsidP="00F7684A">
            <w:pPr>
              <w:pStyle w:val="BodyText"/>
            </w:pPr>
            <w:r w:rsidRPr="00F7684A">
              <w:t>In addition to the resources listed above, in Context of and specific resources for assessment, evidence should sh</w:t>
            </w:r>
            <w:r w:rsidRPr="00F7684A">
              <w:t xml:space="preserve">ow demonstrated competency working in realistic environment and a variety of conditions. </w:t>
            </w:r>
          </w:p>
        </w:tc>
      </w:tr>
    </w:tbl>
    <w:p w:rsidR="00000000" w:rsidRPr="00F7684A" w:rsidP="00F7684A">
      <w:pPr>
        <w:pStyle w:val="BodyText"/>
      </w:pPr>
    </w:p>
    <w:tbl>
      <w:tblPr>
        <w:tblW w:w="0" w:type="auto"/>
        <w:tblLayout w:type="fixed"/>
        <w:tblCellMar>
          <w:left w:w="62" w:type="dxa"/>
          <w:right w:w="62" w:type="dxa"/>
        </w:tblCellMar>
        <w:tblLook w:val="0000"/>
      </w:tblPr>
      <w:tblGrid>
        <w:gridCol w:w="1890"/>
        <w:gridCol w:w="6570"/>
      </w:tblGrid>
      <w:tr w:rsidTr="00504F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9.4)</w:t>
            </w:r>
          </w:p>
        </w:tc>
      </w:tr>
      <w:tr w:rsidTr="00504F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t>This Competency Standard Unit shall be assessed by methods given in Volume 1, Part 3 “Assessment Guidelines”.</w:t>
            </w:r>
          </w:p>
          <w:p w:rsidR="00000000" w:rsidRPr="00F7684A" w:rsidP="00F7684A">
            <w:pPr>
              <w:pStyle w:val="BodyText"/>
            </w:pPr>
            <w:r w:rsidRPr="00F7684A">
              <w:t>Note:</w:t>
            </w:r>
          </w:p>
          <w:p w:rsidR="00000000" w:rsidRPr="00F7684A" w:rsidP="00F7684A">
            <w:pPr>
              <w:pStyle w:val="BodyText"/>
            </w:pPr>
            <w:r w:rsidRPr="00F7684A">
              <w:t>Competent performanc</w:t>
            </w:r>
            <w:r w:rsidRPr="00F7684A">
              <w:t>e with inherent safe working practices is expected in the Industry to which this Competency Standard Unit applies. This requires that the specified essential knowledge and associated skills are assessed in a structured environment which is primarily intend</w:t>
            </w:r>
            <w:r w:rsidRPr="00F7684A">
              <w:t>ed for learning/assessment and incorporates all necessary equipment and facilities for learners to develop and demonstrate the essential knowledge and associated skills described in this unit.</w:t>
            </w:r>
          </w:p>
        </w:tc>
      </w:tr>
    </w:tbl>
    <w:p w:rsidR="00000000" w:rsidRPr="00F7684A" w:rsidP="00F7684A">
      <w:pPr>
        <w:pStyle w:val="BodyText"/>
      </w:pPr>
    </w:p>
    <w:tbl>
      <w:tblPr>
        <w:tblW w:w="0" w:type="auto"/>
        <w:tblLayout w:type="fixed"/>
        <w:tblCellMar>
          <w:left w:w="62" w:type="dxa"/>
          <w:right w:w="62" w:type="dxa"/>
        </w:tblCellMar>
        <w:tblLook w:val="0000"/>
      </w:tblPr>
      <w:tblGrid>
        <w:gridCol w:w="1890"/>
        <w:gridCol w:w="1530"/>
        <w:gridCol w:w="5040"/>
      </w:tblGrid>
      <w:tr w:rsidTr="00504F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9.5)</w:t>
            </w:r>
          </w:p>
        </w:tc>
      </w:tr>
      <w:tr w:rsidTr="00504F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 xml:space="preserve">For optimisation of training and assessment effort, competence in this unit may be assessed concurrently with the following units: </w:t>
            </w:r>
          </w:p>
        </w:tc>
      </w:tr>
      <w:tr w:rsidTr="00504F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t>UETTDRIS63A</w:t>
            </w:r>
          </w:p>
        </w:tc>
        <w:tc>
          <w:tcPr>
            <w:tcW w:w="504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t>Implement and monitor the power system environmental and sustainable energy management policies and proced</w:t>
            </w:r>
            <w:r w:rsidRPr="00F7684A">
              <w:t>ures</w:t>
            </w:r>
          </w:p>
        </w:tc>
      </w:tr>
    </w:tbl>
    <w:p w:rsidR="00000000" w:rsidRPr="00F7684A" w:rsidP="00F7684A">
      <w:pPr>
        <w:pStyle w:val="BodyText"/>
      </w:pPr>
    </w:p>
    <w:p w:rsidR="00000000" w:rsidRPr="00F7684A" w:rsidP="00F7684A">
      <w:pPr>
        <w:pStyle w:val="AllowPageBreak"/>
      </w:pPr>
    </w:p>
    <w:p w:rsidR="00000000" w:rsidRPr="00F7684A" w:rsidP="00F7684A">
      <w:pPr>
        <w:pStyle w:val="Heading1"/>
      </w:pPr>
      <w:bookmarkStart w:id="11" w:name="O_462805"/>
      <w:bookmarkEnd w:id="11"/>
      <w:r w:rsidRPr="00F7684A">
        <w:t>Range Statement</w:t>
      </w:r>
    </w:p>
    <w:tbl>
      <w:tblPr>
        <w:tblW w:w="0" w:type="auto"/>
        <w:tblLayout w:type="fixed"/>
        <w:tblCellMar>
          <w:left w:w="62" w:type="dxa"/>
          <w:right w:w="62" w:type="dxa"/>
        </w:tblCellMar>
        <w:tblLook w:val="0000"/>
      </w:tblPr>
      <w:tblGrid>
        <w:gridCol w:w="8460"/>
      </w:tblGrid>
      <w:tr w:rsidTr="00504FF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RANGE STATEMENT</w:t>
            </w:r>
          </w:p>
        </w:tc>
      </w:tr>
      <w:tr w:rsidTr="00504FF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rPr>
                <w:rStyle w:val="SpecialBold"/>
              </w:rPr>
              <w:t>10)</w:t>
            </w:r>
            <w:r w:rsidRPr="00F7684A">
              <w:t xml:space="preserve"> This relates to the unit of competency as a whole providing the range of contexts and conditions </w:t>
            </w:r>
            <w:r w:rsidRPr="00F7684A">
              <w:t>to which the Performance Criteria apply. It allows for different work environments and situations that will affect performance.</w:t>
            </w:r>
          </w:p>
          <w:p w:rsidR="00000000" w:rsidRPr="00F7684A" w:rsidP="00F7684A">
            <w:pPr>
              <w:pStyle w:val="BodyText"/>
            </w:pPr>
            <w:r w:rsidRPr="00F7684A">
              <w:t xml:space="preserve">This Competency Standard Unit shall be demonstrated in relation to implementing and monitoring the organisational OHS, policies </w:t>
            </w:r>
            <w:r w:rsidRPr="00F7684A">
              <w:t>and procedures and may include the following:</w:t>
            </w:r>
          </w:p>
          <w:p w:rsidR="00000000" w:rsidRPr="00F7684A" w:rsidP="00F7684A">
            <w:pPr>
              <w:pStyle w:val="BodyText"/>
            </w:pPr>
            <w:r w:rsidRPr="00F7684A">
              <w:t xml:space="preserve">In accordance with all relevant OHS legislation, particularly: general duty of care; requirements for maintenance and confidentiality of records of occupational injury and disease; provision of information and </w:t>
            </w:r>
            <w:r w:rsidRPr="00F7684A">
              <w:t>training; regulations and codes of practice relating to hazards present in work area; health and safety representatives and OHS committees; issue resolution.</w:t>
            </w:r>
          </w:p>
          <w:p w:rsidR="00000000" w:rsidRPr="00F7684A" w:rsidP="00F7684A">
            <w:pPr>
              <w:pStyle w:val="BodyText"/>
            </w:pPr>
            <w:r w:rsidRPr="00F7684A">
              <w:t>Hazardous events include accidents, fire and emergencies such as chemical spills or bomb scares. P</w:t>
            </w:r>
            <w:r w:rsidRPr="00F7684A">
              <w:t>rocedures for dealing with them include evacuation, chemical containment and first aid procedures.</w:t>
            </w:r>
          </w:p>
          <w:p w:rsidR="00000000" w:rsidRPr="00F7684A" w:rsidP="00F7684A">
            <w:pPr>
              <w:pStyle w:val="BodyText"/>
            </w:pPr>
            <w:r w:rsidRPr="00F7684A">
              <w:t>In accordance with workplace procedures for: risk assessment and management; inspection; housekeeping; participative arrangements , either general or specifi</w:t>
            </w:r>
            <w:r w:rsidRPr="00F7684A">
              <w:t>c to OHS training and assessment; specific hazard policies and procedures; OHS information; OHS record keeping; maintenance of plant and equipment; purchasing of supplies and equipment; and counselling/disciplinary processes.</w:t>
            </w:r>
          </w:p>
          <w:p w:rsidR="00000000" w:rsidRPr="00F7684A" w:rsidP="00F7684A">
            <w:pPr>
              <w:pStyle w:val="BodyText"/>
            </w:pPr>
            <w:r w:rsidRPr="00F7684A">
              <w:t>The following constants and va</w:t>
            </w:r>
            <w:r w:rsidRPr="00F7684A">
              <w:t>riables included in the element/Performance Criteria in this unit are fully described in the Definitions Section 1 of this volume and form an integral part of the Range Statement of this unit:</w:t>
            </w:r>
          </w:p>
          <w:p w:rsidR="00000000" w:rsidRPr="00F7684A" w:rsidP="00F7684A">
            <w:pPr>
              <w:pStyle w:val="ListBullet3"/>
            </w:pPr>
            <w:r w:rsidRPr="00F7684A">
              <w:t>Appropriate and relevant persons (see Personnel)</w:t>
            </w:r>
          </w:p>
          <w:p w:rsidR="00000000" w:rsidRPr="00F7684A" w:rsidP="00F7684A">
            <w:pPr>
              <w:pStyle w:val="ListBullet3"/>
            </w:pPr>
            <w:r w:rsidRPr="00F7684A">
              <w:t>Appropriate authorities</w:t>
            </w:r>
          </w:p>
          <w:p w:rsidR="00000000" w:rsidRPr="00F7684A" w:rsidP="00F7684A">
            <w:pPr>
              <w:pStyle w:val="ListBullet3"/>
            </w:pPr>
            <w:r w:rsidRPr="00F7684A">
              <w:t>Appropriate work platform</w:t>
            </w:r>
          </w:p>
          <w:p w:rsidR="00000000" w:rsidRPr="00F7684A" w:rsidP="00F7684A">
            <w:pPr>
              <w:pStyle w:val="ListBullet3"/>
            </w:pPr>
            <w:r w:rsidRPr="00F7684A">
              <w:t>Assessing risk</w:t>
            </w:r>
          </w:p>
          <w:p w:rsidR="00000000" w:rsidRPr="00F7684A" w:rsidP="00F7684A">
            <w:pPr>
              <w:pStyle w:val="ListBullet3"/>
            </w:pPr>
            <w:r w:rsidRPr="00F7684A">
              <w:t>Assessment</w:t>
            </w:r>
          </w:p>
          <w:p w:rsidR="00000000" w:rsidRPr="00F7684A" w:rsidP="00F7684A">
            <w:pPr>
              <w:pStyle w:val="ListBullet3"/>
            </w:pPr>
            <w:r w:rsidRPr="00F7684A">
              <w:t>Authorisation</w:t>
            </w:r>
          </w:p>
          <w:p w:rsidR="00000000" w:rsidRPr="00F7684A" w:rsidP="00F7684A">
            <w:pPr>
              <w:pStyle w:val="ListBullet3"/>
            </w:pPr>
            <w:r w:rsidRPr="00F7684A">
              <w:t>Confined space</w:t>
            </w:r>
          </w:p>
          <w:p w:rsidR="00000000" w:rsidRPr="00F7684A" w:rsidP="00F7684A">
            <w:pPr>
              <w:pStyle w:val="ListBullet3"/>
            </w:pPr>
            <w:r w:rsidRPr="00F7684A">
              <w:t>Documenting detail work events, record keeping and or storage of information</w:t>
            </w:r>
          </w:p>
          <w:p w:rsidR="00000000" w:rsidRPr="00F7684A" w:rsidP="00F7684A">
            <w:pPr>
              <w:pStyle w:val="ListBullet3"/>
            </w:pPr>
            <w:r w:rsidRPr="00F7684A">
              <w:t>Emergency</w:t>
            </w:r>
          </w:p>
          <w:p w:rsidR="00000000" w:rsidRPr="00F7684A" w:rsidP="00F7684A">
            <w:pPr>
              <w:pStyle w:val="ListBullet3"/>
            </w:pPr>
            <w:r w:rsidRPr="00F7684A">
              <w:t>Established procedures</w:t>
            </w:r>
          </w:p>
          <w:p w:rsidR="00000000" w:rsidRPr="00F7684A" w:rsidP="00F7684A">
            <w:pPr>
              <w:pStyle w:val="ListBullet3"/>
            </w:pPr>
            <w:r w:rsidRPr="00F7684A">
              <w:t>Fall prevention</w:t>
            </w:r>
          </w:p>
          <w:p w:rsidR="00000000" w:rsidRPr="00F7684A" w:rsidP="00F7684A">
            <w:pPr>
              <w:pStyle w:val="ListBullet3"/>
            </w:pPr>
            <w:r w:rsidRPr="00F7684A">
              <w:t>Hazards</w:t>
            </w:r>
          </w:p>
          <w:p w:rsidR="00000000" w:rsidRPr="00F7684A" w:rsidP="00F7684A">
            <w:pPr>
              <w:pStyle w:val="ListBullet3"/>
            </w:pPr>
            <w:r w:rsidRPr="00F7684A">
              <w:t>Identifying hazar</w:t>
            </w:r>
            <w:r w:rsidRPr="00F7684A">
              <w:t>ds</w:t>
            </w:r>
          </w:p>
          <w:p w:rsidR="00000000" w:rsidRPr="00F7684A" w:rsidP="00F7684A">
            <w:pPr>
              <w:pStyle w:val="ListBullet3"/>
            </w:pPr>
            <w:r w:rsidRPr="00F7684A">
              <w:t>Inspect</w:t>
            </w:r>
          </w:p>
          <w:p w:rsidR="00000000" w:rsidRPr="00F7684A" w:rsidP="00F7684A">
            <w:pPr>
              <w:pStyle w:val="ListBullet3"/>
            </w:pPr>
            <w:r w:rsidRPr="00F7684A">
              <w:t>Legislation</w:t>
            </w:r>
          </w:p>
          <w:p w:rsidR="00000000" w:rsidRPr="00F7684A" w:rsidP="00F7684A">
            <w:pPr>
              <w:pStyle w:val="ListBullet3"/>
            </w:pPr>
            <w:r w:rsidRPr="00F7684A">
              <w:t>MSDS</w:t>
            </w:r>
          </w:p>
          <w:p w:rsidR="00000000" w:rsidRPr="00F7684A" w:rsidP="00F7684A">
            <w:pPr>
              <w:pStyle w:val="ListBullet3"/>
            </w:pPr>
            <w:r w:rsidRPr="00F7684A">
              <w:t>Notification.</w:t>
            </w:r>
          </w:p>
          <w:p w:rsidR="00000000" w:rsidRPr="00F7684A" w:rsidP="00F7684A">
            <w:pPr>
              <w:pStyle w:val="ListBullet3"/>
            </w:pPr>
            <w:r w:rsidRPr="00F7684A">
              <w:t>OHS practices</w:t>
            </w:r>
          </w:p>
          <w:p w:rsidR="00000000" w:rsidRPr="00F7684A" w:rsidP="00F7684A">
            <w:pPr>
              <w:pStyle w:val="ListBullet3"/>
            </w:pPr>
            <w:r w:rsidRPr="00F7684A">
              <w:t>OHS issues</w:t>
            </w:r>
          </w:p>
          <w:p w:rsidR="00000000" w:rsidRPr="00F7684A" w:rsidP="00F7684A">
            <w:pPr>
              <w:pStyle w:val="ListBullet3"/>
            </w:pPr>
            <w:r w:rsidRPr="00F7684A">
              <w:t>Permits and/or permits to work</w:t>
            </w:r>
          </w:p>
          <w:p w:rsidR="00000000" w:rsidRPr="00F7684A" w:rsidP="00F7684A">
            <w:pPr>
              <w:pStyle w:val="ListBullet3"/>
            </w:pPr>
            <w:r w:rsidRPr="00F7684A">
              <w:t>Personnel</w:t>
            </w:r>
          </w:p>
          <w:p w:rsidR="00000000" w:rsidRPr="00F7684A" w:rsidP="00F7684A">
            <w:pPr>
              <w:pStyle w:val="ListBullet3"/>
            </w:pPr>
            <w:r w:rsidRPr="00F7684A">
              <w:t>Quality assurance systems</w:t>
            </w:r>
          </w:p>
          <w:p w:rsidR="00000000" w:rsidRPr="00F7684A" w:rsidP="00F7684A">
            <w:pPr>
              <w:pStyle w:val="ListBullet3"/>
            </w:pPr>
            <w:r w:rsidRPr="00F7684A">
              <w:t>Requirements</w:t>
            </w:r>
          </w:p>
          <w:p w:rsidR="00000000" w:rsidRPr="00F7684A" w:rsidP="00F7684A">
            <w:pPr>
              <w:pStyle w:val="ListBullet3"/>
            </w:pPr>
            <w:r w:rsidRPr="00F7684A">
              <w:t>Work clearance systems</w:t>
            </w:r>
          </w:p>
        </w:tc>
      </w:tr>
    </w:tbl>
    <w:p w:rsidR="00000000" w:rsidRPr="00F7684A" w:rsidP="00F7684A">
      <w:pPr>
        <w:pStyle w:val="BodyText"/>
      </w:pPr>
    </w:p>
    <w:p w:rsidR="00000000" w:rsidRPr="00F7684A" w:rsidP="00F7684A">
      <w:pPr>
        <w:pStyle w:val="AllowPageBreak"/>
      </w:pPr>
    </w:p>
    <w:p w:rsidR="00000000" w:rsidRPr="00F7684A" w:rsidP="00F7684A">
      <w:pPr>
        <w:pStyle w:val="Heading1"/>
      </w:pPr>
      <w:bookmarkStart w:id="12" w:name="O_462808"/>
      <w:bookmarkEnd w:id="12"/>
      <w:r w:rsidRPr="00F7684A">
        <w:t>Unit Sector(s)</w:t>
      </w:r>
    </w:p>
    <w:p w:rsidR="00000000" w:rsidRPr="00F7684A" w:rsidP="00F7684A">
      <w:pPr>
        <w:pStyle w:val="BodyText"/>
      </w:pPr>
      <w:r w:rsidRPr="00F7684A">
        <w:t>Not applicable.</w:t>
      </w:r>
    </w:p>
    <w:p w:rsidR="00000000" w:rsidRPr="00F7684A" w:rsidP="00F7684A">
      <w:pPr>
        <w:pStyle w:val="AllowPageBreak"/>
      </w:pPr>
    </w:p>
    <w:p w:rsidR="00000000" w:rsidRPr="00F7684A" w:rsidP="00F7684A">
      <w:pPr>
        <w:pStyle w:val="Heading1"/>
      </w:pPr>
      <w:bookmarkStart w:id="13" w:name="O_462797"/>
      <w:bookmarkEnd w:id="13"/>
      <w:r w:rsidRPr="00F7684A">
        <w:t>Competency Field</w:t>
      </w:r>
    </w:p>
    <w:tbl>
      <w:tblPr>
        <w:tblW w:w="0" w:type="auto"/>
        <w:tblLayout w:type="fixed"/>
        <w:tblCellMar>
          <w:left w:w="62" w:type="dxa"/>
          <w:right w:w="62" w:type="dxa"/>
        </w:tblCellMar>
        <w:tblLook w:val="0000"/>
      </w:tblPr>
      <w:tblGrid>
        <w:gridCol w:w="2700"/>
        <w:gridCol w:w="5760"/>
      </w:tblGrid>
      <w:tr w:rsidTr="00504F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7684A">
            <w:pPr>
              <w:pStyle w:val="BodyText"/>
              <w:rPr>
                <w:lang w:val="en-NZ"/>
              </w:rPr>
            </w:pPr>
            <w:r w:rsidRPr="00F7684A">
              <w:rPr>
                <w:rStyle w:val="SpecialBold"/>
              </w:rPr>
              <w:t xml:space="preserve">11) </w:t>
            </w:r>
          </w:p>
        </w:tc>
      </w:tr>
      <w:tr w:rsidTr="00504F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684A" w:rsidP="00F7684A">
            <w:pPr>
              <w:pStyle w:val="BodyText"/>
            </w:pPr>
            <w:r w:rsidRPr="00F7684A">
              <w:t>Industry Specific Cross-Discipline Units</w:t>
            </w:r>
          </w:p>
        </w:tc>
      </w:tr>
    </w:tbl>
    <w:p w:rsidR="00000000" w:rsidRPr="00F7684A" w:rsidP="00F7684A">
      <w:pPr>
        <w:pStyle w:val="BodyText"/>
      </w:pPr>
    </w:p>
    <w:p w:rsidR="00000000" w:rsidRPr="00F7684A" w:rsidP="00F7684A"/>
    <w:sectPr w:rsidSect="00F768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8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4FFA" w:rsidP="00504FF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8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FA" w:rsidP="00F768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04FFA" w:rsidP="00F768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04FFA" w:rsidP="00F768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8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84A" w:rsidRPr="00504FFA" w:rsidP="00504F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8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FA" w:rsidRPr="002D2AF8" w:rsidP="00F7684A">
    <w:pPr>
      <w:pStyle w:val="Header"/>
      <w:framePr w:wrap="around"/>
    </w:pPr>
    <w:r>
      <w:fldChar w:fldCharType="begin"/>
    </w:r>
    <w:r>
      <w:instrText xml:space="preserve"> TITLE   \* MERGEFORMAT </w:instrText>
    </w:r>
    <w:r>
      <w:fldChar w:fldCharType="separate"/>
    </w:r>
    <w:r>
      <w:t>UETTDRIS62A Implement and monitor the power system organisational OHS policies, procedures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04FFA" w:rsidP="00F768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603B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22D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E857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8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684A"/>
    <w:pPr>
      <w:spacing w:before="360" w:after="60"/>
      <w:outlineLvl w:val="0"/>
    </w:pPr>
    <w:rPr>
      <w:sz w:val="32"/>
    </w:rPr>
  </w:style>
  <w:style w:type="paragraph" w:styleId="Heading2">
    <w:name w:val="heading 2"/>
    <w:basedOn w:val="HeadingBase"/>
    <w:next w:val="BodyText"/>
    <w:link w:val="Heading2Char"/>
    <w:qFormat/>
    <w:rsid w:val="00F7684A"/>
    <w:pPr>
      <w:keepLines/>
      <w:spacing w:before="240" w:after="120"/>
      <w:outlineLvl w:val="1"/>
    </w:pPr>
    <w:rPr>
      <w:sz w:val="28"/>
      <w:szCs w:val="40"/>
    </w:rPr>
  </w:style>
  <w:style w:type="paragraph" w:styleId="Heading3">
    <w:name w:val="heading 3"/>
    <w:basedOn w:val="HeadingBase"/>
    <w:next w:val="BodyText"/>
    <w:link w:val="Heading3Char"/>
    <w:qFormat/>
    <w:rsid w:val="00F7684A"/>
    <w:pPr>
      <w:spacing w:before="180" w:after="120"/>
      <w:outlineLvl w:val="2"/>
    </w:pPr>
    <w:rPr>
      <w:spacing w:val="-10"/>
      <w:kern w:val="32"/>
    </w:rPr>
  </w:style>
  <w:style w:type="paragraph" w:styleId="Heading4">
    <w:name w:val="heading 4"/>
    <w:basedOn w:val="HeadingBase"/>
    <w:next w:val="BodyText"/>
    <w:link w:val="Heading4Char"/>
    <w:qFormat/>
    <w:rsid w:val="00F7684A"/>
    <w:pPr>
      <w:spacing w:before="160" w:after="120"/>
      <w:outlineLvl w:val="3"/>
    </w:pPr>
    <w:rPr>
      <w:sz w:val="22"/>
    </w:rPr>
  </w:style>
  <w:style w:type="paragraph" w:styleId="Heading5">
    <w:name w:val="heading 5"/>
    <w:basedOn w:val="HeadingBase"/>
    <w:next w:val="Normal"/>
    <w:link w:val="Heading5Char"/>
    <w:qFormat/>
    <w:rsid w:val="00F7684A"/>
    <w:pPr>
      <w:spacing w:before="80"/>
      <w:outlineLvl w:val="4"/>
    </w:pPr>
    <w:rPr>
      <w:color w:val="918585"/>
      <w:sz w:val="20"/>
    </w:rPr>
  </w:style>
  <w:style w:type="paragraph" w:styleId="Heading6">
    <w:name w:val="heading 6"/>
    <w:basedOn w:val="HeadingBase"/>
    <w:next w:val="Normal"/>
    <w:link w:val="Heading6Char"/>
    <w:qFormat/>
    <w:rsid w:val="00F7684A"/>
    <w:pPr>
      <w:spacing w:before="60"/>
      <w:outlineLvl w:val="5"/>
    </w:pPr>
    <w:rPr>
      <w:color w:val="918585"/>
      <w:sz w:val="20"/>
    </w:rPr>
  </w:style>
  <w:style w:type="paragraph" w:styleId="Heading7">
    <w:name w:val="heading 7"/>
    <w:basedOn w:val="Normal"/>
    <w:next w:val="Normal"/>
    <w:link w:val="Heading7Char"/>
    <w:qFormat/>
    <w:rsid w:val="00F7684A"/>
    <w:pPr>
      <w:ind w:left="720"/>
      <w:outlineLvl w:val="6"/>
    </w:pPr>
    <w:rPr>
      <w:i/>
    </w:rPr>
  </w:style>
  <w:style w:type="paragraph" w:styleId="Heading8">
    <w:name w:val="heading 8"/>
    <w:basedOn w:val="Normal"/>
    <w:next w:val="Normal"/>
    <w:link w:val="Heading8Char"/>
    <w:qFormat/>
    <w:rsid w:val="00F7684A"/>
    <w:pPr>
      <w:ind w:left="720"/>
      <w:outlineLvl w:val="7"/>
    </w:pPr>
    <w:rPr>
      <w:i/>
    </w:rPr>
  </w:style>
  <w:style w:type="paragraph" w:styleId="Heading9">
    <w:name w:val="heading 9"/>
    <w:basedOn w:val="Normal"/>
    <w:next w:val="Normal"/>
    <w:link w:val="Heading9Char"/>
    <w:qFormat/>
    <w:rsid w:val="00F7684A"/>
    <w:pPr>
      <w:ind w:left="720"/>
      <w:outlineLvl w:val="8"/>
    </w:pPr>
    <w:rPr>
      <w:i/>
    </w:rPr>
  </w:style>
  <w:style w:type="character" w:default="1" w:styleId="DefaultParagraphFont">
    <w:name w:val="Default Paragraph Font"/>
    <w:uiPriority w:val="1"/>
    <w:unhideWhenUsed/>
    <w:rsid w:val="00F768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84A"/>
  </w:style>
  <w:style w:type="character" w:customStyle="1" w:styleId="Heading1Char">
    <w:name w:val="Heading 1 Char"/>
    <w:basedOn w:val="DefaultParagraphFont"/>
    <w:link w:val="Heading1"/>
    <w:rsid w:val="00F7684A"/>
    <w:rPr>
      <w:rFonts w:ascii="Times New Roman" w:eastAsia="Times New Roman" w:hAnsi="Times New Roman" w:cs="Times New Roman"/>
      <w:b/>
      <w:sz w:val="32"/>
      <w:szCs w:val="20"/>
      <w:lang w:eastAsia="en-US"/>
    </w:rPr>
  </w:style>
  <w:style w:type="paragraph" w:styleId="BodyText">
    <w:name w:val="Body Text"/>
    <w:basedOn w:val="Normal"/>
    <w:link w:val="BodyTextChar"/>
    <w:rsid w:val="00F768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684A"/>
    <w:rPr>
      <w:rFonts w:ascii="Times New Roman" w:eastAsia="Times New Roman" w:hAnsi="Times New Roman" w:cs="Times New Roman"/>
      <w:sz w:val="24"/>
      <w:lang w:eastAsia="en-US"/>
    </w:rPr>
  </w:style>
  <w:style w:type="paragraph" w:styleId="Footer">
    <w:name w:val="footer"/>
    <w:basedOn w:val="Normal"/>
    <w:link w:val="FooterChar"/>
    <w:rsid w:val="00F768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84A"/>
    <w:rPr>
      <w:rFonts w:ascii="Times New Roman" w:eastAsia="Times New Roman" w:hAnsi="Times New Roman" w:cs="Times New Roman"/>
      <w:sz w:val="16"/>
      <w:lang w:eastAsia="en-US"/>
    </w:rPr>
  </w:style>
  <w:style w:type="paragraph" w:styleId="ListBullet">
    <w:name w:val="List Bullet"/>
    <w:basedOn w:val="List"/>
    <w:rsid w:val="00F7684A"/>
    <w:pPr>
      <w:numPr>
        <w:numId w:val="14"/>
      </w:numPr>
      <w:tabs>
        <w:tab w:val="clear" w:pos="340"/>
      </w:tabs>
      <w:spacing w:before="40" w:after="40"/>
    </w:pPr>
  </w:style>
  <w:style w:type="character" w:customStyle="1" w:styleId="SpecialBold">
    <w:name w:val="Special Bold"/>
    <w:basedOn w:val="DefaultParagraphFont"/>
    <w:rsid w:val="00F7684A"/>
    <w:rPr>
      <w:b/>
      <w:spacing w:val="0"/>
    </w:rPr>
  </w:style>
  <w:style w:type="paragraph" w:styleId="ListBullet2">
    <w:name w:val="List Bullet 2"/>
    <w:basedOn w:val="List2"/>
    <w:rsid w:val="00F7684A"/>
    <w:pPr>
      <w:numPr>
        <w:numId w:val="15"/>
      </w:numPr>
      <w:tabs>
        <w:tab w:val="clear" w:pos="680"/>
      </w:tabs>
    </w:pPr>
  </w:style>
  <w:style w:type="paragraph" w:customStyle="1" w:styleId="SuperHeading">
    <w:name w:val="SuperHeading"/>
    <w:basedOn w:val="Normal"/>
    <w:rsid w:val="00F7684A"/>
    <w:pPr>
      <w:spacing w:before="240" w:after="120"/>
      <w:outlineLvl w:val="0"/>
    </w:pPr>
    <w:rPr>
      <w:rFonts w:ascii="Times New Roman" w:hAnsi="Times New Roman"/>
      <w:b/>
      <w:sz w:val="28"/>
    </w:rPr>
  </w:style>
  <w:style w:type="paragraph" w:customStyle="1" w:styleId="AllowPageBreak">
    <w:name w:val="AllowPageBreak"/>
    <w:rsid w:val="00F768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684A"/>
    <w:pPr>
      <w:numPr>
        <w:numId w:val="3"/>
      </w:numPr>
      <w:tabs>
        <w:tab w:val="clear" w:pos="1021"/>
      </w:tabs>
      <w:ind w:left="1037" w:hanging="357"/>
    </w:pPr>
  </w:style>
  <w:style w:type="character" w:customStyle="1" w:styleId="Heading2Char">
    <w:name w:val="Heading 2 Char"/>
    <w:basedOn w:val="DefaultParagraphFont"/>
    <w:link w:val="Heading2"/>
    <w:rsid w:val="00F768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8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8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8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8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8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68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684A"/>
    <w:rPr>
      <w:rFonts w:ascii="Courier New" w:eastAsia="Times New Roman" w:hAnsi="Courier New" w:cs="Times New Roman"/>
      <w:i/>
      <w:szCs w:val="20"/>
      <w:lang w:eastAsia="en-US"/>
    </w:rPr>
  </w:style>
  <w:style w:type="paragraph" w:customStyle="1" w:styleId="HeadingBase">
    <w:name w:val="Heading Base"/>
    <w:rsid w:val="00F768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84A"/>
    <w:pPr>
      <w:tabs>
        <w:tab w:val="right" w:leader="dot" w:pos="9072"/>
      </w:tabs>
      <w:ind w:left="567"/>
    </w:pPr>
    <w:rPr>
      <w:szCs w:val="22"/>
    </w:rPr>
  </w:style>
  <w:style w:type="paragraph" w:customStyle="1" w:styleId="TOCBase">
    <w:name w:val="TOC Base"/>
    <w:rsid w:val="00F768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84A"/>
    <w:pPr>
      <w:tabs>
        <w:tab w:val="right" w:leader="dot" w:pos="9072"/>
      </w:tabs>
      <w:spacing w:before="40" w:after="40"/>
      <w:ind w:left="284"/>
    </w:pPr>
    <w:rPr>
      <w:rFonts w:ascii="Times New Roman" w:hAnsi="Times New Roman"/>
    </w:rPr>
  </w:style>
  <w:style w:type="paragraph" w:styleId="TOC1">
    <w:name w:val="toc 1"/>
    <w:basedOn w:val="TOCBase"/>
    <w:next w:val="Normal"/>
    <w:rsid w:val="00F768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684A"/>
    <w:pPr>
      <w:spacing w:before="5040"/>
      <w:jc w:val="center"/>
    </w:pPr>
    <w:rPr>
      <w:sz w:val="48"/>
      <w:szCs w:val="72"/>
      <w:lang w:val="en-US"/>
    </w:rPr>
  </w:style>
  <w:style w:type="character" w:customStyle="1" w:styleId="TitleChar">
    <w:name w:val="Title Char"/>
    <w:basedOn w:val="DefaultParagraphFont"/>
    <w:link w:val="Title"/>
    <w:rsid w:val="00F768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84A"/>
    <w:pPr>
      <w:tabs>
        <w:tab w:val="left" w:pos="3600"/>
        <w:tab w:val="left" w:pos="3958"/>
      </w:tabs>
    </w:pPr>
  </w:style>
  <w:style w:type="paragraph" w:styleId="List">
    <w:name w:val="List"/>
    <w:basedOn w:val="BodyText"/>
    <w:next w:val="BodyText"/>
    <w:rsid w:val="00F7684A"/>
    <w:pPr>
      <w:tabs>
        <w:tab w:val="left" w:pos="340"/>
      </w:tabs>
      <w:spacing w:before="60" w:after="60"/>
      <w:ind w:left="340" w:hanging="340"/>
    </w:pPr>
  </w:style>
  <w:style w:type="paragraph" w:customStyle="1" w:styleId="Note">
    <w:name w:val="Note"/>
    <w:basedOn w:val="BodyText"/>
    <w:rsid w:val="00F768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84A"/>
    <w:pPr>
      <w:framePr w:wrap="auto" w:hAnchor="text" w:y="6049"/>
    </w:pPr>
    <w:rPr>
      <w:color w:val="000000"/>
      <w:sz w:val="40"/>
    </w:rPr>
  </w:style>
  <w:style w:type="paragraph" w:customStyle="1" w:styleId="TOCTitle">
    <w:name w:val="TOCTitle"/>
    <w:basedOn w:val="Heading1"/>
    <w:rsid w:val="00F7684A"/>
    <w:pPr>
      <w:spacing w:after="240"/>
      <w:jc w:val="center"/>
      <w:outlineLvl w:val="9"/>
    </w:pPr>
    <w:rPr>
      <w:caps/>
    </w:rPr>
  </w:style>
  <w:style w:type="paragraph" w:customStyle="1" w:styleId="Version">
    <w:name w:val="Version"/>
    <w:rsid w:val="00F768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684A"/>
    <w:pPr>
      <w:keepNext w:val="0"/>
      <w:tabs>
        <w:tab w:val="right" w:pos="4176"/>
      </w:tabs>
      <w:ind w:left="198" w:hanging="198"/>
    </w:pPr>
    <w:rPr>
      <w:rFonts w:ascii="Garamond" w:hAnsi="Garamond"/>
    </w:rPr>
  </w:style>
  <w:style w:type="paragraph" w:styleId="IndexHeading">
    <w:name w:val="index heading"/>
    <w:basedOn w:val="Normal"/>
    <w:next w:val="Index1"/>
    <w:semiHidden/>
    <w:rsid w:val="00F7684A"/>
    <w:pPr>
      <w:spacing w:before="120" w:after="120"/>
    </w:pPr>
    <w:rPr>
      <w:rFonts w:ascii="Arial" w:hAnsi="Arial"/>
      <w:b/>
      <w:color w:val="918585"/>
      <w:sz w:val="24"/>
    </w:rPr>
  </w:style>
  <w:style w:type="paragraph" w:styleId="Header">
    <w:name w:val="header"/>
    <w:basedOn w:val="Normal"/>
    <w:link w:val="HeaderChar"/>
    <w:rsid w:val="00F768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84A"/>
    <w:rPr>
      <w:rFonts w:ascii="Times New Roman" w:eastAsia="Times New Roman" w:hAnsi="Times New Roman" w:cs="Times New Roman"/>
      <w:sz w:val="16"/>
      <w:szCs w:val="20"/>
      <w:lang w:val="en-GB" w:eastAsia="en-US"/>
    </w:rPr>
  </w:style>
  <w:style w:type="paragraph" w:customStyle="1" w:styleId="Chapter">
    <w:name w:val="Chapter"/>
    <w:basedOn w:val="Normal"/>
    <w:rsid w:val="00F7684A"/>
    <w:pPr>
      <w:spacing w:before="240"/>
    </w:pPr>
    <w:rPr>
      <w:rFonts w:ascii="Times New Roman" w:hAnsi="Times New Roman"/>
      <w:smallCaps/>
      <w:spacing w:val="80"/>
      <w:sz w:val="28"/>
    </w:rPr>
  </w:style>
  <w:style w:type="paragraph" w:customStyle="1" w:styleId="InChapter">
    <w:name w:val="InChapter"/>
    <w:basedOn w:val="Heading3"/>
    <w:rsid w:val="00F7684A"/>
    <w:pPr>
      <w:spacing w:after="240"/>
      <w:outlineLvl w:val="9"/>
    </w:pPr>
    <w:rPr>
      <w:noProof/>
    </w:rPr>
  </w:style>
  <w:style w:type="paragraph" w:styleId="Index2">
    <w:name w:val="index 2"/>
    <w:basedOn w:val="Normal"/>
    <w:next w:val="Normal"/>
    <w:semiHidden/>
    <w:rsid w:val="00F7684A"/>
    <w:pPr>
      <w:tabs>
        <w:tab w:val="right" w:pos="4176"/>
      </w:tabs>
      <w:ind w:left="568" w:hanging="284"/>
    </w:pPr>
    <w:rPr>
      <w:rFonts w:ascii="Garamond" w:hAnsi="Garamond"/>
    </w:rPr>
  </w:style>
  <w:style w:type="paragraph" w:customStyle="1" w:styleId="Byline">
    <w:name w:val="Byline"/>
    <w:rsid w:val="00F768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84A"/>
    <w:pPr>
      <w:tabs>
        <w:tab w:val="clear" w:pos="3600"/>
        <w:tab w:val="clear" w:pos="3958"/>
      </w:tabs>
      <w:jc w:val="right"/>
    </w:pPr>
  </w:style>
  <w:style w:type="character" w:styleId="Emphasis">
    <w:name w:val="Emphasis"/>
    <w:basedOn w:val="DefaultParagraphFont"/>
    <w:qFormat/>
    <w:rsid w:val="00F7684A"/>
    <w:rPr>
      <w:i/>
    </w:rPr>
  </w:style>
  <w:style w:type="paragraph" w:styleId="Caption">
    <w:name w:val="caption"/>
    <w:basedOn w:val="BodyText"/>
    <w:next w:val="Normal"/>
    <w:qFormat/>
    <w:rsid w:val="00F7684A"/>
    <w:pPr>
      <w:framePr w:w="2268" w:hSpace="181" w:vSpace="181" w:wrap="around" w:vAnchor="text" w:hAnchor="page" w:x="1135" w:y="285" w:anchorLock="1"/>
    </w:pPr>
    <w:rPr>
      <w:i/>
    </w:rPr>
  </w:style>
  <w:style w:type="paragraph" w:customStyle="1" w:styleId="MiniTOCTitle">
    <w:name w:val="MiniTOCTitle"/>
    <w:basedOn w:val="Heading4"/>
    <w:rsid w:val="00F7684A"/>
    <w:pPr>
      <w:spacing w:before="240"/>
      <w:outlineLvl w:val="9"/>
    </w:pPr>
    <w:rPr>
      <w:noProof/>
      <w:sz w:val="24"/>
    </w:rPr>
  </w:style>
  <w:style w:type="paragraph" w:customStyle="1" w:styleId="MiniTOCItem">
    <w:name w:val="MiniTOCItem"/>
    <w:basedOn w:val="ListBullet"/>
    <w:rsid w:val="00F7684A"/>
    <w:pPr>
      <w:numPr>
        <w:numId w:val="0"/>
      </w:numPr>
      <w:tabs>
        <w:tab w:val="right" w:leader="dot" w:pos="6521"/>
      </w:tabs>
      <w:spacing w:before="0" w:after="0"/>
    </w:pPr>
  </w:style>
  <w:style w:type="paragraph" w:customStyle="1" w:styleId="TOFTitle">
    <w:name w:val="TOFTitle"/>
    <w:basedOn w:val="TOCTitle"/>
    <w:rsid w:val="00F7684A"/>
  </w:style>
  <w:style w:type="paragraph" w:styleId="TableofFigures">
    <w:name w:val="table of figures"/>
    <w:basedOn w:val="Normal"/>
    <w:next w:val="Normal"/>
    <w:semiHidden/>
    <w:rsid w:val="00F7684A"/>
    <w:pPr>
      <w:tabs>
        <w:tab w:val="right" w:leader="dot" w:pos="9072"/>
      </w:tabs>
      <w:ind w:left="970" w:hanging="403"/>
    </w:pPr>
    <w:rPr>
      <w:rFonts w:ascii="Times New Roman" w:hAnsi="Times New Roman"/>
      <w:b/>
    </w:rPr>
  </w:style>
  <w:style w:type="paragraph" w:styleId="ListNumber">
    <w:name w:val="List Number"/>
    <w:basedOn w:val="List"/>
    <w:rsid w:val="00F7684A"/>
    <w:pPr>
      <w:numPr>
        <w:numId w:val="12"/>
      </w:numPr>
    </w:pPr>
  </w:style>
  <w:style w:type="character" w:customStyle="1" w:styleId="WingdingSymbols">
    <w:name w:val="Wingding Symbols"/>
    <w:rsid w:val="00F7684A"/>
    <w:rPr>
      <w:rFonts w:ascii="Wingdings" w:hAnsi="Wingdings"/>
    </w:rPr>
  </w:style>
  <w:style w:type="paragraph" w:customStyle="1" w:styleId="TableHeading">
    <w:name w:val="Table Heading"/>
    <w:basedOn w:val="HeadingBase"/>
    <w:rsid w:val="00F7684A"/>
    <w:pPr>
      <w:keepLines/>
      <w:pBdr>
        <w:bottom w:val="single" w:sz="6" w:space="1" w:color="918585"/>
      </w:pBdr>
      <w:spacing w:before="240"/>
    </w:pPr>
  </w:style>
  <w:style w:type="character" w:customStyle="1" w:styleId="HotSpot">
    <w:name w:val="HotSpot"/>
    <w:rsid w:val="00F7684A"/>
    <w:rPr>
      <w:color w:val="0033CC"/>
      <w:u w:val="none"/>
    </w:rPr>
  </w:style>
  <w:style w:type="paragraph" w:customStyle="1" w:styleId="BodyTextRight">
    <w:name w:val="Body Text Right"/>
    <w:basedOn w:val="BodyText"/>
    <w:rsid w:val="00F7684A"/>
    <w:pPr>
      <w:spacing w:before="0" w:after="0"/>
      <w:jc w:val="right"/>
    </w:pPr>
  </w:style>
  <w:style w:type="paragraph" w:styleId="Index3">
    <w:name w:val="index 3"/>
    <w:basedOn w:val="ListNumber2"/>
    <w:next w:val="Normal"/>
    <w:semiHidden/>
    <w:rsid w:val="00F7684A"/>
    <w:pPr>
      <w:numPr>
        <w:numId w:val="0"/>
      </w:numPr>
      <w:tabs>
        <w:tab w:val="right" w:leader="dot" w:pos="4176"/>
      </w:tabs>
    </w:pPr>
  </w:style>
  <w:style w:type="paragraph" w:styleId="ListNumber2">
    <w:name w:val="List Number 2"/>
    <w:basedOn w:val="List2"/>
    <w:rsid w:val="00F7684A"/>
    <w:pPr>
      <w:numPr>
        <w:numId w:val="11"/>
      </w:numPr>
      <w:tabs>
        <w:tab w:val="clear" w:pos="1060"/>
      </w:tabs>
    </w:pPr>
  </w:style>
  <w:style w:type="paragraph" w:customStyle="1" w:styleId="MarginNote">
    <w:name w:val="Margin Note"/>
    <w:basedOn w:val="BodyText"/>
    <w:rsid w:val="00F768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8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8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684A"/>
    <w:rPr>
      <w:sz w:val="32"/>
    </w:rPr>
  </w:style>
  <w:style w:type="paragraph" w:customStyle="1" w:styleId="HeadingProcedure">
    <w:name w:val="Heading Procedure"/>
    <w:basedOn w:val="HeadingBase"/>
    <w:next w:val="Normal"/>
    <w:rsid w:val="00F7684A"/>
    <w:pPr>
      <w:tabs>
        <w:tab w:val="left" w:pos="0"/>
      </w:tabs>
      <w:spacing w:before="120" w:after="60"/>
    </w:pPr>
    <w:rPr>
      <w:i/>
      <w:color w:val="918585"/>
      <w:sz w:val="22"/>
    </w:rPr>
  </w:style>
  <w:style w:type="paragraph" w:customStyle="1" w:styleId="TableBodyText">
    <w:name w:val="Table Body Text"/>
    <w:basedOn w:val="BodyText"/>
    <w:rsid w:val="00F7684A"/>
    <w:pPr>
      <w:spacing w:before="60" w:after="60"/>
    </w:pPr>
  </w:style>
  <w:style w:type="paragraph" w:styleId="ListContinue">
    <w:name w:val="List Continue"/>
    <w:basedOn w:val="List"/>
    <w:rsid w:val="00F7684A"/>
    <w:pPr>
      <w:ind w:firstLine="0"/>
    </w:pPr>
  </w:style>
  <w:style w:type="paragraph" w:customStyle="1" w:styleId="ListNote">
    <w:name w:val="List Note"/>
    <w:basedOn w:val="List"/>
    <w:rsid w:val="00F7684A"/>
    <w:pPr>
      <w:pBdr>
        <w:top w:val="single" w:sz="6" w:space="2" w:color="918585"/>
        <w:bottom w:val="single" w:sz="6" w:space="2" w:color="918585"/>
      </w:pBdr>
      <w:tabs>
        <w:tab w:val="left" w:pos="1021"/>
      </w:tabs>
      <w:ind w:firstLine="0"/>
    </w:pPr>
  </w:style>
  <w:style w:type="paragraph" w:customStyle="1" w:styleId="Warning">
    <w:name w:val="Warning"/>
    <w:basedOn w:val="BodyText"/>
    <w:rsid w:val="00F7684A"/>
    <w:pPr>
      <w:shd w:val="clear" w:color="auto" w:fill="D9D9D9"/>
      <w:tabs>
        <w:tab w:val="left" w:pos="992"/>
      </w:tabs>
      <w:ind w:left="119" w:right="119"/>
    </w:pPr>
    <w:rPr>
      <w:sz w:val="20"/>
    </w:rPr>
  </w:style>
  <w:style w:type="paragraph" w:customStyle="1" w:styleId="MarginIcons">
    <w:name w:val="Margin Icons"/>
    <w:basedOn w:val="BodyText"/>
    <w:rsid w:val="00F768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84A"/>
    <w:rPr>
      <w:rFonts w:ascii="Courier New" w:hAnsi="Courier New"/>
    </w:rPr>
  </w:style>
  <w:style w:type="paragraph" w:customStyle="1" w:styleId="NoteBullet">
    <w:name w:val="Note Bullet"/>
    <w:basedOn w:val="Note"/>
    <w:rsid w:val="00F7684A"/>
    <w:pPr>
      <w:tabs>
        <w:tab w:val="clear" w:pos="680"/>
      </w:tabs>
      <w:spacing w:before="60" w:after="60"/>
    </w:pPr>
  </w:style>
  <w:style w:type="paragraph" w:customStyle="1" w:styleId="SubHeading2">
    <w:name w:val="SubHeading2"/>
    <w:basedOn w:val="HeadingBase"/>
    <w:rsid w:val="00F7684A"/>
    <w:pPr>
      <w:spacing w:before="240" w:after="60"/>
    </w:pPr>
    <w:rPr>
      <w:sz w:val="20"/>
    </w:rPr>
  </w:style>
  <w:style w:type="paragraph" w:customStyle="1" w:styleId="SubHeading1">
    <w:name w:val="SubHeading1"/>
    <w:basedOn w:val="HeadingBase"/>
    <w:rsid w:val="00F7684A"/>
    <w:pPr>
      <w:spacing w:before="240" w:after="60"/>
    </w:pPr>
    <w:rPr>
      <w:color w:val="918585"/>
      <w:sz w:val="22"/>
    </w:rPr>
  </w:style>
  <w:style w:type="paragraph" w:customStyle="1" w:styleId="SideHeading">
    <w:name w:val="Side Heading"/>
    <w:basedOn w:val="HeadingBase"/>
    <w:rsid w:val="00F768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84A"/>
    <w:pPr>
      <w:numPr>
        <w:numId w:val="13"/>
      </w:numPr>
    </w:pPr>
  </w:style>
  <w:style w:type="paragraph" w:styleId="PlainText">
    <w:name w:val="Plain Text"/>
    <w:basedOn w:val="Normal"/>
    <w:link w:val="PlainTextChar"/>
    <w:rsid w:val="00F7684A"/>
    <w:rPr>
      <w:sz w:val="20"/>
    </w:rPr>
  </w:style>
  <w:style w:type="character" w:customStyle="1" w:styleId="PlainTextChar">
    <w:name w:val="Plain Text Char"/>
    <w:basedOn w:val="DefaultParagraphFont"/>
    <w:link w:val="PlainText"/>
    <w:rsid w:val="00F7684A"/>
    <w:rPr>
      <w:rFonts w:ascii="Courier New" w:eastAsia="Times New Roman" w:hAnsi="Courier New" w:cs="Times New Roman"/>
      <w:sz w:val="20"/>
      <w:szCs w:val="20"/>
      <w:lang w:eastAsia="en-US"/>
    </w:rPr>
  </w:style>
  <w:style w:type="character" w:customStyle="1" w:styleId="MenuOption">
    <w:name w:val="Menu Option"/>
    <w:basedOn w:val="DefaultParagraphFont"/>
    <w:rsid w:val="00F7684A"/>
    <w:rPr>
      <w:b/>
      <w:smallCaps/>
    </w:rPr>
  </w:style>
  <w:style w:type="paragraph" w:customStyle="1" w:styleId="TableListNumber">
    <w:name w:val="Table List Number"/>
    <w:basedOn w:val="ListNumber"/>
    <w:rsid w:val="00F7684A"/>
    <w:pPr>
      <w:numPr>
        <w:numId w:val="0"/>
      </w:numPr>
    </w:pPr>
  </w:style>
  <w:style w:type="paragraph" w:styleId="TOC4">
    <w:name w:val="toc 4"/>
    <w:basedOn w:val="TOCBase"/>
    <w:next w:val="Normal"/>
    <w:semiHidden/>
    <w:rsid w:val="00F7684A"/>
    <w:pPr>
      <w:tabs>
        <w:tab w:val="right" w:leader="dot" w:pos="9071"/>
      </w:tabs>
      <w:ind w:left="1701"/>
    </w:pPr>
  </w:style>
  <w:style w:type="paragraph" w:customStyle="1" w:styleId="ListAlpha">
    <w:name w:val="List Alpha"/>
    <w:basedOn w:val="List"/>
    <w:rsid w:val="00F7684A"/>
    <w:pPr>
      <w:numPr>
        <w:numId w:val="10"/>
      </w:numPr>
    </w:pPr>
  </w:style>
  <w:style w:type="paragraph" w:customStyle="1" w:styleId="ListAlpha2">
    <w:name w:val="List Alpha 2"/>
    <w:basedOn w:val="List2"/>
    <w:rsid w:val="00F7684A"/>
    <w:pPr>
      <w:numPr>
        <w:numId w:val="9"/>
      </w:numPr>
    </w:pPr>
  </w:style>
  <w:style w:type="paragraph" w:styleId="List2">
    <w:name w:val="List 2"/>
    <w:basedOn w:val="BodyText"/>
    <w:rsid w:val="00F7684A"/>
    <w:pPr>
      <w:tabs>
        <w:tab w:val="left" w:pos="680"/>
      </w:tabs>
      <w:spacing w:before="60" w:after="60"/>
      <w:ind w:left="680" w:hanging="340"/>
    </w:pPr>
  </w:style>
  <w:style w:type="paragraph" w:styleId="List3">
    <w:name w:val="List 3"/>
    <w:basedOn w:val="BodyText"/>
    <w:rsid w:val="00F7684A"/>
    <w:pPr>
      <w:tabs>
        <w:tab w:val="left" w:pos="1021"/>
      </w:tabs>
      <w:spacing w:before="60" w:after="60"/>
      <w:ind w:left="1020" w:hanging="340"/>
    </w:pPr>
  </w:style>
  <w:style w:type="paragraph" w:styleId="List4">
    <w:name w:val="List 4"/>
    <w:basedOn w:val="BodyText"/>
    <w:rsid w:val="00F7684A"/>
    <w:pPr>
      <w:tabs>
        <w:tab w:val="left" w:pos="1361"/>
      </w:tabs>
      <w:spacing w:before="60" w:after="60"/>
      <w:ind w:left="1361" w:hanging="340"/>
    </w:pPr>
  </w:style>
  <w:style w:type="paragraph" w:styleId="List5">
    <w:name w:val="List 5"/>
    <w:basedOn w:val="BodyText"/>
    <w:rsid w:val="00F7684A"/>
    <w:pPr>
      <w:tabs>
        <w:tab w:val="left" w:pos="1701"/>
      </w:tabs>
      <w:spacing w:before="60" w:after="60"/>
      <w:ind w:left="1701" w:hanging="340"/>
    </w:pPr>
  </w:style>
  <w:style w:type="paragraph" w:styleId="ListBullet4">
    <w:name w:val="List Bullet 4"/>
    <w:basedOn w:val="List4"/>
    <w:rsid w:val="00F7684A"/>
    <w:pPr>
      <w:numPr>
        <w:numId w:val="4"/>
      </w:numPr>
    </w:pPr>
  </w:style>
  <w:style w:type="paragraph" w:styleId="ListBullet5">
    <w:name w:val="List Bullet 5"/>
    <w:basedOn w:val="List5"/>
    <w:rsid w:val="00F7684A"/>
    <w:pPr>
      <w:numPr>
        <w:numId w:val="5"/>
      </w:numPr>
    </w:pPr>
  </w:style>
  <w:style w:type="paragraph" w:styleId="ListContinue2">
    <w:name w:val="List Continue 2"/>
    <w:basedOn w:val="List2"/>
    <w:rsid w:val="00F7684A"/>
    <w:pPr>
      <w:ind w:firstLine="0"/>
    </w:pPr>
  </w:style>
  <w:style w:type="paragraph" w:styleId="ListContinue3">
    <w:name w:val="List Continue 3"/>
    <w:basedOn w:val="List3"/>
    <w:rsid w:val="00F7684A"/>
    <w:pPr>
      <w:ind w:left="1021" w:firstLine="0"/>
    </w:pPr>
  </w:style>
  <w:style w:type="paragraph" w:styleId="ListContinue4">
    <w:name w:val="List Continue 4"/>
    <w:basedOn w:val="List4"/>
    <w:rsid w:val="00F7684A"/>
    <w:pPr>
      <w:ind w:firstLine="0"/>
    </w:pPr>
  </w:style>
  <w:style w:type="paragraph" w:styleId="ListContinue5">
    <w:name w:val="List Continue 5"/>
    <w:basedOn w:val="List5"/>
    <w:rsid w:val="00F7684A"/>
    <w:pPr>
      <w:ind w:firstLine="0"/>
    </w:pPr>
  </w:style>
  <w:style w:type="paragraph" w:styleId="ListNumber3">
    <w:name w:val="List Number 3"/>
    <w:basedOn w:val="List3"/>
    <w:rsid w:val="00F7684A"/>
    <w:pPr>
      <w:numPr>
        <w:numId w:val="6"/>
      </w:numPr>
    </w:pPr>
  </w:style>
  <w:style w:type="paragraph" w:styleId="ListNumber4">
    <w:name w:val="List Number 4"/>
    <w:basedOn w:val="List4"/>
    <w:rsid w:val="00F7684A"/>
    <w:pPr>
      <w:numPr>
        <w:numId w:val="7"/>
      </w:numPr>
    </w:pPr>
  </w:style>
  <w:style w:type="paragraph" w:styleId="ListNumber5">
    <w:name w:val="List Number 5"/>
    <w:basedOn w:val="List5"/>
    <w:rsid w:val="00F7684A"/>
    <w:pPr>
      <w:numPr>
        <w:numId w:val="8"/>
      </w:numPr>
    </w:pPr>
  </w:style>
  <w:style w:type="paragraph" w:styleId="BlockText">
    <w:name w:val="Block Text"/>
    <w:basedOn w:val="Normal"/>
    <w:rsid w:val="00F7684A"/>
    <w:pPr>
      <w:spacing w:after="120"/>
      <w:ind w:left="1440" w:right="1440"/>
    </w:pPr>
  </w:style>
  <w:style w:type="character" w:customStyle="1" w:styleId="Subscript">
    <w:name w:val="Subscript"/>
    <w:basedOn w:val="DefaultParagraphFont"/>
    <w:rsid w:val="00F7684A"/>
    <w:rPr>
      <w:sz w:val="16"/>
      <w:vertAlign w:val="subscript"/>
    </w:rPr>
  </w:style>
  <w:style w:type="character" w:customStyle="1" w:styleId="Superscript">
    <w:name w:val="Superscript"/>
    <w:basedOn w:val="DefaultParagraphFont"/>
    <w:rsid w:val="00F7684A"/>
    <w:rPr>
      <w:sz w:val="16"/>
      <w:vertAlign w:val="superscript"/>
    </w:rPr>
  </w:style>
  <w:style w:type="character" w:customStyle="1" w:styleId="Symbols">
    <w:name w:val="Symbols"/>
    <w:basedOn w:val="DefaultParagraphFont"/>
    <w:rsid w:val="00F7684A"/>
    <w:rPr>
      <w:rFonts w:ascii="Symbol" w:hAnsi="Symbol"/>
    </w:rPr>
  </w:style>
  <w:style w:type="character" w:customStyle="1" w:styleId="MenuOptions">
    <w:name w:val="Menu Options"/>
    <w:basedOn w:val="DefaultParagraphFont"/>
    <w:rsid w:val="00F7684A"/>
    <w:rPr>
      <w:rFonts w:ascii="Arial Narrow" w:hAnsi="Arial Narrow"/>
      <w:smallCaps/>
    </w:rPr>
  </w:style>
  <w:style w:type="character" w:customStyle="1" w:styleId="Buttons">
    <w:name w:val="Buttons"/>
    <w:basedOn w:val="DefaultParagraphFont"/>
    <w:rsid w:val="00F7684A"/>
    <w:rPr>
      <w:b/>
    </w:rPr>
  </w:style>
  <w:style w:type="character" w:customStyle="1" w:styleId="Underlined">
    <w:name w:val="Underlined"/>
    <w:basedOn w:val="DefaultParagraphFont"/>
    <w:rsid w:val="00F7684A"/>
    <w:rPr>
      <w:u w:val="single"/>
    </w:rPr>
  </w:style>
  <w:style w:type="paragraph" w:customStyle="1" w:styleId="TableBodyTextRight">
    <w:name w:val="Table Body Text Right"/>
    <w:basedOn w:val="TableBodyText"/>
    <w:rsid w:val="00F7684A"/>
    <w:pPr>
      <w:widowControl w:val="0"/>
      <w:autoSpaceDE w:val="0"/>
      <w:autoSpaceDN w:val="0"/>
      <w:adjustRightInd w:val="0"/>
      <w:jc w:val="right"/>
    </w:pPr>
    <w:rPr>
      <w:rFonts w:cs="Arial"/>
      <w:szCs w:val="18"/>
    </w:rPr>
  </w:style>
  <w:style w:type="paragraph" w:customStyle="1" w:styleId="CopyrightText">
    <w:name w:val="Copyright Text"/>
    <w:basedOn w:val="BodyText"/>
    <w:rsid w:val="00F7684A"/>
    <w:rPr>
      <w:sz w:val="18"/>
    </w:rPr>
  </w:style>
  <w:style w:type="paragraph" w:customStyle="1" w:styleId="BodySmallRight">
    <w:name w:val="Body Small Right"/>
    <w:basedOn w:val="BodyTextRight"/>
    <w:rsid w:val="00F7684A"/>
    <w:rPr>
      <w:sz w:val="18"/>
      <w:szCs w:val="18"/>
    </w:rPr>
  </w:style>
  <w:style w:type="paragraph" w:customStyle="1" w:styleId="MarginEdition">
    <w:name w:val="Margin Edition"/>
    <w:basedOn w:val="MarginNote"/>
    <w:rsid w:val="00F7684A"/>
    <w:pPr>
      <w:spacing w:before="0" w:after="0"/>
    </w:pPr>
    <w:rPr>
      <w:rFonts w:ascii="Times New Roman" w:hAnsi="Times New Roman"/>
      <w:color w:val="999999"/>
    </w:rPr>
  </w:style>
  <w:style w:type="paragraph" w:customStyle="1" w:styleId="Spacer">
    <w:name w:val="Spacer"/>
    <w:basedOn w:val="Normal"/>
    <w:rsid w:val="00F7684A"/>
    <w:rPr>
      <w:sz w:val="2"/>
      <w:szCs w:val="2"/>
    </w:rPr>
  </w:style>
  <w:style w:type="character" w:customStyle="1" w:styleId="Small">
    <w:name w:val="Small"/>
    <w:basedOn w:val="DefaultParagraphFont"/>
    <w:rsid w:val="00F7684A"/>
    <w:rPr>
      <w:sz w:val="16"/>
    </w:rPr>
  </w:style>
  <w:style w:type="paragraph" w:customStyle="1" w:styleId="WideTable">
    <w:name w:val="Wide Table"/>
    <w:basedOn w:val="Normal"/>
    <w:rsid w:val="00F7684A"/>
    <w:pPr>
      <w:ind w:left="-1418"/>
    </w:pPr>
    <w:rPr>
      <w:sz w:val="2"/>
      <w:szCs w:val="2"/>
    </w:rPr>
  </w:style>
  <w:style w:type="character" w:styleId="PageNumber">
    <w:name w:val="page number"/>
    <w:basedOn w:val="DefaultParagraphFont"/>
    <w:rsid w:val="00F7684A"/>
  </w:style>
  <w:style w:type="paragraph" w:styleId="Quote">
    <w:name w:val="Quote"/>
    <w:basedOn w:val="Heading1"/>
    <w:link w:val="QuoteChar"/>
    <w:qFormat/>
    <w:rsid w:val="00F7684A"/>
    <w:rPr>
      <w:b w:val="0"/>
      <w:sz w:val="72"/>
      <w:szCs w:val="72"/>
      <w:lang w:val="en-NZ"/>
    </w:rPr>
  </w:style>
  <w:style w:type="character" w:customStyle="1" w:styleId="QuoteChar">
    <w:name w:val="Quote Char"/>
    <w:basedOn w:val="DefaultParagraphFont"/>
    <w:link w:val="Quote"/>
    <w:rsid w:val="00F768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84A"/>
    <w:pPr>
      <w:pageBreakBefore/>
    </w:pPr>
  </w:style>
  <w:style w:type="paragraph" w:customStyle="1" w:styleId="Border">
    <w:name w:val="Border"/>
    <w:basedOn w:val="Normal"/>
    <w:qFormat/>
    <w:rsid w:val="00F768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84A"/>
    <w:rPr>
      <w:b/>
      <w:bCs/>
      <w:i/>
      <w:iCs/>
      <w:color w:val="auto"/>
    </w:rPr>
  </w:style>
  <w:style w:type="paragraph" w:styleId="IntenseQuote">
    <w:name w:val="Intense Quote"/>
    <w:basedOn w:val="Normal"/>
    <w:next w:val="Normal"/>
    <w:link w:val="IntenseQuoteChar"/>
    <w:uiPriority w:val="30"/>
    <w:qFormat/>
    <w:rsid w:val="00F768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8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684A"/>
    <w:rPr>
      <w:smallCaps/>
      <w:color w:val="auto"/>
      <w:u w:val="single"/>
    </w:rPr>
  </w:style>
  <w:style w:type="character" w:styleId="IntenseReference">
    <w:name w:val="Intense Reference"/>
    <w:basedOn w:val="DefaultParagraphFont"/>
    <w:uiPriority w:val="32"/>
    <w:qFormat/>
    <w:rsid w:val="00F7684A"/>
    <w:rPr>
      <w:b/>
      <w:bCs/>
      <w:smallCaps/>
      <w:color w:val="auto"/>
      <w:spacing w:val="5"/>
      <w:u w:val="single"/>
    </w:rPr>
  </w:style>
  <w:style w:type="paragraph" w:customStyle="1" w:styleId="2ColumnHeading">
    <w:name w:val="2Column Heading"/>
    <w:basedOn w:val="BodyText"/>
    <w:qFormat/>
    <w:rsid w:val="00F7684A"/>
    <w:pPr>
      <w:spacing w:after="60"/>
      <w:ind w:left="-2268"/>
    </w:pPr>
    <w:rPr>
      <w:b/>
    </w:rPr>
  </w:style>
  <w:style w:type="paragraph" w:customStyle="1" w:styleId="Heading1TOC">
    <w:name w:val="Heading1 TOC"/>
    <w:basedOn w:val="Normal"/>
    <w:qFormat/>
    <w:rsid w:val="00F7684A"/>
    <w:pPr>
      <w:spacing w:before="240" w:after="120"/>
    </w:pPr>
    <w:rPr>
      <w:rFonts w:ascii="Times New Roman" w:hAnsi="Times New Roman"/>
      <w:b/>
      <w:sz w:val="32"/>
    </w:rPr>
  </w:style>
  <w:style w:type="paragraph" w:customStyle="1" w:styleId="Heading2TOC">
    <w:name w:val="Heading2 TOC"/>
    <w:basedOn w:val="Normal"/>
    <w:qFormat/>
    <w:rsid w:val="00F7684A"/>
    <w:pPr>
      <w:spacing w:before="240" w:after="60"/>
    </w:pPr>
    <w:rPr>
      <w:rFonts w:ascii="Times New Roman" w:hAnsi="Times New Roman"/>
      <w:b/>
      <w:sz w:val="28"/>
    </w:rPr>
  </w:style>
  <w:style w:type="character" w:customStyle="1" w:styleId="Underline">
    <w:name w:val="Underline"/>
    <w:basedOn w:val="DefaultParagraphFont"/>
    <w:qFormat/>
    <w:rsid w:val="00F7684A"/>
    <w:rPr>
      <w:u w:val="single"/>
    </w:rPr>
  </w:style>
  <w:style w:type="character" w:customStyle="1" w:styleId="BoldandItalics">
    <w:name w:val="Bold and Italics"/>
    <w:qFormat/>
    <w:rsid w:val="00F7684A"/>
    <w:rPr>
      <w:b/>
      <w:i/>
      <w:u w:val="none"/>
    </w:rPr>
  </w:style>
  <w:style w:type="paragraph" w:styleId="BalloonText">
    <w:name w:val="Balloon Text"/>
    <w:basedOn w:val="Normal"/>
    <w:link w:val="BalloonTextChar"/>
    <w:rsid w:val="00F7684A"/>
    <w:rPr>
      <w:rFonts w:ascii="Tahoma" w:hAnsi="Tahoma" w:cs="Tahoma"/>
      <w:sz w:val="16"/>
      <w:szCs w:val="16"/>
    </w:rPr>
  </w:style>
  <w:style w:type="character" w:customStyle="1" w:styleId="BalloonTextChar">
    <w:name w:val="Balloon Text Char"/>
    <w:basedOn w:val="DefaultParagraphFont"/>
    <w:link w:val="BalloonText"/>
    <w:rsid w:val="00F768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68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68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684A"/>
    <w:rPr>
      <w:b/>
      <w:color w:val="660033"/>
      <w:spacing w:val="0"/>
    </w:rPr>
  </w:style>
  <w:style w:type="paragraph" w:customStyle="1" w:styleId="Nameditemlist">
    <w:name w:val="Named item list"/>
    <w:basedOn w:val="BodyText"/>
    <w:qFormat/>
    <w:rsid w:val="00F768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3429</Words>
  <Characters>21641</Characters>
  <Application>Microsoft Office Word</Application>
  <DocSecurity>0</DocSecurity>
  <Lines>747</Lines>
  <Paragraphs>262</Paragraphs>
  <ScaleCrop>false</ScaleCrop>
  <Company>Author-it Software Corporation Ltd.</Company>
  <LinksUpToDate>false</LinksUpToDate>
  <CharactersWithSpaces>24888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UETTDRIS62A Implement and monitor the power system organisational OHS policies, procedures and programs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2012-10-11T20:10:00Z</dcterms:created>
  <dcterms:modified xsi:type="dcterms:W3CDTF">2012-10-11T20:10:00Z</dcterms:modified>
</cp:coreProperties>
</file>