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942" w:rsidP="00AE6942">
      <w:pPr>
        <w:pStyle w:val="Title"/>
      </w:pPr>
      <w:r>
        <w:fldChar w:fldCharType="begin"/>
      </w:r>
      <w:r>
        <w:instrText xml:space="preserve"> TITLE   \* MERGEFORMAT </w:instrText>
      </w:r>
      <w:r>
        <w:fldChar w:fldCharType="separate"/>
      </w:r>
      <w:r>
        <w:t>UETTDRIS61A Install mobile generation set for synchronised LV Genset</w:t>
      </w:r>
      <w:r>
        <w:fldChar w:fldCharType="end"/>
      </w:r>
    </w:p>
    <w:p w:rsidR="00AE6942" w:rsidP="00AE6942">
      <w:pPr>
        <w:pStyle w:val="Version"/>
        <w:sectPr w:rsidSect="00E55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90D" w:rsidP="00E5590D">
      <w:pPr>
        <w:pStyle w:val="SuperHeading"/>
      </w:pPr>
      <w:r w:rsidRPr="00E5590D">
        <w:t>UETTDRIS61A Install mobile generation set for synchronised LV Genset</w:t>
      </w:r>
    </w:p>
    <w:p w:rsidR="00000000" w:rsidRPr="00E5590D" w:rsidP="00E5590D">
      <w:pPr>
        <w:pStyle w:val="Heading1"/>
      </w:pPr>
      <w:bookmarkStart w:id="1" w:name="O_462761"/>
      <w:bookmarkEnd w:id="1"/>
      <w:r w:rsidRPr="00E5590D">
        <w:t>Modification History</w:t>
      </w:r>
    </w:p>
    <w:p w:rsidR="00000000" w:rsidRPr="00E5590D" w:rsidP="00E5590D">
      <w:pPr>
        <w:pStyle w:val="BodyText"/>
      </w:pPr>
      <w:r w:rsidRPr="00E5590D">
        <w:t>Not applicable.</w:t>
      </w:r>
    </w:p>
    <w:p w:rsidR="00000000" w:rsidRPr="00E5590D" w:rsidP="00E5590D">
      <w:pPr>
        <w:pStyle w:val="AllowPageBreak"/>
      </w:pPr>
    </w:p>
    <w:p w:rsidR="00000000" w:rsidRPr="00E5590D" w:rsidP="00E5590D">
      <w:pPr>
        <w:pStyle w:val="Heading1"/>
      </w:pPr>
      <w:bookmarkStart w:id="2" w:name="O_462759"/>
      <w:bookmarkEnd w:id="2"/>
      <w:r w:rsidRPr="00E5590D">
        <w:t>Unit Descriptor</w:t>
      </w:r>
    </w:p>
    <w:tbl>
      <w:tblPr>
        <w:tblW w:w="0" w:type="auto"/>
        <w:tblLayout w:type="fixed"/>
        <w:tblCellMar>
          <w:left w:w="62" w:type="dxa"/>
          <w:right w:w="62" w:type="dxa"/>
        </w:tblCellMar>
        <w:tblLook w:val="0000"/>
      </w:tblPr>
      <w:tblGrid>
        <w:gridCol w:w="2700"/>
        <w:gridCol w:w="5760"/>
      </w:tblGrid>
      <w:tr w:rsidTr="00AE69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Unit Descri</w:t>
            </w:r>
            <w:r w:rsidRPr="00E5590D">
              <w:rPr>
                <w:rStyle w:val="SpecialBold"/>
              </w:rPr>
              <w:t>ptor</w:t>
            </w:r>
          </w:p>
        </w:tc>
        <w:tc>
          <w:tcPr>
            <w:tcW w:w="57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1)</w:t>
            </w:r>
            <w:r w:rsidRPr="00E5590D">
              <w:t xml:space="preserve"> </w:t>
            </w:r>
            <w:r w:rsidRPr="00E5590D">
              <w:rPr>
                <w:rStyle w:val="SpecialBold"/>
              </w:rPr>
              <w:t>Scope: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590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1.1) Descriptor</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 xml:space="preserve">This Competency Standard Unit covers installation of temporary portable generation sets to LV distribution assets thereby maintaining supply </w:t>
            </w:r>
            <w:r w:rsidRPr="00E5590D">
              <w:t xml:space="preserve">in accordance with requirements, industry regulations, and established procedures. It encompasses the operation, connection and disconnection of a temporary portable generator and includes the estimation of LV load and assessing the appropriateness of the </w:t>
            </w:r>
            <w:r w:rsidRPr="00E5590D">
              <w:t>generator for the required outcome.</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3" w:name="O_462748"/>
      <w:bookmarkEnd w:id="3"/>
      <w:r w:rsidRPr="00E5590D">
        <w:t>Application of the Unit</w:t>
      </w:r>
    </w:p>
    <w:tbl>
      <w:tblPr>
        <w:tblW w:w="0" w:type="auto"/>
        <w:tblLayout w:type="fixed"/>
        <w:tblCellMar>
          <w:left w:w="62" w:type="dxa"/>
          <w:right w:w="62" w:type="dxa"/>
        </w:tblCellMar>
        <w:tblLook w:val="0000"/>
      </w:tblPr>
      <w:tblGrid>
        <w:gridCol w:w="2672"/>
        <w:gridCol w:w="5699"/>
      </w:tblGrid>
      <w:tr w:rsidTr="00AE694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2)</w:t>
            </w:r>
          </w:p>
        </w:tc>
      </w:tr>
      <w:tr w:rsidTr="00AE694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 xml:space="preserve">This Competency Standard Unit is intended to augment formally acquired competencies. It is suitable for employment-based programs under an </w:t>
            </w:r>
            <w:r w:rsidRPr="00E5590D">
              <w:t>approved contract of training.</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4" w:name="O_462755"/>
      <w:bookmarkEnd w:id="4"/>
      <w:r w:rsidRPr="00E5590D">
        <w:t>Licensing/Regulatory Information</w:t>
      </w:r>
    </w:p>
    <w:tbl>
      <w:tblPr>
        <w:tblW w:w="0" w:type="auto"/>
        <w:tblLayout w:type="fixed"/>
        <w:tblCellMar>
          <w:left w:w="62" w:type="dxa"/>
          <w:right w:w="62" w:type="dxa"/>
        </w:tblCellMar>
        <w:tblLook w:val="0000"/>
      </w:tblPr>
      <w:tblGrid>
        <w:gridCol w:w="2700"/>
        <w:gridCol w:w="5760"/>
      </w:tblGrid>
      <w:tr w:rsidTr="00AE69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 xml:space="preserve">3)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 xml:space="preserve">The skills and knowledge described in this unit may require a licence/registration to practice in the work place subject to regulations for </w:t>
            </w:r>
            <w:r w:rsidRPr="00E5590D">
              <w:t>undertaking of electrical work. Practice in workplace and during training is also subject to regulations directly related to Occupational Health and Safety, electricity/telecommunications/gas/water industry safety and compliance, industrial relations, envi</w:t>
            </w:r>
            <w:r w:rsidRPr="00E5590D">
              <w:t xml:space="preserve">ronmental </w:t>
            </w:r>
            <w:r w:rsidRPr="00E5590D">
              <w:t>protection, anti discrimination and training. Commonwealth, State/Territory or Local Government legislation and regulations may exist that limits the age of operating certain equipment.</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5" w:name="O_462756"/>
      <w:bookmarkEnd w:id="5"/>
      <w:r w:rsidRPr="00E5590D">
        <w:t>Pre-Requisites</w:t>
      </w:r>
    </w:p>
    <w:tbl>
      <w:tblPr>
        <w:tblW w:w="0" w:type="auto"/>
        <w:tblLayout w:type="fixed"/>
        <w:tblCellMar>
          <w:left w:w="62" w:type="dxa"/>
          <w:right w:w="62" w:type="dxa"/>
        </w:tblCellMar>
        <w:tblLook w:val="0000"/>
      </w:tblPr>
      <w:tblGrid>
        <w:gridCol w:w="2700"/>
        <w:gridCol w:w="1800"/>
        <w:gridCol w:w="3960"/>
      </w:tblGrid>
      <w:tr w:rsidTr="00AE69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 xml:space="preserve">4)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4.1)</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Granting of competency in this unit shall be made only after competency in the following unit(s) has/have been confirmed.</w:t>
            </w:r>
          </w:p>
          <w:p w:rsidR="00000000" w:rsidRPr="00E5590D" w:rsidP="00E5590D">
            <w:pPr>
              <w:pStyle w:val="BodyText"/>
            </w:pPr>
            <w:r w:rsidRPr="00E5590D">
              <w:t>Where pre-requisite pathways have been identified. All competencies in the Common Unit Group must be have been completed plus all the competencies in one (1) of the identified Pathway Unit Group(s):</w:t>
            </w:r>
          </w:p>
          <w:p w:rsidR="00000000" w:rsidRPr="00E5590D" w:rsidP="00E5590D">
            <w:pPr>
              <w:pStyle w:val="BodyText"/>
            </w:pPr>
            <w:r w:rsidRPr="00E5590D">
              <w:t>Transmission Overhead</w:t>
            </w:r>
          </w:p>
          <w:p w:rsidR="00000000" w:rsidRPr="00E5590D" w:rsidP="00E5590D">
            <w:pPr>
              <w:pStyle w:val="BodyText"/>
            </w:pPr>
            <w:r w:rsidRPr="00E5590D">
              <w:t>Distribution Overhead</w:t>
            </w:r>
          </w:p>
          <w:p w:rsidR="00000000" w:rsidRPr="00E5590D" w:rsidP="00E5590D">
            <w:pPr>
              <w:pStyle w:val="BodyText"/>
            </w:pPr>
            <w:r w:rsidRPr="00E5590D">
              <w:t>Rail Traction</w:t>
            </w:r>
          </w:p>
          <w:p w:rsidR="00000000" w:rsidRPr="00E5590D" w:rsidP="00E5590D">
            <w:pPr>
              <w:pStyle w:val="BodyText"/>
            </w:pPr>
            <w:r w:rsidRPr="00E5590D">
              <w:t>Distribution Cable Jointing</w:t>
            </w:r>
          </w:p>
          <w:p w:rsidR="00000000" w:rsidRPr="00E5590D" w:rsidP="00E5590D">
            <w:pPr>
              <w:pStyle w:val="BodyText"/>
            </w:pPr>
            <w:r w:rsidRPr="00E5590D">
              <w:t>Electrotechnology Electrician</w:t>
            </w:r>
          </w:p>
          <w:p w:rsidR="00000000" w:rsidP="00E5590D">
            <w:pPr>
              <w:pStyle w:val="BodyText"/>
              <w:rPr>
                <w:lang w:val="en-NZ"/>
              </w:rPr>
            </w:pPr>
            <w:r w:rsidRPr="00E5590D">
              <w:t>Common Unit Group</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Code</w:t>
            </w:r>
          </w:p>
        </w:tc>
        <w:tc>
          <w:tcPr>
            <w:tcW w:w="39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Title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Apply Occupational Health and Safety regulations, codes and practices in the workplace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Fabricate, assemble and dismantle utilities industry components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Solve problems in d.c. Circuits</w:t>
            </w:r>
          </w:p>
        </w:tc>
      </w:tr>
      <w:tr w:rsidTr="00AE694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Fix and secure electrotechnology equipment</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Use drawings, diagrams, schedules, standards, codes and specifications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Solve problems in electromagnetic devices and related circuits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Solve problems in low voltage a.c. Circuits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Working safely near live electrical apparatus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 xml:space="preserve">Transmission Overhead Pathway Group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Code</w:t>
            </w:r>
          </w:p>
        </w:tc>
        <w:tc>
          <w:tcPr>
            <w:tcW w:w="39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Title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Apply sustainable energy and environmental procedures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Operate plant and equipment near live electrical conductors and apparatus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and maintain poles, structures, overhead conductors and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UETTDRTP26A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transmission structures and associated hardware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UETTDRTP27A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Maintain transmission structures and associated hardware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UETTDRTP29A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and maintain transmission overhead conductors and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Distribution Overhead Pathway Gr</w:t>
            </w:r>
            <w:r w:rsidRPr="00E5590D">
              <w:t>oup</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Code</w:t>
            </w:r>
          </w:p>
        </w:tc>
        <w:tc>
          <w:tcPr>
            <w:tcW w:w="39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Title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UETTDRDP12A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Maintain overhead energised low voltage conductors and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Apply sustainable energy and environmental procedures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Operate plant and equipment near live electrical conductors and apparatus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UETTDRIS41A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network infrastructure electrical equipment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UETTDRIS42A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Maintain network infrastructure electrical equipment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Install and maintain poles, stru</w:t>
            </w:r>
            <w:r w:rsidRPr="00E5590D">
              <w:t>ctures and associated hardware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and maintain poles, structures, overhead conductors and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UETTDRIS56A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and maintain low voltage overhead services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Rail Traction Pathway Group</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Code</w:t>
            </w:r>
          </w:p>
        </w:tc>
        <w:tc>
          <w:tcPr>
            <w:tcW w:w="39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Title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Apply sustainable energy and environmental procedures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Operate plant and equipment near live electrical conductors and apparatus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Install and maintain poles, structures and associated hardware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and maintain poles, structures, overhead conductors and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UETTDRRT21A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traction overhead wiring systems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UETTDRRT22A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Maintain traction overhead wiring systems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UETTDRRT23A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rail traction bonds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UETTDRRT27A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Install overhe</w:t>
            </w:r>
            <w:r w:rsidRPr="00E5590D">
              <w:t xml:space="preserve">ad traction components and equipment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UETTDRRT28A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Maintain overhead traction components and equipment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Distribution Cable Jointing Pathway Group</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Code</w:t>
            </w:r>
          </w:p>
        </w:tc>
        <w:tc>
          <w:tcPr>
            <w:tcW w:w="39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Title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UETTDRCJ21A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Lay ESI electrical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UETTDRCJ26A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and maintain de-energised low voltage underground polymeric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UETTDRCJ27A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and maintain de-energised high voltage underground polymeric cables.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Apply sustainable energy and environmental procedures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Operate plant and equipment near live electrical conductors and apparatus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UETTDRIS41A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Install network infrastructure electrical equipment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UETTDRIS42A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 xml:space="preserve">Maintain network infrastructure electrical equipment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UETTDRIS55A</w:t>
            </w:r>
          </w:p>
        </w:tc>
        <w:tc>
          <w:tcPr>
            <w:tcW w:w="3960" w:type="dxa"/>
            <w:tcBorders>
              <w:top w:val="nil"/>
              <w:left w:val="nil"/>
              <w:bottom w:val="nil"/>
              <w:right w:val="nil"/>
            </w:tcBorders>
            <w:tcMar>
              <w:top w:w="0" w:type="dxa"/>
              <w:left w:w="62" w:type="dxa"/>
              <w:bottom w:w="0" w:type="dxa"/>
              <w:right w:w="62" w:type="dxa"/>
            </w:tcMar>
            <w:vAlign w:val="bottom"/>
          </w:tcPr>
          <w:p w:rsidR="00000000" w:rsidP="00E5590D">
            <w:pPr>
              <w:pStyle w:val="BodyText"/>
              <w:rPr>
                <w:lang w:val="en-NZ"/>
              </w:rPr>
            </w:pPr>
            <w:r w:rsidRPr="00E5590D">
              <w:t>Install and maintain low voltage</w:t>
            </w:r>
            <w:r w:rsidRPr="00E5590D">
              <w:t xml:space="preserve"> underground services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Electrotechnology Electrician Pathway Group</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Code</w:t>
            </w:r>
          </w:p>
        </w:tc>
        <w:tc>
          <w:tcPr>
            <w:tcW w:w="39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Unit Title</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UEENEEE137A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Document and apply measures to control OHS risks associated with electrotechnology work</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UEENEEG006A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Solve problems in single and three phase low voltage machines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UEENEEG033A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Solve problems in single and three phase electrical apparatus and circuits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UEENEEG063A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Arrange circuits, control and protection for general electrical installations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UEENEEG103A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Install low voltage wiring and accessories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UEENEEG104A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Install appliances, switchgear and associated accessories for low voltage electrical installations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UEENEEG106A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Terminate cables, cords and accessories for low voltage circuits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UEENEEG107A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Select wiring systems and cables for low voltage general electrical installations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UEENEEG108A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Trouble-shoot and repair faults in low voltage electrical apparatus and circuits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UEENEEG109A</w:t>
            </w:r>
          </w:p>
        </w:tc>
        <w:tc>
          <w:tcPr>
            <w:tcW w:w="396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Develop and connect electrical control circuits</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5590D">
            <w:pPr>
              <w:pStyle w:val="BodyText"/>
              <w:rPr>
                <w:lang w:val="en-NZ"/>
              </w:rPr>
            </w:pPr>
            <w:r w:rsidRPr="00E5590D">
              <w:t>UEENEEK142A</w:t>
            </w:r>
          </w:p>
        </w:tc>
        <w:tc>
          <w:tcPr>
            <w:tcW w:w="3960" w:type="dxa"/>
            <w:tcBorders>
              <w:top w:val="nil"/>
              <w:left w:val="nil"/>
              <w:bottom w:val="nil"/>
              <w:right w:val="nil"/>
            </w:tcBorders>
            <w:tcMar>
              <w:top w:w="0" w:type="dxa"/>
              <w:left w:w="62" w:type="dxa"/>
              <w:bottom w:w="0" w:type="dxa"/>
              <w:right w:w="62" w:type="dxa"/>
            </w:tcMar>
            <w:vAlign w:val="center"/>
          </w:tcPr>
          <w:p w:rsidR="00000000" w:rsidRPr="00E5590D" w:rsidP="00E5590D">
            <w:pPr>
              <w:pStyle w:val="BodyText"/>
            </w:pPr>
            <w:r w:rsidRPr="00E5590D">
              <w:t>App</w:t>
            </w:r>
            <w:r w:rsidRPr="00E5590D">
              <w:t>ly environmentally and sustainable energy procedures in the energy sector</w:t>
            </w:r>
          </w:p>
        </w:tc>
      </w:tr>
    </w:tbl>
    <w:p w:rsidR="00000000" w:rsidRPr="00E5590D" w:rsidP="00E5590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E694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 xml:space="preserve">4.2)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Participants are best equipped to achieve this unit if they have reading, writing and numeracy skills indicated by the following scales. Description of each scale is given in Volume 2, Part 3 “Literacy and Numeracy”</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Reading</w:t>
            </w:r>
          </w:p>
        </w:tc>
        <w:tc>
          <w:tcPr>
            <w:tcW w:w="81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w:t>
            </w:r>
          </w:p>
        </w:tc>
        <w:tc>
          <w:tcPr>
            <w:tcW w:w="99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Writing</w:t>
            </w:r>
          </w:p>
        </w:tc>
        <w:tc>
          <w:tcPr>
            <w:tcW w:w="9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w:t>
            </w:r>
          </w:p>
        </w:tc>
        <w:tc>
          <w:tcPr>
            <w:tcW w:w="12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Numeracy</w:t>
            </w:r>
          </w:p>
        </w:tc>
        <w:tc>
          <w:tcPr>
            <w:tcW w:w="72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3</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6" w:name="O_462752"/>
      <w:bookmarkEnd w:id="6"/>
      <w:r w:rsidRPr="00E5590D">
        <w:t>Employability Skills Information</w:t>
      </w:r>
    </w:p>
    <w:tbl>
      <w:tblPr>
        <w:tblW w:w="0" w:type="auto"/>
        <w:tblLayout w:type="fixed"/>
        <w:tblCellMar>
          <w:left w:w="62" w:type="dxa"/>
          <w:right w:w="62" w:type="dxa"/>
        </w:tblCellMar>
        <w:tblLook w:val="0000"/>
      </w:tblPr>
      <w:tblGrid>
        <w:gridCol w:w="2700"/>
        <w:gridCol w:w="5760"/>
      </w:tblGrid>
      <w:tr w:rsidTr="00AE69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 xml:space="preserve">5)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 xml:space="preserve">The required outcomes described in this unit of competency contain applicable facets of Employability Skills. The Employability Skills Summary </w:t>
            </w:r>
            <w:r w:rsidRPr="00E5590D">
              <w:t>of the qualification in which this unit of competency is packaged will assist in identifying Employability Skill requirements.</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7" w:name="O_462751"/>
      <w:bookmarkEnd w:id="7"/>
      <w:r w:rsidRPr="00E5590D">
        <w:t>Elements and Performance Criteria Pre-Content</w:t>
      </w:r>
    </w:p>
    <w:tbl>
      <w:tblPr>
        <w:tblW w:w="0" w:type="auto"/>
        <w:tblLayout w:type="fixed"/>
        <w:tblCellMar>
          <w:left w:w="62" w:type="dxa"/>
          <w:right w:w="62" w:type="dxa"/>
        </w:tblCellMar>
        <w:tblLook w:val="0000"/>
      </w:tblPr>
      <w:tblGrid>
        <w:gridCol w:w="2700"/>
        <w:gridCol w:w="5760"/>
      </w:tblGrid>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6)</w:t>
            </w:r>
            <w:r w:rsidRPr="00E5590D">
              <w:t xml:space="preserve"> Elements describe the essential outcomes of a competency stan</w:t>
            </w:r>
            <w:r w:rsidRPr="00E5590D">
              <w:t>dard unit</w:t>
            </w:r>
          </w:p>
        </w:tc>
        <w:tc>
          <w:tcPr>
            <w:tcW w:w="57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Performance Criteria describe the required performance needed to demonstrate achievement of the element. Assessment of performance is to be consistent with the Evidence Guide.</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8" w:name="O_462750"/>
      <w:bookmarkEnd w:id="8"/>
      <w:r w:rsidRPr="00E5590D">
        <w:t>Elements and Performance Criteria</w:t>
      </w:r>
    </w:p>
    <w:tbl>
      <w:tblPr>
        <w:tblW w:w="0" w:type="auto"/>
        <w:tblLayout w:type="fixed"/>
        <w:tblCellMar>
          <w:left w:w="62" w:type="dxa"/>
          <w:right w:w="62" w:type="dxa"/>
        </w:tblCellMar>
        <w:tblLook w:val="0000"/>
      </w:tblPr>
      <w:tblGrid>
        <w:gridCol w:w="409"/>
        <w:gridCol w:w="2291"/>
        <w:gridCol w:w="851"/>
        <w:gridCol w:w="4909"/>
      </w:tblGrid>
      <w:tr w:rsidTr="00AE694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PERFORMA</w:t>
            </w:r>
            <w:r w:rsidRPr="00E5590D">
              <w:rPr>
                <w:rStyle w:val="SpecialBold"/>
              </w:rPr>
              <w:t>NCE CRITERIA</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w:t>
            </w:r>
          </w:p>
        </w:tc>
        <w:tc>
          <w:tcPr>
            <w:tcW w:w="229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Prepare/plan to install mobile generation set for synchronised genset LV</w:t>
            </w: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1.1</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 xml:space="preserve">Works schedule(s), including drawings, plans, requirements, established procedures, and material lists, are received, analysed, if necessary, </w:t>
            </w:r>
            <w:r w:rsidRPr="00E5590D">
              <w:t>by site inspection and the extent of the preparation of the work determined for planning and coordination.</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1.2</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Relevant requirements and established procedures for the work are communicated to all personnel and identified for all work sites.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1.3</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 xml:space="preserve">OHS </w:t>
            </w:r>
            <w:r w:rsidRPr="00E5590D">
              <w:t>policies and procedures related to the work are used and actioned to ensure safe systems of work are followed.</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1.4</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Work is prioritised and sequenced for the most efficient and effective outcome following consultation with others for completion within acceptable timeframes, to a quality standard and in accordance with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1.5</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Hazards are identifie</w:t>
            </w:r>
            <w:r w:rsidRPr="00E5590D">
              <w:t>d, OHS risks assessed and control measures are prioritised, implemented and monitored including emergency exits kept clear according to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1.6</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Relevant work permits are secured to coordinate the performance of work according to requ</w:t>
            </w:r>
            <w:r w:rsidRPr="00E5590D">
              <w:t>irements and/or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1.7</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Resources including personnel, equipment, tools and personnel protective equipment required for the job are identified, scheduled and coordinated and confirmed in a safe and technical working order.</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1.8</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Clients/customers are provided with alternative methods within the scope, acceptable cost and requirements.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1.9</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Liaison and communication issues with other/authorised personnel, authorities, clients and land owners are resolved and activities coordinate</w:t>
            </w:r>
            <w:r w:rsidRPr="00E5590D">
              <w:t>d to carry out work.</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1.10</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Site is prepared according to the work schedule and to minimise risk and damage to property, commerce, and individuals in accordance with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1.11</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Personnel participating in the work, including plant oper</w:t>
            </w:r>
            <w:r w:rsidRPr="00E5590D">
              <w:t>ators and contractors, are fully briefed and respective responsibilities coordinated and authorised where applicable in accordance with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1.12</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Positioning of road signs, barr</w:t>
            </w:r>
            <w:r w:rsidRPr="00E5590D">
              <w:t>iers and warning devices is planned in accordance with requirements.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w:t>
            </w:r>
          </w:p>
        </w:tc>
        <w:tc>
          <w:tcPr>
            <w:tcW w:w="229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Carry out the installation of mobile generation set for synchronised genset LV</w:t>
            </w: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2.1</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OHS and sustainable energy principles and practices to reduce the incidents of accidents and minimise</w:t>
            </w:r>
            <w:r w:rsidRPr="00E5590D">
              <w:t xml:space="preserve"> waste are monitored and actioned in accordance with requirements and/or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2.2</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First Aid and other related work procedures are performed according to requirements and/or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2.3</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 xml:space="preserve">Lifting, climbing, working in </w:t>
            </w:r>
            <w:r w:rsidRPr="00E5590D">
              <w:t>confined spaces and aloft, rescue procedures and use of power tools/equipment, techniques and practices are safely exercised according to requirements.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2.4</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Hazard warnings and safety signs are recognised and hazards and assessed OHS risks are reported t</w:t>
            </w:r>
            <w:r w:rsidRPr="00E5590D">
              <w:t>o the immediate authorised persons for directions according to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2.5</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Remedial actions are taken to overcome any shortfalls encountered in the work schedule according to requirements and/or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2.6</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The installation of mobile generation set for synchronised genset LV is carried out, in accordance with the work schedule and requirements and/or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2.7</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 xml:space="preserve">Essential knowledge and associated skills are applied in the safe installation </w:t>
            </w:r>
            <w:r w:rsidRPr="00E5590D">
              <w:t>of mobile generation set for synchronised genset LV to ensure completion in an agreed timeframe and, to quality standards with a minimum of waste according to requirements.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2.8</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Solutions to non-routine problems are identified and actioned using acquired</w:t>
            </w:r>
            <w:r w:rsidRPr="00E5590D">
              <w:t xml:space="preserve"> essential knowledge and associated skills according to requirements.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2.9</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 xml:space="preserve">Ongoing checks of quality of the work are undertaken in accordance with requirements and established procedures to ensure a quality like outcome </w:t>
            </w:r>
            <w:r w:rsidRPr="00E5590D">
              <w:t>is achieved for the client/customer and to a community/industry standard.</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w:t>
            </w:r>
          </w:p>
        </w:tc>
        <w:tc>
          <w:tcPr>
            <w:tcW w:w="2291" w:type="dxa"/>
            <w:vMerge w:val="restart"/>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Complete the installation of mobile generation set for synchronised genset LV</w:t>
            </w: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3.1</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Work undertaken is checked against works schedule for conformance with requirements, anomalies re</w:t>
            </w:r>
            <w:r w:rsidRPr="00E5590D">
              <w:t>ported and solutions identified in accordance with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3.2</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Accidents and/or injuries are reported in accordance with requirements/established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3.3</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Work site is rehabilitated, cleaned up and confirmed safe in accordance with established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3.4</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Tools, equipment and any surplus resources and materials are, where appropriate, cleaned, checked and returned to storage in accordance with establi</w:t>
            </w:r>
            <w:r w:rsidRPr="00E5590D">
              <w:t>shed procedures.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3.5</w:t>
            </w:r>
          </w:p>
        </w:tc>
        <w:tc>
          <w:tcPr>
            <w:tcW w:w="4909"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Relevant work permit(s) are signed off and, synchronised genset LV apparatus is returned to service and advised to client/customer in accordance with requirements.</w:t>
            </w:r>
          </w:p>
        </w:tc>
      </w:tr>
      <w:tr w:rsidTr="00AE6942">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t>3.6</w:t>
            </w:r>
          </w:p>
        </w:tc>
        <w:tc>
          <w:tcPr>
            <w:tcW w:w="4909"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Works completion records, reports, as installed /modified drawing(s) and/or documentation and information are confirmed, processed and appropriate personnel notified.</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9" w:name="O_462758"/>
      <w:bookmarkEnd w:id="9"/>
      <w:r w:rsidRPr="00E5590D">
        <w:t>Required Skills and Knowledge</w:t>
      </w:r>
    </w:p>
    <w:tbl>
      <w:tblPr>
        <w:tblW w:w="0" w:type="auto"/>
        <w:tblLayout w:type="fixed"/>
        <w:tblCellMar>
          <w:left w:w="62" w:type="dxa"/>
          <w:right w:w="62" w:type="dxa"/>
        </w:tblCellMar>
        <w:tblLook w:val="0000"/>
      </w:tblPr>
      <w:tblGrid>
        <w:gridCol w:w="8460"/>
      </w:tblGrid>
      <w:tr w:rsidTr="00AE69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REQUIRED SKILLS AND KNOWLEDGE</w:t>
            </w:r>
          </w:p>
        </w:tc>
      </w:tr>
      <w:tr w:rsidTr="00AE694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8)</w:t>
            </w:r>
            <w:r w:rsidRPr="00E5590D">
              <w:t xml:space="preserve"> Essent</w:t>
            </w:r>
            <w:r w:rsidRPr="00E5590D">
              <w:t>ial Knowledge and Associated Skills (EKAS): This describes the essential skills and knowledge and their level, required for this unit.</w:t>
            </w:r>
          </w:p>
          <w:p w:rsidR="00000000" w:rsidRPr="00E5590D" w:rsidP="00E5590D">
            <w:pPr>
              <w:pStyle w:val="BodyText"/>
            </w:pPr>
            <w:r w:rsidRPr="00E5590D">
              <w:t>Evidence shall show that knowledge has been acquired of installing mobile generation set for synchronised genset LV.</w:t>
            </w:r>
          </w:p>
          <w:p w:rsidR="00000000" w:rsidRPr="00E5590D" w:rsidP="00E5590D">
            <w:pPr>
              <w:pStyle w:val="BodyText"/>
            </w:pPr>
            <w:r w:rsidRPr="00E5590D">
              <w:t xml:space="preserve">All </w:t>
            </w:r>
            <w:r w:rsidRPr="00E5590D">
              <w:t>knowledge and skills detailed in this unit should be contextualised to current industry practices and technologies.</w:t>
            </w:r>
          </w:p>
          <w:p w:rsidR="00000000" w:rsidRPr="00E5590D" w:rsidP="00E5590D">
            <w:pPr>
              <w:pStyle w:val="BodyText"/>
            </w:pPr>
            <w:r w:rsidRPr="00E5590D">
              <w:t xml:space="preserve">KS01-TIS61A </w:t>
            </w:r>
            <w:r w:rsidRPr="00E5590D">
              <w:tab/>
              <w:t xml:space="preserve">LV mobile generator  </w:t>
            </w:r>
          </w:p>
          <w:p w:rsidR="00000000" w:rsidRPr="00E5590D" w:rsidP="00E5590D">
            <w:pPr>
              <w:pStyle w:val="BodyText"/>
            </w:pPr>
            <w:r w:rsidRPr="00E5590D">
              <w:t>Evidence shall show an understanding of the installation and control of a mobile generator to an extent i</w:t>
            </w:r>
            <w:r w:rsidRPr="00E5590D">
              <w:t>ndicated by the following aspects:</w:t>
            </w:r>
          </w:p>
          <w:p w:rsidR="00000000" w:rsidRPr="00E5590D" w:rsidP="00E5590D">
            <w:pPr>
              <w:pStyle w:val="BodyText"/>
            </w:pPr>
            <w:r w:rsidRPr="00E5590D">
              <w:t>T1</w:t>
            </w:r>
            <w:r w:rsidRPr="00E5590D">
              <w:tab/>
              <w:t xml:space="preserve">Safety precautions specific to installing mobile generators encompassing: </w:t>
            </w:r>
          </w:p>
          <w:p w:rsidR="00000000" w:rsidRPr="00E5590D" w:rsidP="00E5590D">
            <w:pPr>
              <w:pStyle w:val="ListBullet"/>
            </w:pPr>
            <w:r w:rsidRPr="00E5590D">
              <w:t xml:space="preserve">Safe working practices and procedures </w:t>
            </w:r>
          </w:p>
          <w:p w:rsidR="00000000" w:rsidRPr="00E5590D" w:rsidP="00E5590D">
            <w:pPr>
              <w:pStyle w:val="ListBullet"/>
            </w:pPr>
            <w:r w:rsidRPr="00E5590D">
              <w:t xml:space="preserve">Techniques in connecting, operating and disconnecting generators </w:t>
            </w:r>
          </w:p>
          <w:p w:rsidR="00000000" w:rsidRPr="00E5590D" w:rsidP="00E5590D">
            <w:pPr>
              <w:pStyle w:val="ListBullet"/>
            </w:pPr>
            <w:r w:rsidRPr="00E5590D">
              <w:t xml:space="preserve">Types of tools and equipment </w:t>
            </w:r>
          </w:p>
          <w:p w:rsidR="00000000" w:rsidRPr="00E5590D" w:rsidP="00E5590D">
            <w:pPr>
              <w:pStyle w:val="ListBullet"/>
            </w:pPr>
            <w:r w:rsidRPr="00E5590D">
              <w:t xml:space="preserve">Safe use of tools and equipment </w:t>
            </w:r>
          </w:p>
          <w:p w:rsidR="00000000" w:rsidRPr="00E5590D" w:rsidP="00E5590D">
            <w:pPr>
              <w:pStyle w:val="BodyText"/>
            </w:pPr>
            <w:r w:rsidRPr="00E5590D">
              <w:t>T2</w:t>
            </w:r>
            <w:r w:rsidRPr="00E5590D">
              <w:tab/>
              <w:t xml:space="preserve">Techniques in the installation of gensets encompassing: </w:t>
            </w:r>
          </w:p>
          <w:p w:rsidR="00000000" w:rsidRPr="00E5590D" w:rsidP="00E5590D">
            <w:pPr>
              <w:pStyle w:val="ListBullet"/>
            </w:pPr>
            <w:r w:rsidRPr="00E5590D">
              <w:t>The synchronising of generator control systems onto and off the network without interruption to supply</w:t>
            </w:r>
          </w:p>
          <w:p w:rsidR="00000000" w:rsidRPr="00E5590D" w:rsidP="00E5590D">
            <w:pPr>
              <w:pStyle w:val="ListBullet"/>
            </w:pPr>
            <w:r w:rsidRPr="00E5590D">
              <w:t xml:space="preserve">Estimation of LV load </w:t>
            </w:r>
          </w:p>
          <w:p w:rsidR="00000000" w:rsidRPr="00E5590D" w:rsidP="00E5590D">
            <w:pPr>
              <w:pStyle w:val="ListBullet"/>
            </w:pPr>
            <w:r w:rsidRPr="00E5590D">
              <w:t>Assessing the appropriateness of the</w:t>
            </w:r>
            <w:r w:rsidRPr="00E5590D">
              <w:t xml:space="preserve"> generator </w:t>
            </w:r>
          </w:p>
          <w:p w:rsidR="00000000" w:rsidRPr="00E5590D" w:rsidP="00E5590D">
            <w:pPr>
              <w:pStyle w:val="BodyText"/>
            </w:pPr>
            <w:r w:rsidRPr="00E5590D">
              <w:t>T3</w:t>
            </w:r>
            <w:r w:rsidRPr="00E5590D">
              <w:tab/>
              <w:t>Operating a generator in parallel to a single LV job encompassing:</w:t>
            </w:r>
          </w:p>
          <w:p w:rsidR="00000000" w:rsidRPr="00E5590D" w:rsidP="00E5590D">
            <w:pPr>
              <w:pStyle w:val="ListBullet"/>
            </w:pPr>
            <w:r w:rsidRPr="00E5590D">
              <w:t>Overhead systems</w:t>
            </w:r>
          </w:p>
          <w:p w:rsidR="00000000" w:rsidRPr="00E5590D" w:rsidP="00E5590D">
            <w:pPr>
              <w:pStyle w:val="ListBullet"/>
            </w:pPr>
            <w:r w:rsidRPr="00E5590D">
              <w:t>Indoor systems</w:t>
            </w:r>
          </w:p>
          <w:p w:rsidR="00000000" w:rsidRPr="00E5590D" w:rsidP="00E5590D">
            <w:pPr>
              <w:pStyle w:val="ListBullet"/>
            </w:pPr>
            <w:r w:rsidRPr="00E5590D">
              <w:t>Customer Installations</w:t>
            </w:r>
          </w:p>
          <w:p w:rsidR="00000000" w:rsidRPr="00E5590D" w:rsidP="00E5590D">
            <w:pPr>
              <w:pStyle w:val="ListBullet"/>
            </w:pPr>
            <w:r w:rsidRPr="00E5590D">
              <w:t>Kiosk Substations</w:t>
            </w:r>
          </w:p>
          <w:p w:rsidR="00000000" w:rsidRPr="00E5590D" w:rsidP="00E5590D">
            <w:pPr>
              <w:pStyle w:val="ListBullet"/>
            </w:pPr>
            <w:r w:rsidRPr="00E5590D">
              <w:t>LV genset and control system to LV Distribution assets</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10" w:name="O_462753"/>
      <w:bookmarkEnd w:id="10"/>
      <w:r w:rsidRPr="00E5590D">
        <w:t>Evidence Guide</w:t>
      </w:r>
    </w:p>
    <w:tbl>
      <w:tblPr>
        <w:tblW w:w="0" w:type="auto"/>
        <w:tblLayout w:type="fixed"/>
        <w:tblCellMar>
          <w:left w:w="62" w:type="dxa"/>
          <w:right w:w="62" w:type="dxa"/>
        </w:tblCellMar>
        <w:tblLook w:val="0000"/>
      </w:tblPr>
      <w:tblGrid>
        <w:gridCol w:w="8460"/>
      </w:tblGrid>
      <w:tr w:rsidTr="00AE69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EVIDENCE GUIDE</w:t>
            </w:r>
          </w:p>
        </w:tc>
      </w:tr>
      <w:tr w:rsidTr="00AE69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9)</w:t>
            </w:r>
            <w:r w:rsidRPr="00E5590D">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E5590D" w:rsidP="00E5590D">
            <w:pPr>
              <w:pStyle w:val="BodyText"/>
            </w:pPr>
            <w:r w:rsidRPr="00E5590D">
              <w:t>The E</w:t>
            </w:r>
            <w:r w:rsidRPr="00E5590D">
              <w:t>vidence Guide forms an integral part of this Competency Standard Unit and shall be used in conjunction with all component parts of this unit and, performed in accordance with the Assessment Guidelines of this Training Package.</w:t>
            </w:r>
          </w:p>
        </w:tc>
      </w:tr>
    </w:tbl>
    <w:p w:rsidR="00000000" w:rsidRPr="00E5590D" w:rsidP="00E5590D">
      <w:pPr>
        <w:pStyle w:val="BodyText"/>
      </w:pPr>
    </w:p>
    <w:tbl>
      <w:tblPr>
        <w:tblW w:w="0" w:type="auto"/>
        <w:tblLayout w:type="fixed"/>
        <w:tblCellMar>
          <w:left w:w="62" w:type="dxa"/>
          <w:right w:w="62" w:type="dxa"/>
        </w:tblCellMar>
        <w:tblLook w:val="0000"/>
      </w:tblPr>
      <w:tblGrid>
        <w:gridCol w:w="1890"/>
        <w:gridCol w:w="6570"/>
      </w:tblGrid>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9.1)</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 xml:space="preserve">Longitudinal competency development approaches to assessment, such as Profiling, require data to be reliably gathered in a form that can be </w:t>
            </w:r>
            <w:r w:rsidRPr="00E5590D">
              <w:t>consistently interpreted over time. This approach is best utilised in Apprenticeship programs and reduces assessment intervention. It is the Industry’s preferred model for apprenticeships. However, where summative (or final) assessment is used it is to inc</w:t>
            </w:r>
            <w:r w:rsidRPr="00E5590D">
              <w:t>lude the application of the competency in the normal work environment or, at a minimum, the application of the competency in a realistically simulated work environment. It is recognised that, in some circumstances, assessment in part or full can occur outs</w:t>
            </w:r>
            <w:r w:rsidRPr="00E5590D">
              <w:t>ide the workplace. However, it must be in accord with Industry and, Regulatory policy in this regard.</w:t>
            </w:r>
          </w:p>
          <w:p w:rsidR="00000000" w:rsidRPr="00E5590D" w:rsidP="00E5590D">
            <w:pPr>
              <w:pStyle w:val="BodyText"/>
            </w:pPr>
            <w:r w:rsidRPr="00E5590D">
              <w:t>Methods chosen for a particular assessment will be influenced by various factors. These include the extent of the assessment, the most effective locations</w:t>
            </w:r>
            <w:r w:rsidRPr="00E5590D">
              <w:t xml:space="preserve"> for the assessment activities to take place, access to physical resources, additional safety measures that may be required and the critical nature of the competencies being assessed.</w:t>
            </w:r>
          </w:p>
          <w:p w:rsidR="00000000" w:rsidRPr="00E5590D" w:rsidP="00E5590D">
            <w:pPr>
              <w:pStyle w:val="BodyText"/>
            </w:pPr>
            <w:r w:rsidRPr="00E5590D">
              <w:t>The critical safety nature of working with electricity, electrical equip</w:t>
            </w:r>
            <w:r w:rsidRPr="00E5590D">
              <w:t>ment, gas or any other hazardous substance/material carries risk in deeming a person competent. Hence, sources of evidence need to be ‘rich’ in nature so as to minimise error in judgment.</w:t>
            </w:r>
          </w:p>
          <w:p w:rsidR="00000000" w:rsidRPr="00E5590D" w:rsidP="00E5590D">
            <w:pPr>
              <w:pStyle w:val="BodyText"/>
            </w:pPr>
            <w:r w:rsidRPr="00E5590D">
              <w:t>Activities associated with normal every day work have a bearing on t</w:t>
            </w:r>
            <w:r w:rsidRPr="00E5590D">
              <w:t>he decision as to how much and how detailed the data gathered will contribute to its ‘richness’. Some skills are more critical to safety and operational requirements while the same skills may be more or less frequently practiced. These points are raised fo</w:t>
            </w:r>
            <w:r w:rsidRPr="00E5590D">
              <w:t>r the assessors to consider when choosing an assessment method and developing assessment instruments. Sample assessment instruments are included for Assessors in the Assessment Guidelines of this Training Package.</w:t>
            </w:r>
          </w:p>
        </w:tc>
      </w:tr>
    </w:tbl>
    <w:p w:rsidR="00000000" w:rsidRPr="00E5590D" w:rsidP="00E5590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Critical aspects of evidence required to</w:t>
            </w:r>
            <w:r w:rsidRPr="00E5590D">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9.2)</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Before the critical aspects of evidence are considered all prerequisites shall be met.</w:t>
            </w:r>
          </w:p>
          <w:p w:rsidR="00000000" w:rsidRPr="00E5590D" w:rsidP="00E5590D">
            <w:pPr>
              <w:pStyle w:val="BodyText"/>
            </w:pPr>
            <w:r w:rsidRPr="00E5590D">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E5590D" w:rsidP="00E5590D">
            <w:pPr>
              <w:pStyle w:val="ListBullet"/>
            </w:pPr>
            <w:r w:rsidRPr="00E5590D">
              <w:t>A</w:t>
            </w:r>
            <w:r w:rsidRPr="00E5590D">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E5590D" w:rsidP="00E5590D">
            <w:pPr>
              <w:pStyle w:val="ListBullet2"/>
            </w:pPr>
            <w:r w:rsidRPr="00E5590D">
              <w:t>Implement Occu</w:t>
            </w:r>
            <w:r w:rsidRPr="00E5590D">
              <w:t>pational Health and Safety workplace procedures and practices including the use of risk control measures as specified in the Performance Criteria and range; and</w:t>
            </w:r>
          </w:p>
          <w:p w:rsidR="00000000" w:rsidRPr="00E5590D" w:rsidP="00E5590D">
            <w:pPr>
              <w:pStyle w:val="ListBullet2"/>
            </w:pPr>
            <w:r w:rsidRPr="00E5590D">
              <w:t xml:space="preserve">Apply sustainable energy principles and practices as specified in the Performance Criteria and </w:t>
            </w:r>
            <w:r w:rsidRPr="00E5590D">
              <w:t>range; and</w:t>
            </w:r>
          </w:p>
          <w:p w:rsidR="00000000" w:rsidRPr="00E5590D" w:rsidP="00E5590D">
            <w:pPr>
              <w:pStyle w:val="ListBullet2"/>
            </w:pPr>
            <w:r w:rsidRPr="00E5590D">
              <w:t>Demonstrate an understanding of the essential knowledge and associated skills as described in this unit to such an extent that the learner’s performance outcome is reported in accordance with the preferred approach; namely a percentile graded re</w:t>
            </w:r>
            <w:r w:rsidRPr="00E5590D">
              <w:t>sult, where required by the regulated environment; and</w:t>
            </w:r>
          </w:p>
          <w:p w:rsidR="00000000" w:rsidRPr="00E5590D" w:rsidP="00E5590D">
            <w:pPr>
              <w:pStyle w:val="ListBullet2"/>
            </w:pPr>
            <w:r w:rsidRPr="00E5590D">
              <w:t>Demonstrate an appropriate level of employability skills; and</w:t>
            </w:r>
          </w:p>
          <w:p w:rsidR="00000000" w:rsidRPr="00E5590D" w:rsidP="00E5590D">
            <w:pPr>
              <w:pStyle w:val="ListBullet"/>
            </w:pPr>
            <w:r w:rsidRPr="00E5590D">
              <w:t>Conduct work observing the relevant Anti Discrimination legislation, regulations, policies and workplace procedures; and</w:t>
            </w:r>
          </w:p>
          <w:p w:rsidR="00000000" w:rsidP="00E5590D">
            <w:pPr>
              <w:pStyle w:val="ListBullet2"/>
              <w:rPr>
                <w:lang w:val="en-NZ"/>
              </w:rPr>
            </w:pPr>
            <w:r w:rsidRPr="00E5590D">
              <w:t>Demonstrated per</w:t>
            </w:r>
            <w:r w:rsidRPr="00E5590D">
              <w:t>formance across a representative range of contexts from the prescribed items below:</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5590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rPr>
                <w:rStyle w:val="SpecialBold"/>
              </w:rPr>
              <w:t>Range of tools/equipment/materials/procedures/workplaces/other variables</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5590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0D" w:rsidP="00E5590D">
            <w:pPr>
              <w:pStyle w:val="BodyText"/>
            </w:pPr>
            <w:r w:rsidRPr="00E5590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0D" w:rsidP="00E5590D">
            <w:pPr>
              <w:pStyle w:val="BodyText"/>
            </w:pPr>
            <w:r w:rsidRPr="00E5590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rPr>
                <w:rStyle w:val="SpecialBold"/>
              </w:rPr>
              <w:t>Item List</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0D" w:rsidP="00E5590D">
            <w:pPr>
              <w:pStyle w:val="BodyText"/>
            </w:pPr>
            <w:r w:rsidRPr="00E5590D">
              <w:t xml:space="preserve">Operation of the generator </w:t>
            </w:r>
          </w:p>
          <w:p w:rsidR="00000000" w:rsidRPr="00E5590D" w:rsidP="00E5590D">
            <w:pPr>
              <w:pStyle w:val="BodyText"/>
            </w:pPr>
            <w:r w:rsidRPr="00E5590D">
              <w:t>Connection of the generator</w:t>
            </w:r>
          </w:p>
          <w:p w:rsidR="00000000" w:rsidP="00E5590D">
            <w:pPr>
              <w:pStyle w:val="BodyText"/>
              <w:rPr>
                <w:lang w:val="en-NZ"/>
              </w:rPr>
            </w:pPr>
            <w:r w:rsidRPr="00E5590D">
              <w:t>Disconnection of the generator</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0D" w:rsidP="00E5590D">
            <w:pPr>
              <w:pStyle w:val="BodyText"/>
            </w:pPr>
            <w:r w:rsidRPr="00E5590D">
              <w:t>The synchronising of generator control systems onto the network without interruption to supply</w:t>
            </w:r>
          </w:p>
          <w:p w:rsidR="00000000" w:rsidP="00E5590D">
            <w:pPr>
              <w:pStyle w:val="BodyText"/>
              <w:rPr>
                <w:lang w:val="en-NZ"/>
              </w:rPr>
            </w:pPr>
            <w:r w:rsidRPr="00E5590D">
              <w:t>The synchronising of gen</w:t>
            </w:r>
            <w:r w:rsidRPr="00E5590D">
              <w:t>erator control systems off the network without interruption to supply</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0D" w:rsidP="00E5590D">
            <w:pPr>
              <w:pStyle w:val="BodyText"/>
            </w:pPr>
            <w:r w:rsidRPr="00E5590D">
              <w:t>Estimation of LV load of the generator</w:t>
            </w:r>
          </w:p>
          <w:p w:rsidR="00000000" w:rsidP="00E5590D">
            <w:pPr>
              <w:pStyle w:val="BodyText"/>
              <w:rPr>
                <w:lang w:val="en-NZ"/>
              </w:rPr>
            </w:pPr>
            <w:r w:rsidRPr="00E5590D">
              <w:t>Assessing the appropriateness of the generator</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Operating a generator in parallel to a si</w:t>
            </w:r>
            <w:r w:rsidRPr="00E5590D">
              <w:t>ngle LV job</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0D">
            <w:pPr>
              <w:pStyle w:val="BodyText"/>
              <w:rPr>
                <w:lang w:val="en-NZ"/>
              </w:rPr>
            </w:pPr>
            <w:r w:rsidRPr="00E5590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0D" w:rsidP="00E5590D">
            <w:pPr>
              <w:pStyle w:val="BodyText"/>
            </w:pPr>
            <w:r w:rsidRPr="00E5590D">
              <w:t>Dealing with an unplanned event by drawing on essential knowledge and associated skills to provide appropriate solutions incorporated in the holistic assessment with the above listed items.</w:t>
            </w:r>
          </w:p>
        </w:tc>
      </w:tr>
    </w:tbl>
    <w:p w:rsidR="00000000" w:rsidRPr="00E5590D" w:rsidP="00E5590D">
      <w:pPr>
        <w:pStyle w:val="BodyText"/>
      </w:pPr>
    </w:p>
    <w:tbl>
      <w:tblPr>
        <w:tblW w:w="0" w:type="auto"/>
        <w:tblLayout w:type="fixed"/>
        <w:tblCellMar>
          <w:left w:w="62" w:type="dxa"/>
          <w:right w:w="62" w:type="dxa"/>
        </w:tblCellMar>
        <w:tblLook w:val="0000"/>
      </w:tblPr>
      <w:tblGrid>
        <w:gridCol w:w="1890"/>
        <w:gridCol w:w="6570"/>
      </w:tblGrid>
      <w:tr w:rsidTr="00AE694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Context of and specific r</w:t>
            </w:r>
            <w:r w:rsidRPr="00E5590D">
              <w:rPr>
                <w:rStyle w:val="SpecialBold"/>
              </w:rPr>
              <w:t>esources for assessment</w:t>
            </w:r>
          </w:p>
        </w:tc>
        <w:tc>
          <w:tcPr>
            <w:tcW w:w="657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9.3)</w:t>
            </w:r>
          </w:p>
        </w:tc>
      </w:tr>
      <w:tr w:rsidTr="00AE694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This unit should be assessed as it relates to normal work practice using procedures, information and resources typical of a workplace. This should include:</w:t>
            </w:r>
          </w:p>
          <w:p w:rsidR="00000000" w:rsidRPr="00E5590D" w:rsidP="00E5590D">
            <w:pPr>
              <w:pStyle w:val="ListBullet"/>
            </w:pPr>
            <w:r w:rsidRPr="00E5590D">
              <w:t>OHS policy and work procedures and instructions.</w:t>
            </w:r>
          </w:p>
          <w:p w:rsidR="00000000" w:rsidRPr="00E5590D" w:rsidP="00E5590D">
            <w:pPr>
              <w:pStyle w:val="ListBullet"/>
            </w:pPr>
            <w:r w:rsidRPr="00E5590D">
              <w:t xml:space="preserve">Suitable work environment, facilities, equipment and materials to undertake actual installation of a synchronised generation set. </w:t>
            </w:r>
          </w:p>
          <w:p w:rsidR="00000000" w:rsidRPr="00E5590D" w:rsidP="00E5590D">
            <w:pPr>
              <w:pStyle w:val="BodyText"/>
            </w:pPr>
            <w:r w:rsidRPr="00E5590D">
              <w:t>In addition to the resources listed above, in Context of and specific resources for assessment, evidence should show demonstr</w:t>
            </w:r>
            <w:r w:rsidRPr="00E5590D">
              <w:t>ated competency working below ground, in limited spaces, with different structural/construction types and method and in a variety of environments.</w:t>
            </w:r>
          </w:p>
        </w:tc>
      </w:tr>
    </w:tbl>
    <w:p w:rsidR="00000000" w:rsidRPr="00E5590D" w:rsidP="00E5590D">
      <w:pPr>
        <w:pStyle w:val="BodyText"/>
      </w:pPr>
    </w:p>
    <w:tbl>
      <w:tblPr>
        <w:tblW w:w="0" w:type="auto"/>
        <w:tblLayout w:type="fixed"/>
        <w:tblCellMar>
          <w:left w:w="62" w:type="dxa"/>
          <w:right w:w="62" w:type="dxa"/>
        </w:tblCellMar>
        <w:tblLook w:val="0000"/>
      </w:tblPr>
      <w:tblGrid>
        <w:gridCol w:w="1890"/>
        <w:gridCol w:w="6570"/>
      </w:tblGrid>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9.4)</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This Competency Standard Unit shall be assessed by methods given in Volume 1, Part 3 “Assessment Guidelines”.</w:t>
            </w:r>
          </w:p>
          <w:p w:rsidR="00000000" w:rsidRPr="00E5590D" w:rsidP="00E5590D">
            <w:pPr>
              <w:pStyle w:val="BodyText"/>
            </w:pPr>
            <w:r w:rsidRPr="00E5590D">
              <w:t>Note:</w:t>
            </w:r>
          </w:p>
          <w:p w:rsidR="00000000" w:rsidRPr="00E5590D" w:rsidP="00E5590D">
            <w:pPr>
              <w:pStyle w:val="BodyText"/>
            </w:pPr>
            <w:r w:rsidRPr="00E5590D">
              <w:t xml:space="preserve">Competent performance with inherent safe working practices is expected in the Industry to which this Competency Standard Unit applies. This </w:t>
            </w:r>
            <w:r w:rsidRPr="00E5590D">
              <w:t>requires that the specified essential knowledge and associated skills are assessed in a structured environment which is primarily intended for learning/assessment and incorporates all necessary equipment and facilities for learners to develop and demonstra</w:t>
            </w:r>
            <w:r w:rsidRPr="00E5590D">
              <w:t>te the essential knowledge and associated  skills described in this unit.</w:t>
            </w:r>
          </w:p>
        </w:tc>
      </w:tr>
    </w:tbl>
    <w:p w:rsidR="00000000" w:rsidRPr="00E5590D" w:rsidP="00E5590D">
      <w:pPr>
        <w:pStyle w:val="BodyText"/>
      </w:pPr>
    </w:p>
    <w:tbl>
      <w:tblPr>
        <w:tblW w:w="0" w:type="auto"/>
        <w:tblLayout w:type="fixed"/>
        <w:tblCellMar>
          <w:left w:w="62" w:type="dxa"/>
          <w:right w:w="62" w:type="dxa"/>
        </w:tblCellMar>
        <w:tblLook w:val="0000"/>
      </w:tblPr>
      <w:tblGrid>
        <w:gridCol w:w="1890"/>
        <w:gridCol w:w="6570"/>
      </w:tblGrid>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9.5)</w:t>
            </w:r>
          </w:p>
        </w:tc>
      </w:tr>
      <w:tr w:rsidTr="00AE694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There are no concurrent assessment recommendations for this unit.</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11" w:name="O_462757"/>
      <w:bookmarkEnd w:id="11"/>
      <w:r w:rsidRPr="00E5590D">
        <w:t>Range Statement</w:t>
      </w:r>
    </w:p>
    <w:tbl>
      <w:tblPr>
        <w:tblW w:w="0" w:type="auto"/>
        <w:tblLayout w:type="fixed"/>
        <w:tblCellMar>
          <w:left w:w="62" w:type="dxa"/>
          <w:right w:w="62" w:type="dxa"/>
        </w:tblCellMar>
        <w:tblLook w:val="0000"/>
      </w:tblPr>
      <w:tblGrid>
        <w:gridCol w:w="8460"/>
      </w:tblGrid>
      <w:tr w:rsidTr="00AE69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RANGE STATEMENT</w:t>
            </w:r>
          </w:p>
        </w:tc>
      </w:tr>
      <w:tr w:rsidTr="00AE69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10)</w:t>
            </w:r>
            <w:r w:rsidRPr="00E5590D">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E5590D" w:rsidP="00E5590D">
            <w:pPr>
              <w:pStyle w:val="BodyText"/>
            </w:pPr>
            <w:r w:rsidRPr="00E5590D">
              <w:t>This Competency Standard Unit shall be demonstrated in relation to the installation of temporary portable generation sets to LV distribution assets for maintenance of supply that is in accord with requirements, industry regulations and established procedur</w:t>
            </w:r>
            <w:r w:rsidRPr="00E5590D">
              <w:t>es. It includes the operation, connection and disconnection of a temporary portable generator and includes the estimation of LV load and assessing the appropriateness of the generator for the required outcome, and may include the following:</w:t>
            </w:r>
          </w:p>
          <w:p w:rsidR="00000000" w:rsidRPr="00E5590D" w:rsidP="00E5590D">
            <w:pPr>
              <w:pStyle w:val="BodyText"/>
            </w:pPr>
            <w:r w:rsidRPr="00E5590D">
              <w:t>Overhead system</w:t>
            </w:r>
            <w:r w:rsidRPr="00E5590D">
              <w:t>s, Indoor systems, Customer Installations, Kiosk Substations, LV genset and control system to LV Distribution assets.</w:t>
            </w:r>
          </w:p>
          <w:p w:rsidR="00000000" w:rsidRPr="00E5590D" w:rsidP="00E5590D">
            <w:pPr>
              <w:pStyle w:val="BodyText"/>
            </w:pPr>
            <w:r w:rsidRPr="00E5590D">
              <w:t>The following constants and variables included in the element/Performance Criteria in this unit are fully described in the Definitions Sec</w:t>
            </w:r>
            <w:r w:rsidRPr="00E5590D">
              <w:t>tion 1 of this volume and form an integral part of the Range Statement of this unit:</w:t>
            </w:r>
          </w:p>
          <w:p w:rsidR="00000000" w:rsidRPr="00E5590D" w:rsidP="00E5590D">
            <w:pPr>
              <w:pStyle w:val="ListBullet3"/>
            </w:pPr>
            <w:r w:rsidRPr="00E5590D">
              <w:t>Appropriate and relevant persons (see Personnel)</w:t>
            </w:r>
          </w:p>
          <w:p w:rsidR="00000000" w:rsidRPr="00E5590D" w:rsidP="00E5590D">
            <w:pPr>
              <w:pStyle w:val="ListBullet3"/>
            </w:pPr>
            <w:r w:rsidRPr="00E5590D">
              <w:t>Appropriate authorities</w:t>
            </w:r>
          </w:p>
          <w:p w:rsidR="00000000" w:rsidRPr="00E5590D" w:rsidP="00E5590D">
            <w:pPr>
              <w:pStyle w:val="ListBullet3"/>
            </w:pPr>
            <w:r w:rsidRPr="00E5590D">
              <w:t>Appropriate work platform</w:t>
            </w:r>
          </w:p>
          <w:p w:rsidR="00000000" w:rsidRPr="00E5590D" w:rsidP="00E5590D">
            <w:pPr>
              <w:pStyle w:val="ListBullet3"/>
            </w:pPr>
            <w:r w:rsidRPr="00E5590D">
              <w:t>Assessing risk</w:t>
            </w:r>
          </w:p>
          <w:p w:rsidR="00000000" w:rsidRPr="00E5590D" w:rsidP="00E5590D">
            <w:pPr>
              <w:pStyle w:val="ListBullet3"/>
            </w:pPr>
            <w:r w:rsidRPr="00E5590D">
              <w:t>Assessment</w:t>
            </w:r>
          </w:p>
          <w:p w:rsidR="00000000" w:rsidRPr="00E5590D" w:rsidP="00E5590D">
            <w:pPr>
              <w:pStyle w:val="ListBullet3"/>
            </w:pPr>
            <w:r w:rsidRPr="00E5590D">
              <w:t>Authorisation</w:t>
            </w:r>
          </w:p>
          <w:p w:rsidR="00000000" w:rsidRPr="00E5590D" w:rsidP="00E5590D">
            <w:pPr>
              <w:pStyle w:val="ListBullet3"/>
            </w:pPr>
            <w:r w:rsidRPr="00E5590D">
              <w:t>Confined space</w:t>
            </w:r>
          </w:p>
          <w:p w:rsidR="00000000" w:rsidRPr="00E5590D" w:rsidP="00E5590D">
            <w:pPr>
              <w:pStyle w:val="ListBullet3"/>
            </w:pPr>
            <w:r w:rsidRPr="00E5590D">
              <w:t>Diagnostic, test</w:t>
            </w:r>
            <w:r w:rsidRPr="00E5590D">
              <w:t>ing and restoration</w:t>
            </w:r>
          </w:p>
          <w:p w:rsidR="00000000" w:rsidRPr="00E5590D" w:rsidP="00E5590D">
            <w:pPr>
              <w:pStyle w:val="ListBullet3"/>
            </w:pPr>
            <w:r w:rsidRPr="00E5590D">
              <w:t>Documenting detail work events, record keeping and or storage of information</w:t>
            </w:r>
          </w:p>
          <w:p w:rsidR="00000000" w:rsidRPr="00E5590D" w:rsidP="00E5590D">
            <w:pPr>
              <w:pStyle w:val="ListBullet3"/>
            </w:pPr>
            <w:r w:rsidRPr="00E5590D">
              <w:t>Drawings and specifications</w:t>
            </w:r>
          </w:p>
          <w:p w:rsidR="00000000" w:rsidRPr="00E5590D" w:rsidP="00E5590D">
            <w:pPr>
              <w:pStyle w:val="ListBullet3"/>
            </w:pPr>
            <w:r w:rsidRPr="00E5590D">
              <w:t>Emergency</w:t>
            </w:r>
          </w:p>
          <w:p w:rsidR="00000000" w:rsidRPr="00E5590D" w:rsidP="00E5590D">
            <w:pPr>
              <w:pStyle w:val="ListBullet3"/>
            </w:pPr>
            <w:r w:rsidRPr="00E5590D">
              <w:t>Environmental and sustainable energy procedures</w:t>
            </w:r>
          </w:p>
          <w:p w:rsidR="00000000" w:rsidRPr="00E5590D" w:rsidP="00E5590D">
            <w:pPr>
              <w:pStyle w:val="ListBullet3"/>
            </w:pPr>
            <w:r w:rsidRPr="00E5590D">
              <w:t>Environmental legislation</w:t>
            </w:r>
          </w:p>
          <w:p w:rsidR="00000000" w:rsidRPr="00E5590D" w:rsidP="00E5590D">
            <w:pPr>
              <w:pStyle w:val="ListBullet3"/>
            </w:pPr>
            <w:r w:rsidRPr="00E5590D">
              <w:t>Environmental management documentation</w:t>
            </w:r>
          </w:p>
          <w:p w:rsidR="00000000" w:rsidRPr="00E5590D" w:rsidP="00E5590D">
            <w:pPr>
              <w:pStyle w:val="ListBullet3"/>
            </w:pPr>
            <w:r w:rsidRPr="00E5590D">
              <w:t>Established procedures</w:t>
            </w:r>
          </w:p>
          <w:p w:rsidR="00000000" w:rsidRPr="00E5590D" w:rsidP="00E5590D">
            <w:pPr>
              <w:pStyle w:val="ListBullet3"/>
            </w:pPr>
            <w:r w:rsidRPr="00E5590D">
              <w:t>Fall prevention</w:t>
            </w:r>
          </w:p>
          <w:p w:rsidR="00000000" w:rsidRPr="00E5590D" w:rsidP="00E5590D">
            <w:pPr>
              <w:pStyle w:val="ListBullet3"/>
            </w:pPr>
            <w:r w:rsidRPr="00E5590D">
              <w:t>Hazards</w:t>
            </w:r>
          </w:p>
          <w:p w:rsidR="00000000" w:rsidRPr="00E5590D" w:rsidP="00E5590D">
            <w:pPr>
              <w:pStyle w:val="ListBullet3"/>
            </w:pPr>
            <w:r w:rsidRPr="00E5590D">
              <w:t>Identifying hazards</w:t>
            </w:r>
          </w:p>
          <w:p w:rsidR="00000000" w:rsidRPr="00E5590D" w:rsidP="00E5590D">
            <w:pPr>
              <w:pStyle w:val="ListBullet3"/>
            </w:pPr>
            <w:r w:rsidRPr="00E5590D">
              <w:t>Inspect</w:t>
            </w:r>
          </w:p>
          <w:p w:rsidR="00000000" w:rsidRPr="00E5590D" w:rsidP="00E5590D">
            <w:pPr>
              <w:pStyle w:val="ListBullet3"/>
            </w:pPr>
            <w:r w:rsidRPr="00E5590D">
              <w:t>Legislation</w:t>
            </w:r>
          </w:p>
          <w:p w:rsidR="00000000" w:rsidRPr="00E5590D" w:rsidP="00E5590D">
            <w:pPr>
              <w:pStyle w:val="ListBullet3"/>
            </w:pPr>
            <w:r w:rsidRPr="00E5590D">
              <w:t>MSDS</w:t>
            </w:r>
          </w:p>
          <w:p w:rsidR="00000000" w:rsidRPr="00E5590D" w:rsidP="00E5590D">
            <w:pPr>
              <w:pStyle w:val="ListBullet3"/>
            </w:pPr>
            <w:r w:rsidRPr="00E5590D">
              <w:t>Notification</w:t>
            </w:r>
          </w:p>
          <w:p w:rsidR="00000000" w:rsidRPr="00E5590D" w:rsidP="00E5590D">
            <w:pPr>
              <w:pStyle w:val="ListBullet3"/>
            </w:pPr>
            <w:r w:rsidRPr="00E5590D">
              <w:t>OHS practices</w:t>
            </w:r>
          </w:p>
          <w:p w:rsidR="00000000" w:rsidRPr="00E5590D" w:rsidP="00E5590D">
            <w:pPr>
              <w:pStyle w:val="ListBullet3"/>
            </w:pPr>
            <w:r w:rsidRPr="00E5590D">
              <w:t>OHS issues</w:t>
            </w:r>
          </w:p>
          <w:p w:rsidR="00000000" w:rsidRPr="00E5590D" w:rsidP="00E5590D">
            <w:pPr>
              <w:pStyle w:val="ListBullet3"/>
            </w:pPr>
            <w:r w:rsidRPr="00E5590D">
              <w:t>Permits and/or permits to work</w:t>
            </w:r>
          </w:p>
          <w:p w:rsidR="00000000" w:rsidRPr="00E5590D" w:rsidP="00E5590D">
            <w:pPr>
              <w:pStyle w:val="ListBullet3"/>
            </w:pPr>
            <w:r w:rsidRPr="00E5590D">
              <w:t>Personnel</w:t>
            </w:r>
          </w:p>
          <w:p w:rsidR="00000000" w:rsidRPr="00E5590D" w:rsidP="00E5590D">
            <w:pPr>
              <w:pStyle w:val="ListBullet3"/>
            </w:pPr>
            <w:r w:rsidRPr="00E5590D">
              <w:t>Quality assurance systems</w:t>
            </w:r>
          </w:p>
          <w:p w:rsidR="00000000" w:rsidRPr="00E5590D" w:rsidP="00E5590D">
            <w:pPr>
              <w:pStyle w:val="ListBullet3"/>
            </w:pPr>
            <w:r w:rsidRPr="00E5590D">
              <w:t>Requirements</w:t>
            </w:r>
          </w:p>
          <w:p w:rsidR="00000000" w:rsidRPr="00E5590D" w:rsidP="00E5590D">
            <w:pPr>
              <w:pStyle w:val="ListBullet3"/>
            </w:pPr>
            <w:r w:rsidRPr="00E5590D">
              <w:t>Testing procedures</w:t>
            </w:r>
          </w:p>
          <w:p w:rsidR="00000000" w:rsidRPr="00E5590D" w:rsidP="00E5590D">
            <w:pPr>
              <w:pStyle w:val="ListBullet3"/>
            </w:pPr>
            <w:r w:rsidRPr="00E5590D">
              <w:t>Work clearance systems</w:t>
            </w:r>
          </w:p>
        </w:tc>
      </w:tr>
    </w:tbl>
    <w:p w:rsidR="00000000" w:rsidRPr="00E5590D" w:rsidP="00E5590D">
      <w:pPr>
        <w:pStyle w:val="BodyText"/>
      </w:pPr>
    </w:p>
    <w:p w:rsidR="00000000" w:rsidRPr="00E5590D" w:rsidP="00E5590D">
      <w:pPr>
        <w:pStyle w:val="AllowPageBreak"/>
      </w:pPr>
    </w:p>
    <w:p w:rsidR="00000000" w:rsidRPr="00E5590D" w:rsidP="00E5590D">
      <w:pPr>
        <w:pStyle w:val="Heading1"/>
      </w:pPr>
      <w:bookmarkStart w:id="12" w:name="O_462760"/>
      <w:bookmarkEnd w:id="12"/>
      <w:r w:rsidRPr="00E5590D">
        <w:t>Unit Sector(s)</w:t>
      </w:r>
    </w:p>
    <w:p w:rsidR="00000000" w:rsidRPr="00E5590D" w:rsidP="00E5590D">
      <w:pPr>
        <w:pStyle w:val="BodyText"/>
      </w:pPr>
      <w:r w:rsidRPr="00E5590D">
        <w:t>Not applicable.</w:t>
      </w:r>
    </w:p>
    <w:p w:rsidR="00000000" w:rsidRPr="00E5590D" w:rsidP="00E5590D">
      <w:pPr>
        <w:pStyle w:val="AllowPageBreak"/>
      </w:pPr>
    </w:p>
    <w:p w:rsidR="00000000" w:rsidRPr="00E5590D" w:rsidP="00E5590D">
      <w:pPr>
        <w:pStyle w:val="Heading1"/>
      </w:pPr>
      <w:bookmarkStart w:id="13" w:name="O_462749"/>
      <w:bookmarkEnd w:id="13"/>
      <w:r w:rsidRPr="00E5590D">
        <w:t>Competency Field</w:t>
      </w:r>
    </w:p>
    <w:tbl>
      <w:tblPr>
        <w:tblW w:w="0" w:type="auto"/>
        <w:tblLayout w:type="fixed"/>
        <w:tblCellMar>
          <w:left w:w="62" w:type="dxa"/>
          <w:right w:w="62" w:type="dxa"/>
        </w:tblCellMar>
        <w:tblLook w:val="0000"/>
      </w:tblPr>
      <w:tblGrid>
        <w:gridCol w:w="2700"/>
        <w:gridCol w:w="5760"/>
      </w:tblGrid>
      <w:tr w:rsidTr="00AE69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5590D">
            <w:pPr>
              <w:pStyle w:val="BodyText"/>
              <w:rPr>
                <w:lang w:val="en-NZ"/>
              </w:rPr>
            </w:pPr>
            <w:r w:rsidRPr="00E5590D">
              <w:rPr>
                <w:rStyle w:val="SpecialBold"/>
              </w:rPr>
              <w:t xml:space="preserve">11) </w:t>
            </w:r>
          </w:p>
        </w:tc>
      </w:tr>
      <w:tr w:rsidTr="00AE69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90D" w:rsidP="00E5590D">
            <w:pPr>
              <w:pStyle w:val="BodyText"/>
            </w:pPr>
            <w:r w:rsidRPr="00E5590D">
              <w:t>Industry Specific Cross-Discipline Units</w:t>
            </w:r>
          </w:p>
        </w:tc>
      </w:tr>
    </w:tbl>
    <w:p w:rsidR="00000000" w:rsidRPr="00E5590D" w:rsidP="00E5590D">
      <w:pPr>
        <w:pStyle w:val="BodyText"/>
      </w:pPr>
    </w:p>
    <w:p w:rsidR="00000000" w:rsidRPr="00E5590D" w:rsidP="00E5590D"/>
    <w:sectPr w:rsidSect="00E55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942" w:rsidP="00AE69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42" w:rsidP="00E55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E6942" w:rsidP="00E559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6942" w:rsidP="00E559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0D" w:rsidRPr="00AE6942" w:rsidP="00AE69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42" w:rsidP="00E5590D">
    <w:pPr>
      <w:pStyle w:val="Header"/>
      <w:framePr w:wrap="around"/>
    </w:pPr>
    <w:r>
      <w:fldChar w:fldCharType="begin"/>
    </w:r>
    <w:r>
      <w:instrText xml:space="preserve"> TITLE   \* MERGEFORMAT </w:instrText>
    </w:r>
    <w:r>
      <w:fldChar w:fldCharType="separate"/>
    </w:r>
    <w:r>
      <w:t>UETTDRIS61A Install mobile generation set for synchronised LV Genset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6942" w:rsidP="00E55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05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B6D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C1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9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90D"/>
    <w:pPr>
      <w:spacing w:before="360" w:after="60"/>
      <w:outlineLvl w:val="0"/>
    </w:pPr>
    <w:rPr>
      <w:sz w:val="32"/>
    </w:rPr>
  </w:style>
  <w:style w:type="paragraph" w:styleId="Heading2">
    <w:name w:val="heading 2"/>
    <w:basedOn w:val="HeadingBase"/>
    <w:next w:val="BodyText"/>
    <w:link w:val="Heading2Char"/>
    <w:qFormat/>
    <w:rsid w:val="00E5590D"/>
    <w:pPr>
      <w:keepLines/>
      <w:spacing w:before="240" w:after="120"/>
      <w:outlineLvl w:val="1"/>
    </w:pPr>
    <w:rPr>
      <w:sz w:val="28"/>
      <w:szCs w:val="40"/>
    </w:rPr>
  </w:style>
  <w:style w:type="paragraph" w:styleId="Heading3">
    <w:name w:val="heading 3"/>
    <w:basedOn w:val="HeadingBase"/>
    <w:next w:val="BodyText"/>
    <w:link w:val="Heading3Char"/>
    <w:qFormat/>
    <w:rsid w:val="00E5590D"/>
    <w:pPr>
      <w:spacing w:before="180" w:after="120"/>
      <w:outlineLvl w:val="2"/>
    </w:pPr>
    <w:rPr>
      <w:spacing w:val="-10"/>
      <w:kern w:val="32"/>
    </w:rPr>
  </w:style>
  <w:style w:type="paragraph" w:styleId="Heading4">
    <w:name w:val="heading 4"/>
    <w:basedOn w:val="HeadingBase"/>
    <w:next w:val="BodyText"/>
    <w:link w:val="Heading4Char"/>
    <w:qFormat/>
    <w:rsid w:val="00E5590D"/>
    <w:pPr>
      <w:spacing w:before="160" w:after="120"/>
      <w:outlineLvl w:val="3"/>
    </w:pPr>
    <w:rPr>
      <w:sz w:val="22"/>
    </w:rPr>
  </w:style>
  <w:style w:type="paragraph" w:styleId="Heading5">
    <w:name w:val="heading 5"/>
    <w:basedOn w:val="HeadingBase"/>
    <w:next w:val="Normal"/>
    <w:link w:val="Heading5Char"/>
    <w:qFormat/>
    <w:rsid w:val="00E5590D"/>
    <w:pPr>
      <w:spacing w:before="80"/>
      <w:outlineLvl w:val="4"/>
    </w:pPr>
    <w:rPr>
      <w:color w:val="918585"/>
      <w:sz w:val="20"/>
    </w:rPr>
  </w:style>
  <w:style w:type="paragraph" w:styleId="Heading6">
    <w:name w:val="heading 6"/>
    <w:basedOn w:val="HeadingBase"/>
    <w:next w:val="Normal"/>
    <w:link w:val="Heading6Char"/>
    <w:qFormat/>
    <w:rsid w:val="00E5590D"/>
    <w:pPr>
      <w:spacing w:before="60"/>
      <w:outlineLvl w:val="5"/>
    </w:pPr>
    <w:rPr>
      <w:color w:val="918585"/>
      <w:sz w:val="20"/>
    </w:rPr>
  </w:style>
  <w:style w:type="paragraph" w:styleId="Heading7">
    <w:name w:val="heading 7"/>
    <w:basedOn w:val="Normal"/>
    <w:next w:val="Normal"/>
    <w:link w:val="Heading7Char"/>
    <w:qFormat/>
    <w:rsid w:val="00E5590D"/>
    <w:pPr>
      <w:ind w:left="720"/>
      <w:outlineLvl w:val="6"/>
    </w:pPr>
    <w:rPr>
      <w:i/>
    </w:rPr>
  </w:style>
  <w:style w:type="paragraph" w:styleId="Heading8">
    <w:name w:val="heading 8"/>
    <w:basedOn w:val="Normal"/>
    <w:next w:val="Normal"/>
    <w:link w:val="Heading8Char"/>
    <w:qFormat/>
    <w:rsid w:val="00E5590D"/>
    <w:pPr>
      <w:ind w:left="720"/>
      <w:outlineLvl w:val="7"/>
    </w:pPr>
    <w:rPr>
      <w:i/>
    </w:rPr>
  </w:style>
  <w:style w:type="paragraph" w:styleId="Heading9">
    <w:name w:val="heading 9"/>
    <w:basedOn w:val="Normal"/>
    <w:next w:val="Normal"/>
    <w:link w:val="Heading9Char"/>
    <w:qFormat/>
    <w:rsid w:val="00E5590D"/>
    <w:pPr>
      <w:ind w:left="720"/>
      <w:outlineLvl w:val="8"/>
    </w:pPr>
    <w:rPr>
      <w:i/>
    </w:rPr>
  </w:style>
  <w:style w:type="character" w:default="1" w:styleId="DefaultParagraphFont">
    <w:name w:val="Default Paragraph Font"/>
    <w:uiPriority w:val="1"/>
    <w:unhideWhenUsed/>
    <w:rsid w:val="00E55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90D"/>
  </w:style>
  <w:style w:type="character" w:customStyle="1" w:styleId="Heading1Char">
    <w:name w:val="Heading 1 Char"/>
    <w:link w:val="Heading1"/>
    <w:rsid w:val="00E5590D"/>
    <w:rPr>
      <w:rFonts w:ascii="Times New Roman" w:eastAsia="Times New Roman" w:hAnsi="Times New Roman" w:cs="Times New Roman"/>
      <w:b/>
      <w:sz w:val="32"/>
      <w:szCs w:val="20"/>
      <w:lang w:eastAsia="en-US"/>
    </w:rPr>
  </w:style>
  <w:style w:type="paragraph" w:styleId="BodyText">
    <w:name w:val="Body Text"/>
    <w:basedOn w:val="Normal"/>
    <w:link w:val="BodyTextChar"/>
    <w:rsid w:val="00E5590D"/>
    <w:pPr>
      <w:spacing w:before="120" w:after="120"/>
      <w:contextualSpacing/>
    </w:pPr>
    <w:rPr>
      <w:rFonts w:ascii="Times New Roman" w:hAnsi="Times New Roman"/>
      <w:sz w:val="24"/>
      <w:szCs w:val="22"/>
    </w:rPr>
  </w:style>
  <w:style w:type="character" w:customStyle="1" w:styleId="BodyTextChar">
    <w:name w:val="Body Text Char"/>
    <w:link w:val="BodyText"/>
    <w:rsid w:val="00E5590D"/>
    <w:rPr>
      <w:rFonts w:ascii="Times New Roman" w:eastAsia="Times New Roman" w:hAnsi="Times New Roman" w:cs="Times New Roman"/>
      <w:sz w:val="24"/>
      <w:lang w:val="en-US" w:eastAsia="en-US"/>
    </w:rPr>
  </w:style>
  <w:style w:type="paragraph" w:styleId="Footer">
    <w:name w:val="footer"/>
    <w:basedOn w:val="Normal"/>
    <w:link w:val="FooterChar"/>
    <w:rsid w:val="00E55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590D"/>
    <w:rPr>
      <w:rFonts w:ascii="Times New Roman" w:eastAsia="Times New Roman" w:hAnsi="Times New Roman" w:cs="Times New Roman"/>
      <w:sz w:val="16"/>
      <w:lang w:val="en-US" w:eastAsia="en-US"/>
    </w:rPr>
  </w:style>
  <w:style w:type="paragraph" w:styleId="ListBullet">
    <w:name w:val="List Bullet"/>
    <w:basedOn w:val="List"/>
    <w:rsid w:val="00E5590D"/>
    <w:pPr>
      <w:numPr>
        <w:numId w:val="14"/>
      </w:numPr>
      <w:tabs>
        <w:tab w:val="clear" w:pos="340"/>
      </w:tabs>
      <w:spacing w:before="40" w:after="40"/>
    </w:pPr>
  </w:style>
  <w:style w:type="character" w:customStyle="1" w:styleId="SpecialBold">
    <w:name w:val="Special Bold"/>
    <w:rsid w:val="00E5590D"/>
    <w:rPr>
      <w:b/>
      <w:spacing w:val="0"/>
    </w:rPr>
  </w:style>
  <w:style w:type="paragraph" w:styleId="ListBullet2">
    <w:name w:val="List Bullet 2"/>
    <w:basedOn w:val="List2"/>
    <w:rsid w:val="00E5590D"/>
    <w:pPr>
      <w:numPr>
        <w:numId w:val="15"/>
      </w:numPr>
      <w:tabs>
        <w:tab w:val="clear" w:pos="680"/>
      </w:tabs>
    </w:pPr>
  </w:style>
  <w:style w:type="paragraph" w:customStyle="1" w:styleId="SuperHeading">
    <w:name w:val="SuperHeading"/>
    <w:basedOn w:val="Normal"/>
    <w:rsid w:val="00E5590D"/>
    <w:pPr>
      <w:spacing w:before="240" w:after="120"/>
      <w:outlineLvl w:val="0"/>
    </w:pPr>
    <w:rPr>
      <w:rFonts w:ascii="Times New Roman" w:hAnsi="Times New Roman"/>
      <w:b/>
      <w:sz w:val="28"/>
    </w:rPr>
  </w:style>
  <w:style w:type="paragraph" w:customStyle="1" w:styleId="AllowPageBreak">
    <w:name w:val="AllowPageBreak"/>
    <w:rsid w:val="00E559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590D"/>
    <w:pPr>
      <w:numPr>
        <w:numId w:val="3"/>
      </w:numPr>
      <w:tabs>
        <w:tab w:val="clear" w:pos="1021"/>
      </w:tabs>
      <w:ind w:left="1037" w:hanging="357"/>
    </w:pPr>
  </w:style>
  <w:style w:type="character" w:customStyle="1" w:styleId="Heading2Char">
    <w:name w:val="Heading 2 Char"/>
    <w:link w:val="Heading2"/>
    <w:rsid w:val="00E5590D"/>
    <w:rPr>
      <w:rFonts w:ascii="Times New Roman" w:eastAsia="Times New Roman" w:hAnsi="Times New Roman" w:cs="Times New Roman"/>
      <w:b/>
      <w:sz w:val="28"/>
      <w:szCs w:val="40"/>
      <w:lang w:eastAsia="en-US"/>
    </w:rPr>
  </w:style>
  <w:style w:type="character" w:customStyle="1" w:styleId="Heading3Char">
    <w:name w:val="Heading 3 Char"/>
    <w:link w:val="Heading3"/>
    <w:rsid w:val="00E559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590D"/>
    <w:rPr>
      <w:rFonts w:ascii="Times New Roman" w:eastAsia="Times New Roman" w:hAnsi="Times New Roman" w:cs="Times New Roman"/>
      <w:b/>
      <w:szCs w:val="20"/>
      <w:lang w:eastAsia="en-US"/>
    </w:rPr>
  </w:style>
  <w:style w:type="character" w:customStyle="1" w:styleId="Heading5Char">
    <w:name w:val="Heading 5 Char"/>
    <w:link w:val="Heading5"/>
    <w:rsid w:val="00E559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5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9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9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90D"/>
    <w:rPr>
      <w:rFonts w:ascii="Courier New" w:eastAsia="Times New Roman" w:hAnsi="Courier New" w:cs="Times New Roman"/>
      <w:i/>
      <w:szCs w:val="20"/>
      <w:lang w:val="en-US" w:eastAsia="en-US"/>
    </w:rPr>
  </w:style>
  <w:style w:type="paragraph" w:customStyle="1" w:styleId="HeadingBase">
    <w:name w:val="Heading Base"/>
    <w:rsid w:val="00E55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90D"/>
    <w:pPr>
      <w:tabs>
        <w:tab w:val="right" w:leader="dot" w:pos="9072"/>
      </w:tabs>
      <w:ind w:left="567"/>
    </w:pPr>
    <w:rPr>
      <w:szCs w:val="22"/>
    </w:rPr>
  </w:style>
  <w:style w:type="paragraph" w:customStyle="1" w:styleId="TOCBase">
    <w:name w:val="TOC Base"/>
    <w:rsid w:val="00E55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90D"/>
    <w:pPr>
      <w:tabs>
        <w:tab w:val="right" w:leader="dot" w:pos="9072"/>
      </w:tabs>
      <w:spacing w:before="40" w:after="40"/>
      <w:ind w:left="284"/>
    </w:pPr>
    <w:rPr>
      <w:rFonts w:ascii="Times New Roman" w:hAnsi="Times New Roman"/>
    </w:rPr>
  </w:style>
  <w:style w:type="paragraph" w:styleId="TOC1">
    <w:name w:val="toc 1"/>
    <w:basedOn w:val="TOCBase"/>
    <w:next w:val="Normal"/>
    <w:rsid w:val="00E559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90D"/>
    <w:pPr>
      <w:spacing w:before="5040"/>
      <w:jc w:val="center"/>
    </w:pPr>
    <w:rPr>
      <w:sz w:val="48"/>
      <w:szCs w:val="72"/>
      <w:lang w:val="en-US"/>
    </w:rPr>
  </w:style>
  <w:style w:type="character" w:customStyle="1" w:styleId="TitleChar">
    <w:name w:val="Title Char"/>
    <w:link w:val="Title"/>
    <w:rsid w:val="00E55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90D"/>
    <w:pPr>
      <w:tabs>
        <w:tab w:val="left" w:pos="3600"/>
        <w:tab w:val="left" w:pos="3958"/>
      </w:tabs>
    </w:pPr>
  </w:style>
  <w:style w:type="paragraph" w:styleId="List">
    <w:name w:val="List"/>
    <w:basedOn w:val="BodyText"/>
    <w:next w:val="BodyText"/>
    <w:rsid w:val="00E5590D"/>
    <w:pPr>
      <w:tabs>
        <w:tab w:val="left" w:pos="340"/>
      </w:tabs>
      <w:spacing w:before="60" w:after="60"/>
      <w:ind w:left="340" w:hanging="340"/>
    </w:pPr>
  </w:style>
  <w:style w:type="paragraph" w:customStyle="1" w:styleId="Note">
    <w:name w:val="Note"/>
    <w:basedOn w:val="BodyText"/>
    <w:rsid w:val="00E55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90D"/>
    <w:pPr>
      <w:framePr w:wrap="auto" w:hAnchor="text" w:y="6049"/>
    </w:pPr>
    <w:rPr>
      <w:color w:val="000000"/>
      <w:sz w:val="40"/>
    </w:rPr>
  </w:style>
  <w:style w:type="paragraph" w:customStyle="1" w:styleId="TOCTitle">
    <w:name w:val="TOCTitle"/>
    <w:basedOn w:val="Heading1"/>
    <w:rsid w:val="00E5590D"/>
    <w:pPr>
      <w:spacing w:after="240"/>
      <w:jc w:val="center"/>
      <w:outlineLvl w:val="9"/>
    </w:pPr>
    <w:rPr>
      <w:caps/>
    </w:rPr>
  </w:style>
  <w:style w:type="paragraph" w:customStyle="1" w:styleId="Version">
    <w:name w:val="Version"/>
    <w:rsid w:val="00E55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90D"/>
    <w:pPr>
      <w:keepNext w:val="0"/>
      <w:tabs>
        <w:tab w:val="right" w:pos="4176"/>
      </w:tabs>
      <w:ind w:left="198" w:hanging="198"/>
    </w:pPr>
    <w:rPr>
      <w:rFonts w:ascii="Garamond" w:hAnsi="Garamond"/>
    </w:rPr>
  </w:style>
  <w:style w:type="paragraph" w:styleId="IndexHeading">
    <w:name w:val="index heading"/>
    <w:basedOn w:val="Normal"/>
    <w:next w:val="Index1"/>
    <w:semiHidden/>
    <w:rsid w:val="00E5590D"/>
    <w:pPr>
      <w:spacing w:before="120" w:after="120"/>
    </w:pPr>
    <w:rPr>
      <w:rFonts w:ascii="Arial" w:hAnsi="Arial"/>
      <w:b/>
      <w:color w:val="918585"/>
      <w:sz w:val="24"/>
    </w:rPr>
  </w:style>
  <w:style w:type="paragraph" w:styleId="Header">
    <w:name w:val="header"/>
    <w:basedOn w:val="Normal"/>
    <w:link w:val="HeaderChar"/>
    <w:rsid w:val="00E55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590D"/>
    <w:rPr>
      <w:rFonts w:ascii="Times New Roman" w:eastAsia="Times New Roman" w:hAnsi="Times New Roman" w:cs="Times New Roman"/>
      <w:sz w:val="16"/>
      <w:szCs w:val="20"/>
      <w:lang w:val="en-GB" w:eastAsia="en-US"/>
    </w:rPr>
  </w:style>
  <w:style w:type="paragraph" w:customStyle="1" w:styleId="Chapter">
    <w:name w:val="Chapter"/>
    <w:basedOn w:val="Normal"/>
    <w:rsid w:val="00E5590D"/>
    <w:pPr>
      <w:spacing w:before="240"/>
    </w:pPr>
    <w:rPr>
      <w:rFonts w:ascii="Times New Roman" w:hAnsi="Times New Roman"/>
      <w:smallCaps/>
      <w:spacing w:val="80"/>
      <w:sz w:val="28"/>
    </w:rPr>
  </w:style>
  <w:style w:type="paragraph" w:customStyle="1" w:styleId="InChapter">
    <w:name w:val="InChapter"/>
    <w:basedOn w:val="Heading3"/>
    <w:rsid w:val="00E5590D"/>
    <w:pPr>
      <w:spacing w:after="240"/>
      <w:outlineLvl w:val="9"/>
    </w:pPr>
    <w:rPr>
      <w:noProof/>
    </w:rPr>
  </w:style>
  <w:style w:type="paragraph" w:styleId="Index2">
    <w:name w:val="index 2"/>
    <w:basedOn w:val="Normal"/>
    <w:next w:val="Normal"/>
    <w:semiHidden/>
    <w:rsid w:val="00E5590D"/>
    <w:pPr>
      <w:tabs>
        <w:tab w:val="right" w:pos="4176"/>
      </w:tabs>
      <w:ind w:left="568" w:hanging="284"/>
    </w:pPr>
    <w:rPr>
      <w:rFonts w:ascii="Garamond" w:hAnsi="Garamond"/>
    </w:rPr>
  </w:style>
  <w:style w:type="paragraph" w:customStyle="1" w:styleId="Byline">
    <w:name w:val="Byline"/>
    <w:rsid w:val="00E55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90D"/>
    <w:pPr>
      <w:tabs>
        <w:tab w:val="clear" w:pos="3600"/>
        <w:tab w:val="clear" w:pos="3958"/>
      </w:tabs>
      <w:jc w:val="right"/>
    </w:pPr>
  </w:style>
  <w:style w:type="character" w:styleId="Emphasis">
    <w:name w:val="Emphasis"/>
    <w:qFormat/>
    <w:rsid w:val="00E5590D"/>
    <w:rPr>
      <w:i/>
    </w:rPr>
  </w:style>
  <w:style w:type="paragraph" w:styleId="Caption">
    <w:name w:val="caption"/>
    <w:basedOn w:val="BodyText"/>
    <w:next w:val="Normal"/>
    <w:qFormat/>
    <w:rsid w:val="00E5590D"/>
    <w:pPr>
      <w:framePr w:w="2268" w:hSpace="181" w:vSpace="181" w:wrap="around" w:vAnchor="text" w:hAnchor="page" w:x="1135" w:y="285" w:anchorLock="1"/>
    </w:pPr>
    <w:rPr>
      <w:i/>
    </w:rPr>
  </w:style>
  <w:style w:type="paragraph" w:customStyle="1" w:styleId="MiniTOCTitle">
    <w:name w:val="MiniTOCTitle"/>
    <w:basedOn w:val="Heading4"/>
    <w:rsid w:val="00E5590D"/>
    <w:pPr>
      <w:spacing w:before="240"/>
      <w:outlineLvl w:val="9"/>
    </w:pPr>
    <w:rPr>
      <w:noProof/>
      <w:sz w:val="24"/>
    </w:rPr>
  </w:style>
  <w:style w:type="paragraph" w:customStyle="1" w:styleId="MiniTOCItem">
    <w:name w:val="MiniTOCItem"/>
    <w:basedOn w:val="ListBullet"/>
    <w:rsid w:val="00E5590D"/>
    <w:pPr>
      <w:numPr>
        <w:numId w:val="0"/>
      </w:numPr>
      <w:tabs>
        <w:tab w:val="right" w:leader="dot" w:pos="6521"/>
      </w:tabs>
      <w:spacing w:before="0" w:after="0"/>
    </w:pPr>
  </w:style>
  <w:style w:type="paragraph" w:customStyle="1" w:styleId="TOFTitle">
    <w:name w:val="TOFTitle"/>
    <w:basedOn w:val="TOCTitle"/>
    <w:rsid w:val="00E5590D"/>
  </w:style>
  <w:style w:type="paragraph" w:styleId="TableofFigures">
    <w:name w:val="table of figures"/>
    <w:basedOn w:val="Normal"/>
    <w:next w:val="Normal"/>
    <w:semiHidden/>
    <w:rsid w:val="00E5590D"/>
    <w:pPr>
      <w:tabs>
        <w:tab w:val="right" w:leader="dot" w:pos="9072"/>
      </w:tabs>
      <w:ind w:left="970" w:hanging="403"/>
    </w:pPr>
    <w:rPr>
      <w:rFonts w:ascii="Times New Roman" w:hAnsi="Times New Roman"/>
      <w:b/>
    </w:rPr>
  </w:style>
  <w:style w:type="paragraph" w:styleId="ListNumber">
    <w:name w:val="List Number"/>
    <w:basedOn w:val="List"/>
    <w:rsid w:val="00E5590D"/>
    <w:pPr>
      <w:numPr>
        <w:numId w:val="12"/>
      </w:numPr>
    </w:pPr>
  </w:style>
  <w:style w:type="character" w:customStyle="1" w:styleId="WingdingSymbols">
    <w:name w:val="Wingding Symbols"/>
    <w:rsid w:val="00E5590D"/>
    <w:rPr>
      <w:rFonts w:ascii="Wingdings" w:hAnsi="Wingdings"/>
    </w:rPr>
  </w:style>
  <w:style w:type="paragraph" w:customStyle="1" w:styleId="TableHeading">
    <w:name w:val="Table Heading"/>
    <w:basedOn w:val="HeadingBase"/>
    <w:rsid w:val="00E5590D"/>
    <w:pPr>
      <w:keepLines/>
      <w:pBdr>
        <w:bottom w:val="single" w:sz="6" w:space="1" w:color="918585"/>
      </w:pBdr>
      <w:spacing w:before="240"/>
    </w:pPr>
  </w:style>
  <w:style w:type="character" w:customStyle="1" w:styleId="HotSpot">
    <w:name w:val="HotSpot"/>
    <w:rsid w:val="00E5590D"/>
    <w:rPr>
      <w:color w:val="0033CC"/>
      <w:u w:val="none"/>
    </w:rPr>
  </w:style>
  <w:style w:type="paragraph" w:customStyle="1" w:styleId="BodyTextRight">
    <w:name w:val="Body Text Right"/>
    <w:basedOn w:val="BodyText"/>
    <w:rsid w:val="00E5590D"/>
    <w:pPr>
      <w:spacing w:before="0" w:after="0"/>
      <w:jc w:val="right"/>
    </w:pPr>
  </w:style>
  <w:style w:type="paragraph" w:styleId="Index3">
    <w:name w:val="index 3"/>
    <w:basedOn w:val="ListNumber2"/>
    <w:next w:val="Normal"/>
    <w:semiHidden/>
    <w:rsid w:val="00E5590D"/>
    <w:pPr>
      <w:numPr>
        <w:numId w:val="0"/>
      </w:numPr>
      <w:tabs>
        <w:tab w:val="right" w:leader="dot" w:pos="4176"/>
      </w:tabs>
    </w:pPr>
  </w:style>
  <w:style w:type="paragraph" w:styleId="ListNumber2">
    <w:name w:val="List Number 2"/>
    <w:basedOn w:val="List2"/>
    <w:rsid w:val="00E5590D"/>
    <w:pPr>
      <w:numPr>
        <w:numId w:val="11"/>
      </w:numPr>
      <w:tabs>
        <w:tab w:val="clear" w:pos="1060"/>
      </w:tabs>
    </w:pPr>
  </w:style>
  <w:style w:type="paragraph" w:customStyle="1" w:styleId="MarginNote">
    <w:name w:val="Margin Note"/>
    <w:basedOn w:val="BodyText"/>
    <w:rsid w:val="00E55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59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90D"/>
    <w:rPr>
      <w:sz w:val="32"/>
    </w:rPr>
  </w:style>
  <w:style w:type="paragraph" w:customStyle="1" w:styleId="HeadingProcedure">
    <w:name w:val="Heading Procedure"/>
    <w:basedOn w:val="HeadingBase"/>
    <w:next w:val="Normal"/>
    <w:rsid w:val="00E5590D"/>
    <w:pPr>
      <w:tabs>
        <w:tab w:val="left" w:pos="0"/>
      </w:tabs>
      <w:spacing w:before="120" w:after="60"/>
    </w:pPr>
    <w:rPr>
      <w:i/>
      <w:color w:val="918585"/>
      <w:sz w:val="22"/>
    </w:rPr>
  </w:style>
  <w:style w:type="paragraph" w:customStyle="1" w:styleId="TableBodyText">
    <w:name w:val="Table Body Text"/>
    <w:basedOn w:val="BodyText"/>
    <w:rsid w:val="00E5590D"/>
    <w:pPr>
      <w:spacing w:before="60" w:after="60"/>
    </w:pPr>
  </w:style>
  <w:style w:type="paragraph" w:styleId="ListContinue">
    <w:name w:val="List Continue"/>
    <w:basedOn w:val="List"/>
    <w:rsid w:val="00E5590D"/>
    <w:pPr>
      <w:ind w:firstLine="0"/>
    </w:pPr>
  </w:style>
  <w:style w:type="paragraph" w:customStyle="1" w:styleId="ListNote">
    <w:name w:val="List Note"/>
    <w:basedOn w:val="List"/>
    <w:rsid w:val="00E5590D"/>
    <w:pPr>
      <w:pBdr>
        <w:top w:val="single" w:sz="6" w:space="2" w:color="918585"/>
        <w:bottom w:val="single" w:sz="6" w:space="2" w:color="918585"/>
      </w:pBdr>
      <w:tabs>
        <w:tab w:val="left" w:pos="1021"/>
      </w:tabs>
      <w:ind w:firstLine="0"/>
    </w:pPr>
  </w:style>
  <w:style w:type="paragraph" w:customStyle="1" w:styleId="Warning">
    <w:name w:val="Warning"/>
    <w:basedOn w:val="BodyText"/>
    <w:rsid w:val="00E5590D"/>
    <w:pPr>
      <w:shd w:val="clear" w:color="auto" w:fill="D9D9D9"/>
      <w:tabs>
        <w:tab w:val="left" w:pos="992"/>
      </w:tabs>
      <w:ind w:left="119" w:right="119"/>
    </w:pPr>
    <w:rPr>
      <w:sz w:val="20"/>
    </w:rPr>
  </w:style>
  <w:style w:type="paragraph" w:customStyle="1" w:styleId="MarginIcons">
    <w:name w:val="Margin Icons"/>
    <w:basedOn w:val="BodyText"/>
    <w:rsid w:val="00E559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590D"/>
    <w:rPr>
      <w:rFonts w:ascii="Courier New" w:hAnsi="Courier New"/>
    </w:rPr>
  </w:style>
  <w:style w:type="paragraph" w:customStyle="1" w:styleId="NoteBullet">
    <w:name w:val="Note Bullet"/>
    <w:basedOn w:val="Note"/>
    <w:rsid w:val="00E5590D"/>
    <w:pPr>
      <w:tabs>
        <w:tab w:val="clear" w:pos="680"/>
      </w:tabs>
      <w:spacing w:before="60" w:after="60"/>
    </w:pPr>
  </w:style>
  <w:style w:type="paragraph" w:customStyle="1" w:styleId="SubHeading2">
    <w:name w:val="SubHeading2"/>
    <w:basedOn w:val="HeadingBase"/>
    <w:rsid w:val="00E5590D"/>
    <w:pPr>
      <w:spacing w:before="240" w:after="60"/>
    </w:pPr>
    <w:rPr>
      <w:sz w:val="20"/>
    </w:rPr>
  </w:style>
  <w:style w:type="paragraph" w:customStyle="1" w:styleId="SubHeading1">
    <w:name w:val="SubHeading1"/>
    <w:basedOn w:val="HeadingBase"/>
    <w:rsid w:val="00E5590D"/>
    <w:pPr>
      <w:spacing w:before="240" w:after="60"/>
    </w:pPr>
    <w:rPr>
      <w:color w:val="918585"/>
      <w:sz w:val="22"/>
    </w:rPr>
  </w:style>
  <w:style w:type="paragraph" w:customStyle="1" w:styleId="SideHeading">
    <w:name w:val="Side Heading"/>
    <w:basedOn w:val="HeadingBase"/>
    <w:rsid w:val="00E55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90D"/>
    <w:pPr>
      <w:numPr>
        <w:numId w:val="13"/>
      </w:numPr>
    </w:pPr>
  </w:style>
  <w:style w:type="paragraph" w:styleId="PlainText">
    <w:name w:val="Plain Text"/>
    <w:basedOn w:val="Normal"/>
    <w:link w:val="PlainTextChar"/>
    <w:rsid w:val="00E5590D"/>
    <w:rPr>
      <w:sz w:val="20"/>
    </w:rPr>
  </w:style>
  <w:style w:type="character" w:customStyle="1" w:styleId="PlainTextChar">
    <w:name w:val="Plain Text Char"/>
    <w:basedOn w:val="DefaultParagraphFont"/>
    <w:link w:val="PlainText"/>
    <w:rsid w:val="00E5590D"/>
    <w:rPr>
      <w:rFonts w:ascii="Courier New" w:eastAsia="Times New Roman" w:hAnsi="Courier New" w:cs="Times New Roman"/>
      <w:sz w:val="20"/>
      <w:szCs w:val="20"/>
      <w:lang w:val="en-US" w:eastAsia="en-US"/>
    </w:rPr>
  </w:style>
  <w:style w:type="character" w:customStyle="1" w:styleId="MenuOption">
    <w:name w:val="Menu Option"/>
    <w:rsid w:val="00E5590D"/>
    <w:rPr>
      <w:b/>
      <w:smallCaps/>
    </w:rPr>
  </w:style>
  <w:style w:type="paragraph" w:customStyle="1" w:styleId="TableListNumber">
    <w:name w:val="Table List Number"/>
    <w:basedOn w:val="ListNumber"/>
    <w:rsid w:val="00E5590D"/>
    <w:pPr>
      <w:numPr>
        <w:numId w:val="0"/>
      </w:numPr>
    </w:pPr>
  </w:style>
  <w:style w:type="paragraph" w:styleId="TOC4">
    <w:name w:val="toc 4"/>
    <w:basedOn w:val="TOCBase"/>
    <w:next w:val="Normal"/>
    <w:semiHidden/>
    <w:rsid w:val="00E5590D"/>
    <w:pPr>
      <w:tabs>
        <w:tab w:val="right" w:leader="dot" w:pos="9071"/>
      </w:tabs>
      <w:ind w:left="1701"/>
    </w:pPr>
  </w:style>
  <w:style w:type="paragraph" w:customStyle="1" w:styleId="ListAlpha">
    <w:name w:val="List Alpha"/>
    <w:basedOn w:val="List"/>
    <w:rsid w:val="00E5590D"/>
    <w:pPr>
      <w:numPr>
        <w:numId w:val="10"/>
      </w:numPr>
    </w:pPr>
  </w:style>
  <w:style w:type="paragraph" w:customStyle="1" w:styleId="ListAlpha2">
    <w:name w:val="List Alpha 2"/>
    <w:basedOn w:val="List2"/>
    <w:rsid w:val="00E5590D"/>
    <w:pPr>
      <w:numPr>
        <w:numId w:val="9"/>
      </w:numPr>
    </w:pPr>
  </w:style>
  <w:style w:type="paragraph" w:styleId="List2">
    <w:name w:val="List 2"/>
    <w:basedOn w:val="BodyText"/>
    <w:rsid w:val="00E5590D"/>
    <w:pPr>
      <w:tabs>
        <w:tab w:val="left" w:pos="680"/>
      </w:tabs>
      <w:spacing w:before="60" w:after="60"/>
      <w:ind w:left="680" w:hanging="340"/>
    </w:pPr>
  </w:style>
  <w:style w:type="paragraph" w:styleId="List3">
    <w:name w:val="List 3"/>
    <w:basedOn w:val="BodyText"/>
    <w:rsid w:val="00E5590D"/>
    <w:pPr>
      <w:tabs>
        <w:tab w:val="left" w:pos="1021"/>
      </w:tabs>
      <w:spacing w:before="60" w:after="60"/>
      <w:ind w:left="1020" w:hanging="340"/>
    </w:pPr>
  </w:style>
  <w:style w:type="paragraph" w:styleId="List4">
    <w:name w:val="List 4"/>
    <w:basedOn w:val="BodyText"/>
    <w:rsid w:val="00E5590D"/>
    <w:pPr>
      <w:tabs>
        <w:tab w:val="left" w:pos="1361"/>
      </w:tabs>
      <w:spacing w:before="60" w:after="60"/>
      <w:ind w:left="1361" w:hanging="340"/>
    </w:pPr>
  </w:style>
  <w:style w:type="paragraph" w:styleId="List5">
    <w:name w:val="List 5"/>
    <w:basedOn w:val="BodyText"/>
    <w:rsid w:val="00E5590D"/>
    <w:pPr>
      <w:tabs>
        <w:tab w:val="left" w:pos="1701"/>
      </w:tabs>
      <w:spacing w:before="60" w:after="60"/>
      <w:ind w:left="1701" w:hanging="340"/>
    </w:pPr>
  </w:style>
  <w:style w:type="paragraph" w:styleId="ListBullet4">
    <w:name w:val="List Bullet 4"/>
    <w:basedOn w:val="List4"/>
    <w:rsid w:val="00E5590D"/>
    <w:pPr>
      <w:numPr>
        <w:numId w:val="4"/>
      </w:numPr>
    </w:pPr>
  </w:style>
  <w:style w:type="paragraph" w:styleId="ListBullet5">
    <w:name w:val="List Bullet 5"/>
    <w:basedOn w:val="List5"/>
    <w:rsid w:val="00E5590D"/>
    <w:pPr>
      <w:numPr>
        <w:numId w:val="5"/>
      </w:numPr>
    </w:pPr>
  </w:style>
  <w:style w:type="paragraph" w:styleId="ListContinue2">
    <w:name w:val="List Continue 2"/>
    <w:basedOn w:val="List2"/>
    <w:rsid w:val="00E5590D"/>
    <w:pPr>
      <w:ind w:firstLine="0"/>
    </w:pPr>
  </w:style>
  <w:style w:type="paragraph" w:styleId="ListContinue3">
    <w:name w:val="List Continue 3"/>
    <w:basedOn w:val="List3"/>
    <w:rsid w:val="00E5590D"/>
    <w:pPr>
      <w:ind w:left="1021" w:firstLine="0"/>
    </w:pPr>
  </w:style>
  <w:style w:type="paragraph" w:styleId="ListContinue4">
    <w:name w:val="List Continue 4"/>
    <w:basedOn w:val="List4"/>
    <w:rsid w:val="00E5590D"/>
    <w:pPr>
      <w:ind w:firstLine="0"/>
    </w:pPr>
  </w:style>
  <w:style w:type="paragraph" w:styleId="ListContinue5">
    <w:name w:val="List Continue 5"/>
    <w:basedOn w:val="List5"/>
    <w:rsid w:val="00E5590D"/>
    <w:pPr>
      <w:ind w:firstLine="0"/>
    </w:pPr>
  </w:style>
  <w:style w:type="paragraph" w:styleId="ListNumber3">
    <w:name w:val="List Number 3"/>
    <w:basedOn w:val="List3"/>
    <w:rsid w:val="00E5590D"/>
    <w:pPr>
      <w:numPr>
        <w:numId w:val="6"/>
      </w:numPr>
    </w:pPr>
  </w:style>
  <w:style w:type="paragraph" w:styleId="ListNumber4">
    <w:name w:val="List Number 4"/>
    <w:basedOn w:val="List4"/>
    <w:rsid w:val="00E5590D"/>
    <w:pPr>
      <w:numPr>
        <w:numId w:val="7"/>
      </w:numPr>
    </w:pPr>
  </w:style>
  <w:style w:type="paragraph" w:styleId="ListNumber5">
    <w:name w:val="List Number 5"/>
    <w:basedOn w:val="List5"/>
    <w:rsid w:val="00E5590D"/>
    <w:pPr>
      <w:numPr>
        <w:numId w:val="8"/>
      </w:numPr>
    </w:pPr>
  </w:style>
  <w:style w:type="paragraph" w:styleId="BlockText">
    <w:name w:val="Block Text"/>
    <w:basedOn w:val="Normal"/>
    <w:rsid w:val="00E5590D"/>
    <w:pPr>
      <w:spacing w:after="120"/>
      <w:ind w:left="1440" w:right="1440"/>
    </w:pPr>
  </w:style>
  <w:style w:type="character" w:customStyle="1" w:styleId="Subscript">
    <w:name w:val="Subscript"/>
    <w:rsid w:val="00E5590D"/>
    <w:rPr>
      <w:sz w:val="16"/>
      <w:vertAlign w:val="subscript"/>
    </w:rPr>
  </w:style>
  <w:style w:type="character" w:customStyle="1" w:styleId="Superscript">
    <w:name w:val="Superscript"/>
    <w:rsid w:val="00E5590D"/>
    <w:rPr>
      <w:sz w:val="16"/>
      <w:vertAlign w:val="superscript"/>
    </w:rPr>
  </w:style>
  <w:style w:type="character" w:customStyle="1" w:styleId="Symbols">
    <w:name w:val="Symbols"/>
    <w:rsid w:val="00E5590D"/>
    <w:rPr>
      <w:rFonts w:ascii="Symbol" w:hAnsi="Symbol"/>
    </w:rPr>
  </w:style>
  <w:style w:type="character" w:customStyle="1" w:styleId="MenuOptions">
    <w:name w:val="Menu Options"/>
    <w:rsid w:val="00E5590D"/>
    <w:rPr>
      <w:rFonts w:ascii="Arial Narrow" w:hAnsi="Arial Narrow"/>
      <w:smallCaps/>
    </w:rPr>
  </w:style>
  <w:style w:type="character" w:customStyle="1" w:styleId="Buttons">
    <w:name w:val="Buttons"/>
    <w:rsid w:val="00E5590D"/>
    <w:rPr>
      <w:b/>
    </w:rPr>
  </w:style>
  <w:style w:type="character" w:customStyle="1" w:styleId="Underlined">
    <w:name w:val="Underlined"/>
    <w:rsid w:val="00E5590D"/>
    <w:rPr>
      <w:u w:val="single"/>
    </w:rPr>
  </w:style>
  <w:style w:type="paragraph" w:customStyle="1" w:styleId="TableBodyTextRight">
    <w:name w:val="Table Body Text Right"/>
    <w:basedOn w:val="TableBodyText"/>
    <w:rsid w:val="00E5590D"/>
    <w:pPr>
      <w:widowControl w:val="0"/>
      <w:autoSpaceDE w:val="0"/>
      <w:autoSpaceDN w:val="0"/>
      <w:adjustRightInd w:val="0"/>
      <w:jc w:val="right"/>
    </w:pPr>
    <w:rPr>
      <w:rFonts w:cs="Arial"/>
      <w:szCs w:val="18"/>
    </w:rPr>
  </w:style>
  <w:style w:type="paragraph" w:customStyle="1" w:styleId="CopyrightText">
    <w:name w:val="Copyright Text"/>
    <w:basedOn w:val="BodyText"/>
    <w:rsid w:val="00E5590D"/>
    <w:rPr>
      <w:sz w:val="18"/>
    </w:rPr>
  </w:style>
  <w:style w:type="paragraph" w:customStyle="1" w:styleId="BodySmallRight">
    <w:name w:val="Body Small Right"/>
    <w:basedOn w:val="BodyTextRight"/>
    <w:rsid w:val="00E5590D"/>
    <w:rPr>
      <w:sz w:val="18"/>
      <w:szCs w:val="18"/>
    </w:rPr>
  </w:style>
  <w:style w:type="paragraph" w:customStyle="1" w:styleId="MarginEdition">
    <w:name w:val="Margin Edition"/>
    <w:basedOn w:val="MarginNote"/>
    <w:rsid w:val="00E5590D"/>
    <w:pPr>
      <w:spacing w:before="0" w:after="0"/>
    </w:pPr>
    <w:rPr>
      <w:rFonts w:ascii="Times New Roman" w:hAnsi="Times New Roman"/>
      <w:color w:val="999999"/>
    </w:rPr>
  </w:style>
  <w:style w:type="paragraph" w:customStyle="1" w:styleId="Spacer">
    <w:name w:val="Spacer"/>
    <w:basedOn w:val="Normal"/>
    <w:rsid w:val="00E5590D"/>
    <w:rPr>
      <w:sz w:val="2"/>
      <w:szCs w:val="2"/>
    </w:rPr>
  </w:style>
  <w:style w:type="character" w:customStyle="1" w:styleId="Small">
    <w:name w:val="Small"/>
    <w:rsid w:val="00E5590D"/>
    <w:rPr>
      <w:sz w:val="16"/>
    </w:rPr>
  </w:style>
  <w:style w:type="paragraph" w:customStyle="1" w:styleId="WideTable">
    <w:name w:val="Wide Table"/>
    <w:basedOn w:val="Normal"/>
    <w:rsid w:val="00E5590D"/>
    <w:pPr>
      <w:ind w:left="-1418"/>
    </w:pPr>
    <w:rPr>
      <w:sz w:val="2"/>
      <w:szCs w:val="2"/>
    </w:rPr>
  </w:style>
  <w:style w:type="character" w:styleId="PageNumber">
    <w:name w:val="page number"/>
    <w:rsid w:val="00E5590D"/>
  </w:style>
  <w:style w:type="paragraph" w:styleId="Quote">
    <w:name w:val="Quote"/>
    <w:basedOn w:val="Heading1"/>
    <w:link w:val="QuoteChar"/>
    <w:qFormat/>
    <w:rsid w:val="00E5590D"/>
    <w:rPr>
      <w:b w:val="0"/>
      <w:sz w:val="72"/>
      <w:szCs w:val="72"/>
      <w:lang w:val="en-NZ"/>
    </w:rPr>
  </w:style>
  <w:style w:type="character" w:customStyle="1" w:styleId="QuoteChar">
    <w:name w:val="Quote Char"/>
    <w:link w:val="Quote"/>
    <w:rsid w:val="00E55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90D"/>
    <w:pPr>
      <w:pageBreakBefore/>
    </w:pPr>
  </w:style>
  <w:style w:type="paragraph" w:customStyle="1" w:styleId="Border">
    <w:name w:val="Border"/>
    <w:basedOn w:val="Normal"/>
    <w:qFormat/>
    <w:rsid w:val="00E5590D"/>
    <w:pPr>
      <w:pBdr>
        <w:top w:val="single" w:sz="18" w:space="1" w:color="auto"/>
      </w:pBdr>
    </w:pPr>
    <w:rPr>
      <w:rFonts w:ascii="Times New Roman" w:hAnsi="Times New Roman"/>
      <w:color w:val="FFFFFF"/>
      <w:sz w:val="2"/>
    </w:rPr>
  </w:style>
  <w:style w:type="character" w:styleId="IntenseEmphasis">
    <w:name w:val="Intense Emphasis"/>
    <w:uiPriority w:val="21"/>
    <w:qFormat/>
    <w:rsid w:val="00E5590D"/>
    <w:rPr>
      <w:b/>
      <w:bCs/>
      <w:i/>
      <w:iCs/>
      <w:color w:val="auto"/>
    </w:rPr>
  </w:style>
  <w:style w:type="paragraph" w:styleId="IntenseQuote">
    <w:name w:val="Intense Quote"/>
    <w:basedOn w:val="Normal"/>
    <w:next w:val="Normal"/>
    <w:link w:val="IntenseQuoteChar"/>
    <w:uiPriority w:val="30"/>
    <w:qFormat/>
    <w:rsid w:val="00E559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590D"/>
    <w:rPr>
      <w:rFonts w:ascii="Courier New" w:eastAsia="Times New Roman" w:hAnsi="Courier New" w:cs="Times New Roman"/>
      <w:b/>
      <w:bCs/>
      <w:i/>
      <w:iCs/>
      <w:szCs w:val="20"/>
      <w:lang w:val="en-US" w:eastAsia="en-US"/>
    </w:rPr>
  </w:style>
  <w:style w:type="character" w:styleId="SubtleReference">
    <w:name w:val="Subtle Reference"/>
    <w:uiPriority w:val="31"/>
    <w:qFormat/>
    <w:rsid w:val="00E5590D"/>
    <w:rPr>
      <w:smallCaps/>
      <w:color w:val="auto"/>
      <w:u w:val="single"/>
    </w:rPr>
  </w:style>
  <w:style w:type="character" w:styleId="IntenseReference">
    <w:name w:val="Intense Reference"/>
    <w:uiPriority w:val="32"/>
    <w:qFormat/>
    <w:rsid w:val="00E5590D"/>
    <w:rPr>
      <w:b/>
      <w:bCs/>
      <w:smallCaps/>
      <w:color w:val="auto"/>
      <w:spacing w:val="5"/>
      <w:u w:val="single"/>
    </w:rPr>
  </w:style>
  <w:style w:type="paragraph" w:customStyle="1" w:styleId="2ColumnHeading">
    <w:name w:val="2Column Heading"/>
    <w:basedOn w:val="BodyText"/>
    <w:qFormat/>
    <w:rsid w:val="00E5590D"/>
    <w:pPr>
      <w:spacing w:after="60"/>
      <w:ind w:left="-2268"/>
    </w:pPr>
    <w:rPr>
      <w:b/>
    </w:rPr>
  </w:style>
  <w:style w:type="paragraph" w:customStyle="1" w:styleId="Heading1TOC">
    <w:name w:val="Heading1 TOC"/>
    <w:basedOn w:val="Normal"/>
    <w:qFormat/>
    <w:rsid w:val="00E5590D"/>
    <w:pPr>
      <w:spacing w:before="240" w:after="120"/>
    </w:pPr>
    <w:rPr>
      <w:rFonts w:ascii="Times New Roman" w:hAnsi="Times New Roman"/>
      <w:b/>
      <w:sz w:val="32"/>
    </w:rPr>
  </w:style>
  <w:style w:type="paragraph" w:customStyle="1" w:styleId="Heading2TOC">
    <w:name w:val="Heading2 TOC"/>
    <w:basedOn w:val="Normal"/>
    <w:qFormat/>
    <w:rsid w:val="00E5590D"/>
    <w:pPr>
      <w:spacing w:before="240" w:after="60"/>
    </w:pPr>
    <w:rPr>
      <w:rFonts w:ascii="Times New Roman" w:hAnsi="Times New Roman"/>
      <w:b/>
      <w:sz w:val="28"/>
    </w:rPr>
  </w:style>
  <w:style w:type="character" w:customStyle="1" w:styleId="Underline">
    <w:name w:val="Underline"/>
    <w:qFormat/>
    <w:rsid w:val="00E5590D"/>
    <w:rPr>
      <w:u w:val="single"/>
    </w:rPr>
  </w:style>
  <w:style w:type="character" w:customStyle="1" w:styleId="BoldandItalics">
    <w:name w:val="Bold and Italics"/>
    <w:qFormat/>
    <w:rsid w:val="00E5590D"/>
    <w:rPr>
      <w:b/>
      <w:i/>
      <w:u w:val="none"/>
    </w:rPr>
  </w:style>
  <w:style w:type="paragraph" w:styleId="BalloonText">
    <w:name w:val="Balloon Text"/>
    <w:basedOn w:val="Normal"/>
    <w:link w:val="BalloonTextChar"/>
    <w:rsid w:val="00E5590D"/>
    <w:rPr>
      <w:rFonts w:ascii="Tahoma" w:hAnsi="Tahoma" w:cs="Tahoma"/>
      <w:sz w:val="16"/>
      <w:szCs w:val="16"/>
    </w:rPr>
  </w:style>
  <w:style w:type="character" w:customStyle="1" w:styleId="BalloonTextChar">
    <w:name w:val="Balloon Text Char"/>
    <w:link w:val="BalloonText"/>
    <w:rsid w:val="00E559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9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59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2891</Words>
  <Characters>18346</Characters>
  <Application>Microsoft Office Word</Application>
  <DocSecurity>0</DocSecurity>
  <Lines>829</Lines>
  <Paragraphs>349</Paragraphs>
  <ScaleCrop>false</ScaleCrop>
  <Company>Author-it Software Corporation Ltd.</Company>
  <LinksUpToDate>false</LinksUpToDate>
  <CharactersWithSpaces>20989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UETTDRIS61A Install mobile generation set for synchronised LV Genset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2012-05-26T12:14:00Z</dcterms:created>
  <dcterms:modified xsi:type="dcterms:W3CDTF">2012-05-26T12:14:00Z</dcterms:modified>
</cp:coreProperties>
</file>