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663" w:rsidP="002D4663">
      <w:pPr>
        <w:pStyle w:val="Title"/>
      </w:pPr>
      <w:bookmarkStart w:id="0" w:name="_GoBack"/>
      <w:bookmarkEnd w:id="0"/>
      <w:r>
        <w:fldChar w:fldCharType="begin"/>
      </w:r>
      <w:r>
        <w:instrText xml:space="preserve"> TITLE   \* MERGEFORMAT </w:instrText>
      </w:r>
      <w:r>
        <w:fldChar w:fldCharType="separate"/>
      </w:r>
      <w:r>
        <w:t>UETTDRIS60A Install and replace power system energy meters and associated equipment</w:t>
      </w:r>
      <w:r>
        <w:fldChar w:fldCharType="end"/>
      </w:r>
    </w:p>
    <w:p w:rsidR="002D4663" w:rsidP="002D4663">
      <w:pPr>
        <w:pStyle w:val="Version"/>
        <w:sectPr w:rsidSect="00C11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05A" w:rsidP="00C1105A">
      <w:pPr>
        <w:pStyle w:val="SuperHeading"/>
      </w:pPr>
      <w:r w:rsidRPr="00C1105A">
        <w:t>UETTDRIS60A Install and replace power system energy meters and associated equipment</w:t>
      </w:r>
    </w:p>
    <w:p w:rsidR="00000000" w:rsidRPr="00C1105A" w:rsidP="00C1105A">
      <w:pPr>
        <w:pStyle w:val="Heading1"/>
      </w:pPr>
      <w:bookmarkStart w:id="1" w:name="O_462746"/>
      <w:bookmarkEnd w:id="1"/>
      <w:r w:rsidRPr="00C1105A">
        <w:t>Modification History</w:t>
      </w:r>
    </w:p>
    <w:p w:rsidR="00000000" w:rsidRPr="00C1105A" w:rsidP="00C1105A">
      <w:pPr>
        <w:pStyle w:val="BodyText"/>
      </w:pPr>
      <w:r w:rsidRPr="00C1105A">
        <w:t>Not applicable.</w:t>
      </w:r>
    </w:p>
    <w:p w:rsidR="00000000" w:rsidRPr="00C1105A" w:rsidP="00C1105A">
      <w:pPr>
        <w:pStyle w:val="AllowPageBreak"/>
      </w:pPr>
    </w:p>
    <w:p w:rsidR="00000000" w:rsidRPr="00C1105A" w:rsidP="00C1105A">
      <w:pPr>
        <w:pStyle w:val="Heading1"/>
      </w:pPr>
      <w:bookmarkStart w:id="2" w:name="O_462744"/>
      <w:bookmarkEnd w:id="2"/>
      <w:r w:rsidRPr="00C1105A">
        <w:t>Unit Descrip</w:t>
      </w:r>
      <w:r w:rsidRPr="00C1105A">
        <w:t>tor</w:t>
      </w:r>
    </w:p>
    <w:tbl>
      <w:tblPr>
        <w:tblW w:w="0" w:type="auto"/>
        <w:tblLayout w:type="fixed"/>
        <w:tblCellMar>
          <w:left w:w="62" w:type="dxa"/>
          <w:right w:w="62" w:type="dxa"/>
        </w:tblCellMar>
        <w:tblLook w:val="0000"/>
      </w:tblPr>
      <w:tblGrid>
        <w:gridCol w:w="2700"/>
        <w:gridCol w:w="5760"/>
      </w:tblGrid>
      <w:tr w:rsidTr="002D46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1)</w:t>
            </w:r>
            <w:r w:rsidRPr="00C1105A">
              <w:t xml:space="preserve"> </w:t>
            </w:r>
            <w:r w:rsidRPr="00C1105A">
              <w:rPr>
                <w:rStyle w:val="SpecialBold"/>
              </w:rPr>
              <w:t>Scope: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10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1.1) Descriptor</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 xml:space="preserve">This Competency Standard Unit covers the installation and replacement of whole current energy meters and associated equipment, where replacement </w:t>
            </w:r>
            <w:r w:rsidRPr="00C1105A">
              <w:t>may include the identification of faults in accordance with established procedures and return to service. It includes the requirements to ascertain if normal functions of the meters and associated equipment are in accordance with established procedures.</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3" w:name="O_462733"/>
      <w:bookmarkEnd w:id="3"/>
      <w:r w:rsidRPr="00C1105A">
        <w:t>Application of the Unit</w:t>
      </w:r>
    </w:p>
    <w:tbl>
      <w:tblPr>
        <w:tblW w:w="0" w:type="auto"/>
        <w:tblLayout w:type="fixed"/>
        <w:tblCellMar>
          <w:left w:w="62" w:type="dxa"/>
          <w:right w:w="62" w:type="dxa"/>
        </w:tblCellMar>
        <w:tblLook w:val="0000"/>
      </w:tblPr>
      <w:tblGrid>
        <w:gridCol w:w="2672"/>
        <w:gridCol w:w="5699"/>
      </w:tblGrid>
      <w:tr w:rsidTr="002D466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2)</w:t>
            </w:r>
          </w:p>
        </w:tc>
      </w:tr>
      <w:tr w:rsidTr="002D466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This Competency Standard Unit is intended to augment formally acquired competencies. It is suitable for employment-based programs under an approved contract of training.</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4" w:name="O_462740"/>
      <w:bookmarkEnd w:id="4"/>
      <w:r w:rsidRPr="00C1105A">
        <w:t>Licensing/Regulatory Information</w:t>
      </w:r>
    </w:p>
    <w:tbl>
      <w:tblPr>
        <w:tblW w:w="0" w:type="auto"/>
        <w:tblLayout w:type="fixed"/>
        <w:tblCellMar>
          <w:left w:w="62" w:type="dxa"/>
          <w:right w:w="62" w:type="dxa"/>
        </w:tblCellMar>
        <w:tblLook w:val="0000"/>
      </w:tblPr>
      <w:tblGrid>
        <w:gridCol w:w="2700"/>
        <w:gridCol w:w="5760"/>
      </w:tblGrid>
      <w:tr w:rsidTr="002D46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 xml:space="preserve">3)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The skills and knowledge described in this unit may require a licence/registration to practice in the work place subject to regulations for undertaking of electrical work. Practice in workp</w:t>
            </w:r>
            <w:r w:rsidRPr="00C1105A">
              <w:t xml:space="preserve">lace and during training is also subject to regulations directly related to Occupational Health and Safety, electricity/telecommunications/gas/water industry safety and compliance, industrial relations, environmental </w:t>
            </w:r>
            <w:r w:rsidRPr="00C1105A">
              <w:t>protection, anti discrimination and tra</w:t>
            </w:r>
            <w:r w:rsidRPr="00C1105A">
              <w:t>ining. Commonwealth, State/Territory or Local Government legislation and regulations may exist that limits the age of operating certain equipment.</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5" w:name="O_462741"/>
      <w:bookmarkEnd w:id="5"/>
      <w:r w:rsidRPr="00C1105A">
        <w:t>Pre-Requisites</w:t>
      </w:r>
    </w:p>
    <w:tbl>
      <w:tblPr>
        <w:tblW w:w="0" w:type="auto"/>
        <w:tblLayout w:type="fixed"/>
        <w:tblCellMar>
          <w:left w:w="62" w:type="dxa"/>
          <w:right w:w="62" w:type="dxa"/>
        </w:tblCellMar>
        <w:tblLook w:val="0000"/>
      </w:tblPr>
      <w:tblGrid>
        <w:gridCol w:w="2700"/>
        <w:gridCol w:w="1980"/>
        <w:gridCol w:w="3780"/>
      </w:tblGrid>
      <w:tr w:rsidTr="002D46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 xml:space="preserve">4)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4.1)</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Granting of competency in this unit shall be made only after competency in the following unit(s) has/have been confirmed.</w:t>
            </w:r>
          </w:p>
          <w:p w:rsidR="00000000" w:rsidRPr="00C1105A" w:rsidP="00C1105A">
            <w:pPr>
              <w:pStyle w:val="BodyText"/>
            </w:pPr>
            <w:r w:rsidRPr="00C1105A">
              <w:t xml:space="preserve">Where pre-requisite pathways have been identified. All competencies in the Common Unit Group must be have been completed plus all the </w:t>
            </w:r>
            <w:r w:rsidRPr="00C1105A">
              <w:t>competencies in one (1) of the identified Pathway Unit Group(s):</w:t>
            </w:r>
          </w:p>
          <w:p w:rsidR="00000000" w:rsidRPr="00C1105A" w:rsidP="00C1105A">
            <w:pPr>
              <w:pStyle w:val="BodyText"/>
            </w:pPr>
            <w:r w:rsidRPr="00C1105A">
              <w:t>Distribution Overhead</w:t>
            </w:r>
          </w:p>
          <w:p w:rsidR="00000000" w:rsidRPr="00C1105A" w:rsidP="00C1105A">
            <w:pPr>
              <w:pStyle w:val="BodyText"/>
            </w:pPr>
            <w:r w:rsidRPr="00C1105A">
              <w:t>Distribution Cable Jointing</w:t>
            </w:r>
          </w:p>
          <w:p w:rsidR="00000000" w:rsidRPr="00C1105A" w:rsidP="00C1105A">
            <w:pPr>
              <w:pStyle w:val="BodyText"/>
            </w:pPr>
            <w:r w:rsidRPr="00C1105A">
              <w:t>Electrotechnology Electrician</w:t>
            </w:r>
          </w:p>
          <w:p w:rsidR="00000000" w:rsidP="00C1105A">
            <w:pPr>
              <w:pStyle w:val="BodyText"/>
              <w:rPr>
                <w:lang w:val="en-NZ"/>
              </w:rPr>
            </w:pPr>
            <w:r w:rsidRPr="00C1105A">
              <w:t>Common Unit Group</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Code</w:t>
            </w:r>
          </w:p>
        </w:tc>
        <w:tc>
          <w:tcPr>
            <w:tcW w:w="37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Title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Apply Occupational Health and Safety regulations, codes</w:t>
            </w:r>
            <w:r w:rsidRPr="00C1105A">
              <w:t xml:space="preserve"> and practices in the workplace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Fabricate, assemble and dismantle utilities industry components</w:t>
            </w:r>
          </w:p>
        </w:tc>
      </w:tr>
      <w:tr w:rsidTr="002D466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Solve problems in d.c.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Fix and secure electrotechnology equipment</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Use</w:t>
            </w:r>
            <w:r w:rsidRPr="00C1105A">
              <w:t xml:space="preserve"> drawings, diagrams, schedules, standards, codes and specifications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Solve problems in electromagnetic devices and related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Solve problems in low voltage a.c.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 xml:space="preserve">Working safely near live electrical apparatus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Distribution Overhead Pathway Group</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Code</w:t>
            </w:r>
          </w:p>
        </w:tc>
        <w:tc>
          <w:tcPr>
            <w:tcW w:w="37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Title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UETTDRDP12A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Maintain overhead energised low voltage conductors and cables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Apply sustainable energy and environmental procedures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Operate plant and equipment near live electrical conductors and apparatus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network infrastructure electrical equipment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Maintain network infrastructure electrical equipment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UETTDRIS52A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Install and maintai</w:t>
            </w:r>
            <w:r w:rsidRPr="00C1105A">
              <w:t>n poles, structures and associated hardware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and maintain poles, structures, overhead conductors and cables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UETTDRIS56A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and maintain low voltage overhead services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Distribution Cable Jointing Pathway Group</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Code</w:t>
            </w:r>
          </w:p>
        </w:tc>
        <w:tc>
          <w:tcPr>
            <w:tcW w:w="37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Title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Lay ESI electrical cables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and maintain de-energised low voltage underground polymeric cables.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and maintain de-energised high voltage underground polymeric cables.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Apply sustainable energy and environmental procedures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Operate plant and equipment near live electrical conductors and apparatus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network infrastructure electrical equipment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Maintain network infrastructure electrical equipment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P="00C1105A">
            <w:pPr>
              <w:pStyle w:val="BodyText"/>
              <w:rPr>
                <w:lang w:val="en-NZ"/>
              </w:rPr>
            </w:pPr>
            <w:r w:rsidRPr="00C1105A">
              <w:t xml:space="preserve">Install and maintain low voltage underground services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Electrotechnology Electrician Pathway Group</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Code</w:t>
            </w:r>
          </w:p>
        </w:tc>
        <w:tc>
          <w:tcPr>
            <w:tcW w:w="37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Unit Title</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UEENEEE137A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Document and apply measures to control OHS risks associated with electrotechnology work</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Solve problems in single and three phase low voltage machines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Solve problems in single and three phase electrical apparatus and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Arrange circuits, control and protection for general electrical installations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Install low voltage wiring and accessories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Install appliances, switchgear and associated accessories for low voltage electrical installati</w:t>
            </w:r>
            <w:r w:rsidRPr="00C1105A">
              <w:t>ons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Terminate cables, cords and accessories for low voltage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Select wiring systems and cables for low voltage general electrical installations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Trouble-shoot and repair faults in low voltage electrical apparatus and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Develop and connect electrical control circuits</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105A">
            <w:pPr>
              <w:pStyle w:val="BodyText"/>
              <w:rPr>
                <w:lang w:val="en-NZ"/>
              </w:rPr>
            </w:pPr>
            <w:r w:rsidRPr="00C1105A">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RPr="00C1105A" w:rsidP="00C1105A">
            <w:pPr>
              <w:pStyle w:val="BodyText"/>
            </w:pPr>
            <w:r w:rsidRPr="00C1105A">
              <w:t>Apply environmentally and sustainable energy procedures in the energy sector</w:t>
            </w:r>
          </w:p>
        </w:tc>
      </w:tr>
    </w:tbl>
    <w:p w:rsidR="00000000" w:rsidRPr="00C1105A" w:rsidP="00C1105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D466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Literacy and numerac</w:t>
            </w:r>
            <w:r w:rsidRPr="00C1105A">
              <w:rPr>
                <w:rStyle w:val="SpecialBold"/>
              </w:rPr>
              <w:t>y skills</w:t>
            </w:r>
          </w:p>
        </w:tc>
        <w:tc>
          <w:tcPr>
            <w:tcW w:w="5760" w:type="dxa"/>
            <w:gridSpan w:val="6"/>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 xml:space="preserve">4.2)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Participants are best equipped to achieve this unit if they have reading, writing and numeracy skills indicated by the following scales. Description of each scale is given in Volume 2, Part 3 “Literacy and Numeracy”</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Reading</w:t>
            </w:r>
          </w:p>
        </w:tc>
        <w:tc>
          <w:tcPr>
            <w:tcW w:w="81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w:t>
            </w:r>
          </w:p>
        </w:tc>
        <w:tc>
          <w:tcPr>
            <w:tcW w:w="99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Writing</w:t>
            </w:r>
          </w:p>
        </w:tc>
        <w:tc>
          <w:tcPr>
            <w:tcW w:w="90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w:t>
            </w:r>
          </w:p>
        </w:tc>
        <w:tc>
          <w:tcPr>
            <w:tcW w:w="12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Numeracy</w:t>
            </w:r>
          </w:p>
        </w:tc>
        <w:tc>
          <w:tcPr>
            <w:tcW w:w="72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3</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6" w:name="O_462737"/>
      <w:bookmarkEnd w:id="6"/>
      <w:r w:rsidRPr="00C1105A">
        <w:t>Employability Skills Information</w:t>
      </w:r>
    </w:p>
    <w:tbl>
      <w:tblPr>
        <w:tblW w:w="0" w:type="auto"/>
        <w:tblLayout w:type="fixed"/>
        <w:tblCellMar>
          <w:left w:w="62" w:type="dxa"/>
          <w:right w:w="62" w:type="dxa"/>
        </w:tblCellMar>
        <w:tblLook w:val="0000"/>
      </w:tblPr>
      <w:tblGrid>
        <w:gridCol w:w="2700"/>
        <w:gridCol w:w="5760"/>
      </w:tblGrid>
      <w:tr w:rsidTr="002D46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 xml:space="preserve">5)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 xml:space="preserve">The required outcomes described in this unit of competency contain applicable facets of Employability Skills. The Employability Skills Summary </w:t>
            </w:r>
            <w:r w:rsidRPr="00C1105A">
              <w:t>of the qualification in which this unit of competency is packaged will assist in identifying Employability Skill requirements.</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7" w:name="O_462736"/>
      <w:bookmarkEnd w:id="7"/>
      <w:r w:rsidRPr="00C1105A">
        <w:t>Elements and Performance Criteria Pre-Content</w:t>
      </w:r>
    </w:p>
    <w:tbl>
      <w:tblPr>
        <w:tblW w:w="0" w:type="auto"/>
        <w:tblLayout w:type="fixed"/>
        <w:tblCellMar>
          <w:left w:w="62" w:type="dxa"/>
          <w:right w:w="62" w:type="dxa"/>
        </w:tblCellMar>
        <w:tblLook w:val="0000"/>
      </w:tblPr>
      <w:tblGrid>
        <w:gridCol w:w="2700"/>
        <w:gridCol w:w="5760"/>
      </w:tblGrid>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6)</w:t>
            </w:r>
            <w:r w:rsidRPr="00C1105A">
              <w:t xml:space="preserve"> Elements describe the essential outcomes of a competency stan</w:t>
            </w:r>
            <w:r w:rsidRPr="00C1105A">
              <w:t>dard unit</w:t>
            </w:r>
          </w:p>
        </w:tc>
        <w:tc>
          <w:tcPr>
            <w:tcW w:w="57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Performance Criteria describe the required performance needed to demonstrate achievement of the element. Assessment of performance is to be consistent with the Evidence Guide.</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8" w:name="O_462735"/>
      <w:bookmarkEnd w:id="8"/>
      <w:r w:rsidRPr="00C1105A">
        <w:t>Elements and Performance Criteria</w:t>
      </w:r>
    </w:p>
    <w:tbl>
      <w:tblPr>
        <w:tblW w:w="0" w:type="auto"/>
        <w:tblLayout w:type="fixed"/>
        <w:tblCellMar>
          <w:left w:w="62" w:type="dxa"/>
          <w:right w:w="62" w:type="dxa"/>
        </w:tblCellMar>
        <w:tblLook w:val="0000"/>
      </w:tblPr>
      <w:tblGrid>
        <w:gridCol w:w="406"/>
        <w:gridCol w:w="2294"/>
        <w:gridCol w:w="838"/>
        <w:gridCol w:w="5102"/>
      </w:tblGrid>
      <w:tr w:rsidTr="002D466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PERFORMA</w:t>
            </w:r>
            <w:r w:rsidRPr="00C1105A">
              <w:rPr>
                <w:rStyle w:val="SpecialBold"/>
              </w:rPr>
              <w:t>NCE CRITERIA</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w:t>
            </w:r>
          </w:p>
        </w:tc>
        <w:tc>
          <w:tcPr>
            <w:tcW w:w="2294" w:type="dxa"/>
            <w:vMerge w:val="restart"/>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Prepare for the installation and replacement of energy meters and associated equipment</w:t>
            </w: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1.1</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 xml:space="preserve">Works schedule(s), including drawings, plans, requirements, established procedures, and material lists, are received, analysed and confirmed, </w:t>
            </w:r>
            <w:r w:rsidRPr="00C1105A">
              <w:t>if necessary, by site inspection.</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1.2</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Relevant requirements and established procedures for the work are communicated to all personnel and identified for all work sites.</w:t>
            </w:r>
          </w:p>
        </w:tc>
      </w:tr>
      <w:tr w:rsidTr="002D4663">
        <w:tblPrEx>
          <w:tblW w:w="0" w:type="auto"/>
          <w:tblLayout w:type="fixed"/>
          <w:tblCellMar>
            <w:left w:w="62" w:type="dxa"/>
            <w:right w:w="62" w:type="dxa"/>
          </w:tblCellMar>
          <w:tblLook w:val="0000"/>
        </w:tblPrEx>
        <w:trPr>
          <w:trHeight w:val="1310"/>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1.3</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OHS policies and procedures related</w:t>
            </w:r>
            <w:r w:rsidRPr="00C1105A">
              <w:t xml:space="preserve"> to requirements and established procedures for the installation and replacement of energy meters and associated equipment are obtained and confirmed for the purposes of the work to be performed and communicated.</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1.4</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Work is prioritised and sequenced fo</w:t>
            </w:r>
            <w:r w:rsidRPr="00C1105A">
              <w:t>llowing consultation with others for completion within acceptable timeframes and in accordance with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1.5</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Hazards are identified, OHS risks assessed and control measures are prioritised, implemented and monitored including emergency exits kept clear according to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1.6</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Resources including personnel, equipment, tools and Resources includ</w:t>
            </w:r>
            <w:r w:rsidRPr="00C1105A">
              <w:t>ing personnel, equipment, tools and personnel protective equipment required for the job are obtained and confirmed in working order.</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1.7</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Relevant personnel at worksite are confirmed current in First Aid, Rescue and other related work procedures accordin</w:t>
            </w:r>
            <w:r w:rsidRPr="00C1105A">
              <w:t>g to requirements.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1.8</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Liaison and communication issues with other/authorised personnel, authorities, clients and land owners are resolved to carry out work where necessary.</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1.9</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Site is prepared according to the work schedule and to minimise risk and damage to property, commerce, and individuals in accordance with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1.10</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Personnel participating in the work, including plant operators and contractors, are fu</w:t>
            </w:r>
            <w:r w:rsidRPr="00C1105A">
              <w:t>lly briefed and respective responsibilities confirmed where applicable in accordance with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1.11</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Road signs, barriers and warning devices are positioned in accordance with requirements.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w:t>
            </w:r>
          </w:p>
        </w:tc>
        <w:tc>
          <w:tcPr>
            <w:tcW w:w="2294"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Carry out the installation and replacement</w:t>
            </w:r>
            <w:r w:rsidRPr="00C1105A">
              <w:t xml:space="preserve"> of energy meters and associated equipment</w:t>
            </w: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2.1</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OHS and sustainable energy principles and practices to reduce the incidents of accidents and minimise waste are monitored and followed in accordance with requirements and/or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2.2</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Lift</w:t>
            </w:r>
            <w:r w:rsidRPr="00C1105A">
              <w:t>ing, and use of power tools/equipment, techniques and practices are safely followed and, currency according to requirements confirmed.</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2.3</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Essential knowledge and associated skills are applied in the safe installation and replacement of energy meters and associated equipment to ensure completion in an agreed timeframe and, to quality standards with a minimum of waste according to requirements</w:t>
            </w:r>
            <w:r w:rsidRPr="00C1105A">
              <w:t>.</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2.4</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Installation and/or replacement of energy meters and associated equipment is carried out, including, as required, wiring, testing, programming and sealing and of meter(s) and associated equipment in accordance with requirements and enterprise requ</w:t>
            </w:r>
            <w:r w:rsidRPr="00C1105A">
              <w:t>irements.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2.5</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Hazard warnings and safety signs are recognised and hazards and assessed OHS risks are reported to the immediate authorised persons for directions according to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2.6</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Unplanned events during the installation and rep</w:t>
            </w:r>
            <w:r w:rsidRPr="00C1105A">
              <w:t>lacement of energy meters and associated equipment are undertaken within the scope of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2.7</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Known solutions to a variety of problems are applied using acquired essential knowledge and associated skills.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2.8</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Ongoing checks of quality of the work are undertaken in accordance with instructions and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w:t>
            </w:r>
          </w:p>
        </w:tc>
        <w:tc>
          <w:tcPr>
            <w:tcW w:w="2294" w:type="dxa"/>
            <w:vMerge w:val="restart"/>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Complete the installation and replacement of energy meters and associated equipment</w:t>
            </w: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3.1</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Work undertaken is checked/tested against works sche</w:t>
            </w:r>
            <w:r w:rsidRPr="00C1105A">
              <w:t>dule for conformance with requirements and anomalies reported in accordance with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3.2</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Accidents and/or injuries are reported in accordance with requirements/established procedures, where applicable.</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3.3</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Work site is rehabilitated, cleaned up and made safe in accordance with established 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3.4</w:t>
            </w:r>
          </w:p>
        </w:tc>
        <w:tc>
          <w:tcPr>
            <w:tcW w:w="5102"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 xml:space="preserve">Tools, equipment and any surplus resources and materials are, where appropriate, cleaned, checked and returned to storage in accordance with established </w:t>
            </w:r>
            <w:r w:rsidRPr="00C1105A">
              <w:t>procedures.</w:t>
            </w:r>
          </w:p>
        </w:tc>
      </w:tr>
      <w:tr w:rsidTr="002D466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t>3.5</w:t>
            </w:r>
          </w:p>
        </w:tc>
        <w:tc>
          <w:tcPr>
            <w:tcW w:w="5102"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Works completion records, reports, as installed /modified drawing and/or documentation and information are finalised and processed and appropriate personnel notified.</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9" w:name="O_462743"/>
      <w:bookmarkEnd w:id="9"/>
      <w:r w:rsidRPr="00C1105A">
        <w:t>Required Skills and Knowledge</w:t>
      </w:r>
    </w:p>
    <w:tbl>
      <w:tblPr>
        <w:tblW w:w="0" w:type="auto"/>
        <w:tblLayout w:type="fixed"/>
        <w:tblCellMar>
          <w:left w:w="62" w:type="dxa"/>
          <w:right w:w="62" w:type="dxa"/>
        </w:tblCellMar>
        <w:tblLook w:val="0000"/>
      </w:tblPr>
      <w:tblGrid>
        <w:gridCol w:w="8460"/>
      </w:tblGrid>
      <w:tr w:rsidTr="002D46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REQUIRED SKILLS AND KNOWLEDGE</w:t>
            </w:r>
          </w:p>
        </w:tc>
      </w:tr>
      <w:tr w:rsidTr="002D466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8)</w:t>
            </w:r>
            <w:r w:rsidRPr="00C1105A">
              <w:t xml:space="preserve"> Essential Knowledge and Associated Skills (EKAS): This describes the essential skills and knowledge and their level, required for this unit.</w:t>
            </w:r>
          </w:p>
          <w:p w:rsidR="00000000" w:rsidRPr="00C1105A" w:rsidP="00C1105A">
            <w:pPr>
              <w:pStyle w:val="BodyText"/>
            </w:pPr>
            <w:r w:rsidRPr="00C1105A">
              <w:t xml:space="preserve">Evidence shall show that knowledge has been acquired of installing and replacing </w:t>
            </w:r>
            <w:r w:rsidRPr="00C1105A">
              <w:t>energy meters and associated equipment.</w:t>
            </w:r>
          </w:p>
          <w:p w:rsidR="00000000" w:rsidRPr="00C1105A" w:rsidP="00C1105A">
            <w:pPr>
              <w:pStyle w:val="BodyText"/>
            </w:pPr>
            <w:r w:rsidRPr="00C1105A">
              <w:t>All knowledge and skills detailed in this unit should be contextualised to current industry practices and technologies.</w:t>
            </w:r>
          </w:p>
          <w:p w:rsidR="00000000" w:rsidRPr="00C1105A" w:rsidP="00C1105A">
            <w:pPr>
              <w:pStyle w:val="BodyText"/>
            </w:pPr>
            <w:r w:rsidRPr="00C1105A">
              <w:t xml:space="preserve">KS01-TIS60A </w:t>
            </w:r>
            <w:r w:rsidRPr="00C1105A">
              <w:tab/>
              <w:t>Power system energy meters and associated equipment</w:t>
            </w:r>
          </w:p>
          <w:p w:rsidR="00000000" w:rsidRPr="00C1105A" w:rsidP="00C1105A">
            <w:pPr>
              <w:pStyle w:val="BodyText"/>
            </w:pPr>
            <w:r w:rsidRPr="00C1105A">
              <w:t>Evidence shall show an understa</w:t>
            </w:r>
            <w:r w:rsidRPr="00C1105A">
              <w:t>nding of the installation and/or replacement power system energy meters and associated equipment to an extent indicated by the following aspects:</w:t>
            </w:r>
          </w:p>
          <w:p w:rsidR="00000000" w:rsidRPr="00C1105A" w:rsidP="00C1105A">
            <w:pPr>
              <w:pStyle w:val="BodyText"/>
            </w:pPr>
            <w:r w:rsidRPr="00C1105A">
              <w:t>T1</w:t>
            </w:r>
            <w:r w:rsidRPr="00C1105A">
              <w:tab/>
              <w:t>Cable protection and support method and accessories encompassing:</w:t>
            </w:r>
          </w:p>
          <w:p w:rsidR="00000000" w:rsidRPr="00C1105A" w:rsidP="00C1105A">
            <w:pPr>
              <w:pStyle w:val="ListBullet"/>
            </w:pPr>
            <w:r w:rsidRPr="00C1105A">
              <w:t>Requirements to protect and support cables adequately - protection against mechanical damage, protection from adverse temperatures and corrosion and protection from magnetic field that may affect the performance of the cable.</w:t>
            </w:r>
          </w:p>
          <w:p w:rsidR="00000000" w:rsidRPr="00C1105A" w:rsidP="00C1105A">
            <w:pPr>
              <w:pStyle w:val="ListBullet"/>
            </w:pPr>
            <w:r w:rsidRPr="00C1105A">
              <w:t>Cable support and protection d</w:t>
            </w:r>
            <w:r w:rsidRPr="00C1105A">
              <w:t>evices, accessories and typical applications - metallic and non-metallic conduits, duct and trunking, cable ladder and tray, cable clips and ties and related accessories.</w:t>
            </w:r>
          </w:p>
          <w:p w:rsidR="00000000" w:rsidRPr="00C1105A" w:rsidP="00C1105A">
            <w:pPr>
              <w:pStyle w:val="ListBullet"/>
            </w:pPr>
            <w:r w:rsidRPr="00C1105A">
              <w:t>Installation techniques - cable installation equipment, cable drawing and hauling tec</w:t>
            </w:r>
            <w:r w:rsidRPr="00C1105A">
              <w:t>hniques.</w:t>
            </w:r>
          </w:p>
          <w:p w:rsidR="00000000" w:rsidRPr="00C1105A" w:rsidP="00C1105A">
            <w:pPr>
              <w:pStyle w:val="BodyText"/>
            </w:pPr>
            <w:r w:rsidRPr="00C1105A">
              <w:t>T2</w:t>
            </w:r>
            <w:r w:rsidRPr="00C1105A">
              <w:tab/>
              <w:t>Types of cables used in electrotechnology and their application encompassing:</w:t>
            </w:r>
          </w:p>
          <w:p w:rsidR="00000000" w:rsidRPr="00C1105A" w:rsidP="00C1105A">
            <w:pPr>
              <w:pStyle w:val="ListBullet"/>
            </w:pPr>
            <w:r w:rsidRPr="00C1105A">
              <w:t>Structural components of cables and their purpose - conductors and conductor material; insulation; sheathings and servings.</w:t>
            </w:r>
          </w:p>
          <w:p w:rsidR="00000000" w:rsidRPr="00C1105A" w:rsidP="00C1105A">
            <w:pPr>
              <w:pStyle w:val="ListBullet"/>
            </w:pPr>
            <w:r w:rsidRPr="00C1105A">
              <w:t>Application of various cables types</w:t>
            </w:r>
          </w:p>
          <w:p w:rsidR="00000000" w:rsidRPr="00C1105A" w:rsidP="00C1105A">
            <w:pPr>
              <w:pStyle w:val="ListBullet"/>
            </w:pPr>
            <w:r w:rsidRPr="00C1105A">
              <w:t xml:space="preserve">Cable </w:t>
            </w:r>
            <w:r w:rsidRPr="00C1105A">
              <w:t>varieties - single cables, flexible cables, flexible cords, shielded cables, armoured cables, ribbon cables, other similar and like cables</w:t>
            </w:r>
          </w:p>
          <w:p w:rsidR="00000000" w:rsidRPr="00C1105A" w:rsidP="00C1105A">
            <w:pPr>
              <w:pStyle w:val="ListBullet"/>
            </w:pPr>
            <w:r w:rsidRPr="00C1105A">
              <w:t>Typical characteristics and use of power circuit cables and control circuit cables</w:t>
            </w:r>
          </w:p>
          <w:p w:rsidR="00000000" w:rsidRPr="00C1105A" w:rsidP="00C1105A">
            <w:pPr>
              <w:pStyle w:val="BodyText"/>
            </w:pPr>
            <w:r w:rsidRPr="00C1105A">
              <w:t>T3</w:t>
            </w:r>
            <w:r w:rsidRPr="00C1105A">
              <w:tab/>
              <w:t>Installing cables in buildings,</w:t>
            </w:r>
            <w:r w:rsidRPr="00C1105A">
              <w:t xml:space="preserve"> structures and premises encompassing:</w:t>
            </w:r>
          </w:p>
          <w:p w:rsidR="00000000" w:rsidRPr="00C1105A" w:rsidP="00C1105A">
            <w:pPr>
              <w:pStyle w:val="ListBullet"/>
            </w:pPr>
            <w:r w:rsidRPr="00C1105A">
              <w:t>Building construction method and construction sequence.</w:t>
            </w:r>
          </w:p>
          <w:p w:rsidR="00000000" w:rsidRPr="00C1105A" w:rsidP="00C1105A">
            <w:pPr>
              <w:pStyle w:val="ListBullet"/>
            </w:pPr>
            <w:r w:rsidRPr="00C1105A">
              <w:t>Typical cable routes through buildings, structures and premises.</w:t>
            </w:r>
          </w:p>
          <w:p w:rsidR="00000000" w:rsidRPr="00C1105A" w:rsidP="00C1105A">
            <w:pPr>
              <w:pStyle w:val="ListBullet"/>
            </w:pPr>
            <w:r w:rsidRPr="00C1105A">
              <w:t>Building codes affecting the installation of cables in buildings, structures and premises - limi</w:t>
            </w:r>
            <w:r w:rsidRPr="00C1105A">
              <w:t>tation on penetration structural elements and maintenance of fire protection interiority</w:t>
            </w:r>
          </w:p>
          <w:p w:rsidR="00000000" w:rsidRPr="00C1105A" w:rsidP="00C1105A">
            <w:pPr>
              <w:pStyle w:val="ListBullet"/>
            </w:pPr>
            <w:r w:rsidRPr="00C1105A">
              <w:t>Cable segregation requirements</w:t>
            </w:r>
          </w:p>
          <w:p w:rsidR="00000000" w:rsidRPr="00C1105A" w:rsidP="00C1105A">
            <w:pPr>
              <w:pStyle w:val="BodyText"/>
            </w:pPr>
            <w:r w:rsidRPr="00C1105A">
              <w:t>T4</w:t>
            </w:r>
            <w:r w:rsidRPr="00C1105A">
              <w:tab/>
              <w:t>Basic cable and conductor terminations encompassing:</w:t>
            </w:r>
          </w:p>
          <w:p w:rsidR="00000000" w:rsidRPr="00C1105A" w:rsidP="00C1105A">
            <w:pPr>
              <w:pStyle w:val="ListBullet"/>
            </w:pPr>
            <w:r w:rsidRPr="00C1105A">
              <w:t>Insulation removal and replacement</w:t>
            </w:r>
          </w:p>
          <w:p w:rsidR="00000000" w:rsidRPr="00C1105A" w:rsidP="00C1105A">
            <w:pPr>
              <w:pStyle w:val="ListBullet"/>
            </w:pPr>
            <w:r w:rsidRPr="00C1105A">
              <w:t>Conductor handling and cable terminations - g</w:t>
            </w:r>
            <w:r w:rsidRPr="00C1105A">
              <w:t>eneral aspects and soldering involving pins on electronic components and stranded conductors carrying current up to 25 amperes, application of connecting devices for conductors and terminals, continuity through connections and insulation resistance testing</w:t>
            </w:r>
            <w:r w:rsidRPr="00C1105A">
              <w:t>, stress release on cables/conductors.</w:t>
            </w:r>
          </w:p>
          <w:p w:rsidR="00000000" w:rsidRPr="00C1105A" w:rsidP="00C1105A">
            <w:pPr>
              <w:pStyle w:val="BodyText"/>
            </w:pPr>
            <w:r w:rsidRPr="00C1105A">
              <w:t>T5</w:t>
            </w:r>
            <w:r w:rsidRPr="00C1105A">
              <w:tab/>
              <w:t>Power cable and conductor terminations encompassing:</w:t>
            </w:r>
          </w:p>
          <w:p w:rsidR="00000000" w:rsidRPr="00C1105A" w:rsidP="00C1105A">
            <w:pPr>
              <w:pStyle w:val="ListBullet"/>
            </w:pPr>
            <w:r w:rsidRPr="00C1105A">
              <w:t>Types of cable glands and their application - glands for circular sheathed cables; steel wire armoured (SWA) cables and mineral-insulated metal-sheathed (MIMS) c</w:t>
            </w:r>
            <w:r w:rsidRPr="00C1105A">
              <w:t>ables.</w:t>
            </w:r>
          </w:p>
          <w:p w:rsidR="00000000" w:rsidRPr="00C1105A" w:rsidP="00C1105A">
            <w:pPr>
              <w:pStyle w:val="ListBullet"/>
            </w:pPr>
            <w:r w:rsidRPr="00C1105A">
              <w:t>Cable termination techniques</w:t>
            </w:r>
          </w:p>
          <w:p w:rsidR="00000000" w:rsidRPr="00C1105A" w:rsidP="00C1105A">
            <w:pPr>
              <w:pStyle w:val="ListBullet"/>
            </w:pPr>
            <w:r w:rsidRPr="00C1105A">
              <w:t>Terminal types and applications</w:t>
            </w:r>
          </w:p>
          <w:p w:rsidR="00000000" w:rsidRPr="00C1105A" w:rsidP="00C1105A">
            <w:pPr>
              <w:pStyle w:val="ListBullet"/>
            </w:pPr>
            <w:r w:rsidRPr="00C1105A">
              <w:t>Conductor termination techniques - need for sound termination, consequences of poor conductor termination, conductor and terminal preparation.</w:t>
            </w:r>
          </w:p>
          <w:p w:rsidR="00000000" w:rsidRPr="00C1105A" w:rsidP="00C1105A">
            <w:pPr>
              <w:pStyle w:val="BodyText"/>
            </w:pPr>
            <w:r w:rsidRPr="00C1105A">
              <w:t>T6</w:t>
            </w:r>
            <w:r w:rsidRPr="00C1105A">
              <w:tab/>
              <w:t>Telecommunication cable and conductor term</w:t>
            </w:r>
            <w:r w:rsidRPr="00C1105A">
              <w:t>inations encompassing:</w:t>
            </w:r>
          </w:p>
          <w:p w:rsidR="00000000" w:rsidRPr="00C1105A" w:rsidP="00C1105A">
            <w:pPr>
              <w:pStyle w:val="ListBullet"/>
            </w:pPr>
            <w:r w:rsidRPr="00C1105A">
              <w:t>Approved termination devices and sockets.</w:t>
            </w:r>
          </w:p>
          <w:p w:rsidR="00000000" w:rsidRPr="00C1105A" w:rsidP="00C1105A">
            <w:pPr>
              <w:pStyle w:val="ListBullet"/>
            </w:pPr>
            <w:r w:rsidRPr="00C1105A">
              <w:t>Special termination tools and their use.</w:t>
            </w:r>
          </w:p>
          <w:p w:rsidR="00000000" w:rsidRPr="00C1105A" w:rsidP="00C1105A">
            <w:pPr>
              <w:pStyle w:val="ListBullet"/>
            </w:pPr>
            <w:r w:rsidRPr="00C1105A">
              <w:t>Cable colour coding up to 100 pair indoor and outdoor cable</w:t>
            </w:r>
          </w:p>
          <w:p w:rsidR="00000000" w:rsidRPr="00C1105A" w:rsidP="00C1105A">
            <w:pPr>
              <w:pStyle w:val="ListBullet"/>
            </w:pPr>
            <w:r w:rsidRPr="00C1105A">
              <w:t xml:space="preserve">End to end testing </w:t>
            </w:r>
          </w:p>
          <w:p w:rsidR="00000000" w:rsidRPr="00C1105A" w:rsidP="00C1105A">
            <w:pPr>
              <w:pStyle w:val="ListBullet"/>
            </w:pPr>
            <w:r w:rsidRPr="00C1105A">
              <w:t>Methods of terminating cables - cables less than twenty pair, twenty pair cable and greater</w:t>
            </w:r>
          </w:p>
          <w:p w:rsidR="00000000" w:rsidRPr="00C1105A" w:rsidP="00C1105A">
            <w:pPr>
              <w:pStyle w:val="ListBullet"/>
            </w:pPr>
            <w:r w:rsidRPr="00C1105A">
              <w:t xml:space="preserve">Cable labelling devices </w:t>
            </w:r>
          </w:p>
          <w:p w:rsidR="00000000" w:rsidRPr="00C1105A" w:rsidP="00C1105A">
            <w:pPr>
              <w:pStyle w:val="ListBullet"/>
            </w:pPr>
            <w:r w:rsidRPr="00C1105A">
              <w:t>Colour coding of cables, sockets and termination modules and standard connectors used with twisted pair, optical fibre and coaxial cables</w:t>
            </w:r>
          </w:p>
          <w:p w:rsidR="00000000" w:rsidRPr="00C1105A" w:rsidP="00C1105A">
            <w:pPr>
              <w:pStyle w:val="BodyText"/>
            </w:pPr>
            <w:r w:rsidRPr="00C1105A">
              <w:t>T</w:t>
            </w:r>
            <w:r w:rsidRPr="00C1105A">
              <w:t>7</w:t>
            </w:r>
            <w:r w:rsidRPr="00C1105A">
              <w:tab/>
              <w:t>Terminating cable and conductor used in electronic equipment encompassing:</w:t>
            </w:r>
          </w:p>
          <w:p w:rsidR="00000000" w:rsidRPr="00C1105A" w:rsidP="00C1105A">
            <w:pPr>
              <w:pStyle w:val="ListBullet"/>
            </w:pPr>
            <w:r w:rsidRPr="00C1105A">
              <w:t>Cable and conductor types and characteristics - insulated wire, harness wiring, high performance cables (transmission performance parameters and electrical characteristics)</w:t>
            </w:r>
          </w:p>
          <w:p w:rsidR="00000000" w:rsidRPr="00C1105A" w:rsidP="00C1105A">
            <w:pPr>
              <w:pStyle w:val="ListBullet"/>
            </w:pPr>
            <w:r w:rsidRPr="00C1105A">
              <w:t xml:space="preserve">Types </w:t>
            </w:r>
            <w:r w:rsidRPr="00C1105A">
              <w:t>include UTP, FTP, and STP</w:t>
            </w:r>
          </w:p>
          <w:p w:rsidR="00000000" w:rsidRPr="00C1105A" w:rsidP="00C1105A">
            <w:pPr>
              <w:pStyle w:val="ListBullet"/>
            </w:pPr>
            <w:r w:rsidRPr="00C1105A">
              <w:t>Coaxial cables types and characteristics - types include qualshield, trishield coaxial are armour plated coaxial cables</w:t>
            </w:r>
          </w:p>
          <w:p w:rsidR="00000000" w:rsidRPr="00C1105A" w:rsidP="00C1105A">
            <w:pPr>
              <w:pStyle w:val="ListBullet"/>
            </w:pPr>
            <w:r w:rsidRPr="00C1105A">
              <w:t xml:space="preserve">Cable anchoring and support methods </w:t>
            </w:r>
          </w:p>
          <w:p w:rsidR="00000000" w:rsidRPr="00C1105A" w:rsidP="00C1105A">
            <w:pPr>
              <w:pStyle w:val="ListBullet"/>
            </w:pPr>
            <w:r w:rsidRPr="00C1105A">
              <w:t>Termination methods</w:t>
            </w:r>
          </w:p>
          <w:p w:rsidR="00000000" w:rsidRPr="00C1105A" w:rsidP="00C1105A">
            <w:pPr>
              <w:pStyle w:val="BodyText"/>
            </w:pPr>
            <w:r w:rsidRPr="00C1105A">
              <w:t>T8</w:t>
            </w:r>
            <w:r w:rsidRPr="00C1105A">
              <w:tab/>
              <w:t>Installation of metering and control equipment enc</w:t>
            </w:r>
            <w:r w:rsidRPr="00C1105A">
              <w:t>ompassing:</w:t>
            </w:r>
          </w:p>
          <w:p w:rsidR="00000000" w:rsidRPr="00C1105A" w:rsidP="00C1105A">
            <w:pPr>
              <w:pStyle w:val="ListBullet"/>
            </w:pPr>
            <w:r w:rsidRPr="00C1105A">
              <w:t>Standards, codes, legislation, supply authority regulations and or enterprise requirements pertaining to the installation and maintenance of energy meters and associated equipment</w:t>
            </w:r>
          </w:p>
          <w:p w:rsidR="00000000" w:rsidRPr="00C1105A" w:rsidP="00C1105A">
            <w:pPr>
              <w:pStyle w:val="ListBullet"/>
            </w:pPr>
            <w:r w:rsidRPr="00C1105A">
              <w:t>Types of meters - kilowatt-hour meters single and polyphase, dema</w:t>
            </w:r>
            <w:r w:rsidRPr="00C1105A">
              <w:t>nd meters, recording meters and electronic recording metering systems summators</w:t>
            </w:r>
          </w:p>
          <w:p w:rsidR="00000000" w:rsidRPr="00C1105A" w:rsidP="00C1105A">
            <w:pPr>
              <w:pStyle w:val="ListBullet"/>
            </w:pPr>
            <w:r w:rsidRPr="00C1105A">
              <w:t>Installation and removal methods - direct connection and plug in method, enterprise specific</w:t>
            </w:r>
          </w:p>
          <w:p w:rsidR="00000000" w:rsidRPr="00C1105A" w:rsidP="00C1105A">
            <w:pPr>
              <w:pStyle w:val="ListBullet"/>
            </w:pPr>
            <w:r w:rsidRPr="00C1105A">
              <w:t xml:space="preserve">Types of associated equipment and accessories - meter boards, service fuse, links, </w:t>
            </w:r>
            <w:r w:rsidRPr="00C1105A">
              <w:t>contactors, time switch, audio frequency injection relay</w:t>
            </w:r>
          </w:p>
          <w:p w:rsidR="00000000" w:rsidRPr="00C1105A" w:rsidP="00C1105A">
            <w:pPr>
              <w:pStyle w:val="ListBullet"/>
            </w:pPr>
            <w:r w:rsidRPr="00C1105A">
              <w:t>Testing procedures - safety testing, polarity testing</w:t>
            </w:r>
          </w:p>
          <w:p w:rsidR="00000000" w:rsidRPr="00C1105A" w:rsidP="00C1105A">
            <w:pPr>
              <w:pStyle w:val="BodyText"/>
            </w:pPr>
            <w:r w:rsidRPr="00C1105A">
              <w:t>T9</w:t>
            </w:r>
            <w:r w:rsidRPr="00C1105A">
              <w:tab/>
              <w:t>Powerline safety practices encompassing:</w:t>
            </w:r>
          </w:p>
          <w:p w:rsidR="00000000" w:rsidRPr="00C1105A" w:rsidP="00C1105A">
            <w:pPr>
              <w:pStyle w:val="ListBullet"/>
            </w:pPr>
            <w:r w:rsidRPr="00C1105A">
              <w:t xml:space="preserve">Protective apparatus and apparel for linework - responsibilities for the selection, use, maintenance </w:t>
            </w:r>
            <w:r w:rsidRPr="00C1105A">
              <w:t>and storage of protective apparatus and apparel and the types of protective apparatus and apparel used for the line worker</w:t>
            </w:r>
          </w:p>
          <w:p w:rsidR="00000000" w:rsidRPr="00C1105A" w:rsidP="00C1105A">
            <w:pPr>
              <w:pStyle w:val="ListBullet"/>
            </w:pPr>
            <w:r w:rsidRPr="00C1105A">
              <w:t>Requirements for the use of ladders - carrying, erecting, collapsing and lowering different types of extension ladder against a stand</w:t>
            </w:r>
            <w:r w:rsidRPr="00C1105A">
              <w:t>ing pole, maintenance checks on different types of ladders, renewal of extension ropes and the safety issues relating to clearances from overhead conductors</w:t>
            </w:r>
          </w:p>
          <w:p w:rsidR="00000000" w:rsidRPr="00C1105A" w:rsidP="00C1105A">
            <w:pPr>
              <w:pStyle w:val="ListBullet"/>
            </w:pPr>
            <w:r w:rsidRPr="00C1105A">
              <w:t>Requirements for climbing and working aloft - methods used to identify a pole is safe to climb, met</w:t>
            </w:r>
            <w:r w:rsidRPr="00C1105A">
              <w:t>hods used to inspect a line worker’s body belt, application of knots and hitches appropriate to the requirements of a line worker, height safety principles including personal fall protection, prevention and related requirements, and the practical procedure</w:t>
            </w:r>
            <w:r w:rsidRPr="00C1105A">
              <w:t xml:space="preserve"> of climbing an overhead structure and fitting a pole chair</w:t>
            </w:r>
          </w:p>
          <w:p w:rsidR="00000000" w:rsidRPr="00C1105A" w:rsidP="00C1105A">
            <w:pPr>
              <w:pStyle w:val="ListBullet"/>
            </w:pPr>
            <w:r w:rsidRPr="00C1105A">
              <w:t>Traffic management - purpose of traffic management and a line worker’s responsibilities in accordance with relevant statutory requirements and electricity supply industry requirements, demonstrati</w:t>
            </w:r>
            <w:r w:rsidRPr="00C1105A">
              <w:t>on of the procedure used to provide an effective traffic management scheme and the use of a two-way radio</w:t>
            </w:r>
          </w:p>
          <w:p w:rsidR="00000000" w:rsidRPr="00C1105A" w:rsidP="00C1105A">
            <w:pPr>
              <w:pStyle w:val="ListBullet"/>
            </w:pPr>
            <w:r w:rsidRPr="00C1105A">
              <w:t>Control of small fires - identification, selection and operation of the appropriate extinguishing mediums for various types of fires, general fire pre</w:t>
            </w:r>
            <w:r w:rsidRPr="00C1105A">
              <w:t>vention methods and the precautions for personal protection when fighting small fires</w:t>
            </w:r>
          </w:p>
          <w:p w:rsidR="00000000" w:rsidRPr="00C1105A" w:rsidP="00C1105A">
            <w:pPr>
              <w:pStyle w:val="ListBullet"/>
            </w:pPr>
            <w:r w:rsidRPr="00C1105A">
              <w:t>Rescue victims from heights and confined spaces - planning, identifying, the procedures, and establishing responses, developing techniques, involvement of external emerge</w:t>
            </w:r>
            <w:r w:rsidRPr="00C1105A">
              <w:t>ncy services and practical demonstration/rehearsals of rescuing a person from heights and from confined spaces and emergency procedures for the rescue of an electric shock victim including CPR</w:t>
            </w:r>
          </w:p>
          <w:p w:rsidR="00000000" w:rsidRPr="00C1105A" w:rsidP="00C1105A">
            <w:pPr>
              <w:pStyle w:val="ListBullet"/>
            </w:pPr>
            <w:r w:rsidRPr="00C1105A">
              <w:t>Requirements for aerial linework - planning, establishing and i</w:t>
            </w:r>
            <w:r w:rsidRPr="00C1105A">
              <w:t>mplementing relevant aviation authority clearances, determining system requirements, aircrew familiarisation with network operations and equipment, requirements for effective communications operations for aerial work.</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10" w:name="O_462738"/>
      <w:bookmarkEnd w:id="10"/>
      <w:r w:rsidRPr="00C1105A">
        <w:t>Evidence Guide</w:t>
      </w:r>
    </w:p>
    <w:tbl>
      <w:tblPr>
        <w:tblW w:w="0" w:type="auto"/>
        <w:tblLayout w:type="fixed"/>
        <w:tblCellMar>
          <w:left w:w="62" w:type="dxa"/>
          <w:right w:w="62" w:type="dxa"/>
        </w:tblCellMar>
        <w:tblLook w:val="0000"/>
      </w:tblPr>
      <w:tblGrid>
        <w:gridCol w:w="8460"/>
      </w:tblGrid>
      <w:tr w:rsidTr="002D46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EVIDENCE GUIDE</w:t>
            </w:r>
          </w:p>
        </w:tc>
      </w:tr>
      <w:tr w:rsidTr="002D46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9)</w:t>
            </w:r>
            <w:r w:rsidRPr="00C1105A">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1105A" w:rsidP="00C1105A">
            <w:pPr>
              <w:pStyle w:val="BodyText"/>
            </w:pPr>
            <w:r w:rsidRPr="00C1105A">
              <w:t>The E</w:t>
            </w:r>
            <w:r w:rsidRPr="00C1105A">
              <w:t>vidence Guide forms an integral part of this Competency Standard Unit and shall be used in conjunction with all component parts of this unit and, performed in accordance with the Assessment Guidelines of this Training Package.</w:t>
            </w:r>
          </w:p>
        </w:tc>
      </w:tr>
    </w:tbl>
    <w:p w:rsidR="00000000" w:rsidRPr="00C1105A" w:rsidP="00C1105A">
      <w:pPr>
        <w:pStyle w:val="BodyText"/>
      </w:pPr>
    </w:p>
    <w:tbl>
      <w:tblPr>
        <w:tblW w:w="0" w:type="auto"/>
        <w:tblLayout w:type="fixed"/>
        <w:tblCellMar>
          <w:left w:w="62" w:type="dxa"/>
          <w:right w:w="62" w:type="dxa"/>
        </w:tblCellMar>
        <w:tblLook w:val="0000"/>
      </w:tblPr>
      <w:tblGrid>
        <w:gridCol w:w="1890"/>
        <w:gridCol w:w="6570"/>
      </w:tblGrid>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9.1)</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 xml:space="preserve">Longitudinal competency development approaches to assessment, such as Profiling, require data to be reliably gathered in a form that can be </w:t>
            </w:r>
            <w:r w:rsidRPr="00C1105A">
              <w:t>consistently interpreted over time. This approach is best utilised in Apprenticeship programs and reduces assessment intervention. It is the Industry’s preferred model for apprenticeships. However, where summative (or final) assessment is used it is to inc</w:t>
            </w:r>
            <w:r w:rsidRPr="00C1105A">
              <w:t>lude the application of the competency in the normal work environment or, at a minimum, the application of the competency in a realistically simulated work environment. It is recognised that, in some circumstances, assessment in part or full can occur outs</w:t>
            </w:r>
            <w:r w:rsidRPr="00C1105A">
              <w:t>ide the workplace. However, it must be in accord with Industry and, Regulatory policy in this regard.</w:t>
            </w:r>
          </w:p>
          <w:p w:rsidR="00000000" w:rsidRPr="00C1105A" w:rsidP="00C1105A">
            <w:pPr>
              <w:pStyle w:val="BodyText"/>
            </w:pPr>
            <w:r w:rsidRPr="00C1105A">
              <w:t>Methods chosen for a particular assessment will be influenced by various factors. These include the extent of the assessment, the most effective locations</w:t>
            </w:r>
            <w:r w:rsidRPr="00C1105A">
              <w:t xml:space="preserve"> for the assessment activities to take place, access to physical resources, additional safety measures that may be required and the critical nature of the competencies being assessed.</w:t>
            </w:r>
          </w:p>
          <w:p w:rsidR="00000000" w:rsidRPr="00C1105A" w:rsidP="00C1105A">
            <w:pPr>
              <w:pStyle w:val="BodyText"/>
            </w:pPr>
            <w:r w:rsidRPr="00C1105A">
              <w:t>The critical safety nature of working with electricity, electrical equip</w:t>
            </w:r>
            <w:r w:rsidRPr="00C1105A">
              <w:t>ment, gas or any other hazardous substance/material carries risk in deeming a person competent. Hence, sources of evidence need to be ‘rich’ in nature so as to minimise error in judgment.</w:t>
            </w:r>
          </w:p>
          <w:p w:rsidR="00000000" w:rsidRPr="00C1105A" w:rsidP="00C1105A">
            <w:pPr>
              <w:pStyle w:val="BodyText"/>
            </w:pPr>
            <w:r w:rsidRPr="00C1105A">
              <w:t>Activities associated with normal every day work have a bearing on t</w:t>
            </w:r>
            <w:r w:rsidRPr="00C1105A">
              <w:t>he decision as to how much and how detailed the data gathered will contribute to its ‘richness’. Some skills are more critical to safety and operational requirements while the same skills may be more or less frequently practiced. These points are raised fo</w:t>
            </w:r>
            <w:r w:rsidRPr="00C1105A">
              <w:t>r the assessors to consider when choosing an assessment method and developing assessment instruments. Sample assessment instruments are included for Assessors in the Assessment Guidelines of this Training Package.</w:t>
            </w:r>
          </w:p>
        </w:tc>
      </w:tr>
    </w:tbl>
    <w:p w:rsidR="00000000" w:rsidRPr="00C1105A" w:rsidP="00C1105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Critical aspects of evidence required to</w:t>
            </w:r>
            <w:r w:rsidRPr="00C1105A">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9.2)</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Before the critical aspects of evidence are considered all prerequisites shall be met.</w:t>
            </w:r>
          </w:p>
          <w:p w:rsidR="00000000" w:rsidRPr="00C1105A" w:rsidP="00C1105A">
            <w:pPr>
              <w:pStyle w:val="BodyText"/>
            </w:pPr>
            <w:r w:rsidRPr="00C1105A">
              <w:t>Evidence for comp</w:t>
            </w:r>
            <w:r w:rsidRPr="00C1105A">
              <w:t>etence in this unit shall be considered holistically. Each element and associated Performance Criteria shall be demonstrated on at least two occasions in accordance with the “Assessment Guidelines – UET12”. Evidence shall also comprise:</w:t>
            </w:r>
          </w:p>
          <w:p w:rsidR="00000000" w:rsidRPr="00C1105A" w:rsidP="00C1105A">
            <w:pPr>
              <w:pStyle w:val="ListBullet"/>
            </w:pPr>
            <w:r w:rsidRPr="00C1105A">
              <w:t>A representative bo</w:t>
            </w:r>
            <w:r w:rsidRPr="00C1105A">
              <w:t>dy of Performance Criteria demonstrated within the timeframes typically expected of the discipline, work function and industrial environment. In particular this shall incorporate evidence that shows a candidate is able to:</w:t>
            </w:r>
          </w:p>
          <w:p w:rsidR="00000000" w:rsidRPr="00C1105A" w:rsidP="00C1105A">
            <w:pPr>
              <w:pStyle w:val="ListBullet2"/>
            </w:pPr>
            <w:r w:rsidRPr="00C1105A">
              <w:t>Implement Occupational Health an</w:t>
            </w:r>
            <w:r w:rsidRPr="00C1105A">
              <w:t>d Safety workplace procedures and practices including the use of risk control measures as specified in the Performance Criteria and range; and</w:t>
            </w:r>
          </w:p>
          <w:p w:rsidR="00000000" w:rsidRPr="00C1105A" w:rsidP="00C1105A">
            <w:pPr>
              <w:pStyle w:val="ListBullet2"/>
            </w:pPr>
            <w:r w:rsidRPr="00C1105A">
              <w:t>Apply sustainable energy principles and practices as specified in the Performance Criteria and range; and</w:t>
            </w:r>
          </w:p>
          <w:p w:rsidR="00000000" w:rsidRPr="00C1105A" w:rsidP="00C1105A">
            <w:pPr>
              <w:pStyle w:val="ListBullet2"/>
            </w:pPr>
            <w:r w:rsidRPr="00C1105A">
              <w:t>Demonst</w:t>
            </w:r>
            <w:r w:rsidRPr="00C1105A">
              <w:t>rate an understanding of the essential knowledge and associated skills as described in this unit to such an extent that the learner’s performance outcome is reported in accordance with the preferred approach; namely a percentile graded result, where requir</w:t>
            </w:r>
            <w:r w:rsidRPr="00C1105A">
              <w:t>ed by the regulated environment; and</w:t>
            </w:r>
          </w:p>
          <w:p w:rsidR="00000000" w:rsidRPr="00C1105A" w:rsidP="00C1105A">
            <w:pPr>
              <w:pStyle w:val="ListBullet2"/>
            </w:pPr>
            <w:r w:rsidRPr="00C1105A">
              <w:t>Demonstrate an appropriate level of employability skills; and</w:t>
            </w:r>
          </w:p>
          <w:p w:rsidR="00000000" w:rsidRPr="00C1105A" w:rsidP="00C1105A">
            <w:pPr>
              <w:pStyle w:val="ListBullet"/>
            </w:pPr>
            <w:r w:rsidRPr="00C1105A">
              <w:t>Conduct work observing the relevant Anti Discrimination legislation, regulations, policies and workplace procedures; and</w:t>
            </w:r>
          </w:p>
          <w:p w:rsidR="00000000" w:rsidP="00C1105A">
            <w:pPr>
              <w:pStyle w:val="ListBullet2"/>
              <w:rPr>
                <w:lang w:val="en-NZ"/>
              </w:rPr>
            </w:pPr>
            <w:r w:rsidRPr="00C1105A">
              <w:t>Demonstrated performance across a r</w:t>
            </w:r>
            <w:r w:rsidRPr="00C1105A">
              <w:t>epresentative range of contexts from the prescribed items below:</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1105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rPr>
                <w:rStyle w:val="SpecialBold"/>
              </w:rPr>
              <w:t>Range of tools/equipment/materials/procedures/workplaces/other variables</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1105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rPr>
                <w:rStyle w:val="SpecialBold"/>
              </w:rPr>
              <w:t xml:space="preserve">The minimum number of items on which skill is to be </w:t>
            </w:r>
            <w:r w:rsidRPr="00C1105A">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rPr>
                <w:rStyle w:val="SpecialBold"/>
              </w:rPr>
              <w:t>Item List</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t>Induction disk energy meter</w:t>
            </w:r>
          </w:p>
          <w:p w:rsidR="00000000" w:rsidRPr="00C1105A" w:rsidP="00C1105A">
            <w:pPr>
              <w:pStyle w:val="BodyText"/>
            </w:pPr>
            <w:r w:rsidRPr="00C1105A">
              <w:t>Electronic energy meters</w:t>
            </w:r>
          </w:p>
          <w:p w:rsidR="00000000" w:rsidRPr="00C1105A" w:rsidP="00C1105A">
            <w:pPr>
              <w:pStyle w:val="BodyText"/>
            </w:pPr>
            <w:r w:rsidRPr="00C1105A">
              <w:t>Maximum demand meters</w:t>
            </w:r>
          </w:p>
          <w:p w:rsidR="00000000" w:rsidP="00C1105A">
            <w:pPr>
              <w:pStyle w:val="BodyText"/>
              <w:rPr>
                <w:lang w:val="en-NZ"/>
              </w:rPr>
            </w:pPr>
            <w:r w:rsidRPr="00C1105A">
              <w:t>Electronic summators</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t>Service fuses</w:t>
            </w:r>
          </w:p>
          <w:p w:rsidR="00000000" w:rsidRPr="00C1105A" w:rsidP="00C1105A">
            <w:pPr>
              <w:pStyle w:val="BodyText"/>
            </w:pPr>
            <w:r w:rsidRPr="00C1105A">
              <w:t>Service links</w:t>
            </w:r>
          </w:p>
          <w:p w:rsidR="00000000" w:rsidRPr="00C1105A" w:rsidP="00C1105A">
            <w:pPr>
              <w:pStyle w:val="BodyText"/>
            </w:pPr>
            <w:r w:rsidRPr="00C1105A">
              <w:t>Meter boards</w:t>
            </w:r>
          </w:p>
          <w:p w:rsidR="00000000" w:rsidP="00C1105A">
            <w:pPr>
              <w:pStyle w:val="BodyText"/>
              <w:rPr>
                <w:lang w:val="en-NZ"/>
              </w:rPr>
            </w:pPr>
            <w:r w:rsidRPr="00C1105A">
              <w:t>Meter panels</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t>Time switches</w:t>
            </w:r>
          </w:p>
          <w:p w:rsidR="00000000" w:rsidRPr="00C1105A" w:rsidP="00C1105A">
            <w:pPr>
              <w:pStyle w:val="BodyText"/>
            </w:pPr>
            <w:r w:rsidRPr="00C1105A">
              <w:t>Frequency injection relays</w:t>
            </w:r>
          </w:p>
          <w:p w:rsidR="00000000" w:rsidRPr="00C1105A" w:rsidP="00C1105A">
            <w:pPr>
              <w:pStyle w:val="BodyText"/>
            </w:pPr>
            <w:r w:rsidRPr="00C1105A">
              <w:t>Controlled output meters</w:t>
            </w:r>
          </w:p>
          <w:p w:rsidR="00000000" w:rsidP="00C1105A">
            <w:pPr>
              <w:pStyle w:val="BodyText"/>
              <w:rPr>
                <w:lang w:val="en-NZ"/>
              </w:rPr>
            </w:pPr>
            <w:r w:rsidRPr="00C1105A">
              <w:t>Contactors</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05A">
            <w:pPr>
              <w:pStyle w:val="BodyText"/>
              <w:rPr>
                <w:lang w:val="en-NZ"/>
              </w:rPr>
            </w:pPr>
            <w:r w:rsidRPr="00C1105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05A" w:rsidP="00C1105A">
            <w:pPr>
              <w:pStyle w:val="BodyText"/>
            </w:pPr>
            <w:r w:rsidRPr="00C1105A">
              <w:t>Dealing with an unplanned event by drawing on essential knowledge and associated skills to provide appropriate solutions incorporated in the holistic as</w:t>
            </w:r>
            <w:r w:rsidRPr="00C1105A">
              <w:t>sessment with the above listed items.</w:t>
            </w:r>
          </w:p>
        </w:tc>
      </w:tr>
    </w:tbl>
    <w:p w:rsidR="00000000" w:rsidRPr="00C1105A" w:rsidP="00C1105A">
      <w:pPr>
        <w:pStyle w:val="BodyText"/>
      </w:pPr>
    </w:p>
    <w:tbl>
      <w:tblPr>
        <w:tblW w:w="0" w:type="auto"/>
        <w:tblLayout w:type="fixed"/>
        <w:tblCellMar>
          <w:left w:w="62" w:type="dxa"/>
          <w:right w:w="62" w:type="dxa"/>
        </w:tblCellMar>
        <w:tblLook w:val="0000"/>
      </w:tblPr>
      <w:tblGrid>
        <w:gridCol w:w="1890"/>
        <w:gridCol w:w="6570"/>
      </w:tblGrid>
      <w:tr w:rsidTr="002D466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9.3)</w:t>
            </w:r>
          </w:p>
        </w:tc>
      </w:tr>
      <w:tr w:rsidTr="002D466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This unit should be assessed as it relates to normal work practice using procedures, information and resources typical of a workplace. This should include:</w:t>
            </w:r>
          </w:p>
          <w:p w:rsidR="00000000" w:rsidRPr="00C1105A" w:rsidP="00C1105A">
            <w:pPr>
              <w:pStyle w:val="ListBullet"/>
            </w:pPr>
            <w:r w:rsidRPr="00C1105A">
              <w:t>OHS policy and work procedures and instructions.</w:t>
            </w:r>
          </w:p>
          <w:p w:rsidR="00000000" w:rsidRPr="00C1105A" w:rsidP="00C1105A">
            <w:pPr>
              <w:pStyle w:val="ListBullet"/>
            </w:pPr>
            <w:r w:rsidRPr="00C1105A">
              <w:t xml:space="preserve">Suitable work environment, facilities, equipment and materials to undertake actual installation and replacement of energy meters and associated equipment. </w:t>
            </w:r>
          </w:p>
          <w:p w:rsidR="00000000" w:rsidRPr="00C1105A" w:rsidP="00C1105A">
            <w:pPr>
              <w:pStyle w:val="BodyText"/>
            </w:pPr>
            <w:r w:rsidRPr="00C1105A">
              <w:t>In addition to the resources listed above, in Conte</w:t>
            </w:r>
            <w:r w:rsidRPr="00C1105A">
              <w:t>xt of and specific resources for assessment, evidence should show demonstrated competency working below ground, in limited spaces, with different structural/construction types and method and in a variety of environments.</w:t>
            </w:r>
          </w:p>
        </w:tc>
      </w:tr>
    </w:tbl>
    <w:p w:rsidR="00000000" w:rsidRPr="00C1105A" w:rsidP="00C1105A">
      <w:pPr>
        <w:pStyle w:val="BodyText"/>
      </w:pPr>
    </w:p>
    <w:tbl>
      <w:tblPr>
        <w:tblW w:w="0" w:type="auto"/>
        <w:tblLayout w:type="fixed"/>
        <w:tblCellMar>
          <w:left w:w="62" w:type="dxa"/>
          <w:right w:w="62" w:type="dxa"/>
        </w:tblCellMar>
        <w:tblLook w:val="0000"/>
      </w:tblPr>
      <w:tblGrid>
        <w:gridCol w:w="1890"/>
        <w:gridCol w:w="6570"/>
      </w:tblGrid>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9.4)</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This Competency Standard Unit shall be assessed by methods given in Volume 1, Part 3 “Assessment Guidelines”.</w:t>
            </w:r>
          </w:p>
          <w:p w:rsidR="00000000" w:rsidRPr="00C1105A" w:rsidP="00C1105A">
            <w:pPr>
              <w:pStyle w:val="BodyText"/>
            </w:pPr>
            <w:r w:rsidRPr="00C1105A">
              <w:t>Note:</w:t>
            </w:r>
          </w:p>
          <w:p w:rsidR="00000000" w:rsidRPr="00C1105A" w:rsidP="00C1105A">
            <w:pPr>
              <w:pStyle w:val="BodyText"/>
            </w:pPr>
            <w:r w:rsidRPr="00C1105A">
              <w:t xml:space="preserve">Competent performance with inherent safe working practices is expected in the Industry to which this Competency Standard Unit applies. This </w:t>
            </w:r>
            <w:r w:rsidRPr="00C1105A">
              <w:t>requires that the specified essential knowledge and associated skills are assessed in a structured environment which is primarily intended for learning/assessment and incorporates all necessary equipment and facilities for learners to develop and demonstra</w:t>
            </w:r>
            <w:r w:rsidRPr="00C1105A">
              <w:t>te the essential knowledge and associated  skills described in this unit.</w:t>
            </w:r>
          </w:p>
        </w:tc>
      </w:tr>
    </w:tbl>
    <w:p w:rsidR="00000000" w:rsidRPr="00C1105A" w:rsidP="00C1105A">
      <w:pPr>
        <w:pStyle w:val="BodyText"/>
      </w:pPr>
    </w:p>
    <w:tbl>
      <w:tblPr>
        <w:tblW w:w="0" w:type="auto"/>
        <w:tblLayout w:type="fixed"/>
        <w:tblCellMar>
          <w:left w:w="62" w:type="dxa"/>
          <w:right w:w="62" w:type="dxa"/>
        </w:tblCellMar>
        <w:tblLook w:val="0000"/>
      </w:tblPr>
      <w:tblGrid>
        <w:gridCol w:w="1890"/>
        <w:gridCol w:w="6570"/>
      </w:tblGrid>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9.5)</w:t>
            </w:r>
          </w:p>
        </w:tc>
      </w:tr>
      <w:tr w:rsidTr="002D46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There are no concurrent assessment recommendations for this unit.</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11" w:name="O_462742"/>
      <w:bookmarkEnd w:id="11"/>
      <w:r w:rsidRPr="00C1105A">
        <w:t>Range Statement</w:t>
      </w:r>
    </w:p>
    <w:tbl>
      <w:tblPr>
        <w:tblW w:w="0" w:type="auto"/>
        <w:tblLayout w:type="fixed"/>
        <w:tblCellMar>
          <w:left w:w="62" w:type="dxa"/>
          <w:right w:w="62" w:type="dxa"/>
        </w:tblCellMar>
        <w:tblLook w:val="0000"/>
      </w:tblPr>
      <w:tblGrid>
        <w:gridCol w:w="8460"/>
      </w:tblGrid>
      <w:tr w:rsidTr="002D46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RANGE STATEMENT</w:t>
            </w:r>
          </w:p>
        </w:tc>
      </w:tr>
      <w:tr w:rsidTr="002D46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10)</w:t>
            </w:r>
            <w:r w:rsidRPr="00C1105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1105A" w:rsidP="00C1105A">
            <w:pPr>
              <w:pStyle w:val="BodyText"/>
            </w:pPr>
            <w:r w:rsidRPr="00C1105A">
              <w:t xml:space="preserve">This Competency Standard Unit shall be demonstrated in relation to the installation and replacement of whole current energy meters and associated equipment, where replacement may include the identification of faults and the return to service. </w:t>
            </w:r>
          </w:p>
          <w:p w:rsidR="00000000" w:rsidRPr="00C1105A" w:rsidP="00C1105A">
            <w:pPr>
              <w:pStyle w:val="BodyText"/>
            </w:pPr>
            <w:r w:rsidRPr="00C1105A">
              <w:t>Installation</w:t>
            </w:r>
            <w:r w:rsidRPr="00C1105A">
              <w:t xml:space="preserve"> may include single and polyphase meters and associated equipment.</w:t>
            </w:r>
          </w:p>
          <w:p w:rsidR="00000000" w:rsidRPr="00C1105A" w:rsidP="00C1105A">
            <w:pPr>
              <w:pStyle w:val="BodyText"/>
            </w:pPr>
            <w:r w:rsidRPr="00C1105A">
              <w:t>Replacement may include the removal and return to service of “like for like’ energy meters and associated equipment in a variety of environments and contexts.</w:t>
            </w:r>
          </w:p>
          <w:p w:rsidR="00000000" w:rsidRPr="00C1105A" w:rsidP="00C1105A">
            <w:pPr>
              <w:pStyle w:val="BodyText"/>
            </w:pPr>
            <w:r w:rsidRPr="00C1105A">
              <w:t xml:space="preserve">Associated equipment includes </w:t>
            </w:r>
            <w:r w:rsidRPr="00C1105A">
              <w:t>load control devices such as time switches and audio frequency injection relays, plug in meter bases, service fuses and links, contactors and meter boards and panels where the installation uses direct-wired (non-current transformer) metering.</w:t>
            </w:r>
          </w:p>
          <w:p w:rsidR="00000000" w:rsidRPr="00C1105A" w:rsidP="00C1105A">
            <w:pPr>
              <w:pStyle w:val="BodyText"/>
            </w:pPr>
            <w:r w:rsidRPr="00C1105A">
              <w:t>Meters includ</w:t>
            </w:r>
            <w:r w:rsidRPr="00C1105A">
              <w:t>e induction disc energy meters, electronic energy meters, maximum demand meters, electronic summators, time switches and relays, provided that they are basic direct-wired instruments. Current transformer metering is not included.</w:t>
            </w:r>
          </w:p>
          <w:p w:rsidR="00000000" w:rsidRPr="00C1105A" w:rsidP="00C1105A">
            <w:pPr>
              <w:pStyle w:val="BodyText"/>
            </w:pPr>
            <w:r w:rsidRPr="00C1105A">
              <w:t>The following constants an</w:t>
            </w:r>
            <w:r w:rsidRPr="00C1105A">
              <w:t>d variables included in the element/Performance Criteria in this unit are fully described in the Definitions Section 1 of this volume and form an integral part of the Range Statement of this unit:</w:t>
            </w:r>
          </w:p>
          <w:p w:rsidR="00000000" w:rsidRPr="00C1105A" w:rsidP="00C1105A">
            <w:pPr>
              <w:pStyle w:val="ListBullet3"/>
            </w:pPr>
            <w:r w:rsidRPr="00C1105A">
              <w:t>Appropriate and relevant persons (see Personnel)</w:t>
            </w:r>
          </w:p>
          <w:p w:rsidR="00000000" w:rsidRPr="00C1105A" w:rsidP="00C1105A">
            <w:pPr>
              <w:pStyle w:val="ListBullet3"/>
            </w:pPr>
            <w:r w:rsidRPr="00C1105A">
              <w:t>Appropria</w:t>
            </w:r>
            <w:r w:rsidRPr="00C1105A">
              <w:t>te authorities</w:t>
            </w:r>
          </w:p>
          <w:p w:rsidR="00000000" w:rsidRPr="00C1105A" w:rsidP="00C1105A">
            <w:pPr>
              <w:pStyle w:val="ListBullet3"/>
            </w:pPr>
            <w:r w:rsidRPr="00C1105A">
              <w:t>Appropriate work platform</w:t>
            </w:r>
          </w:p>
          <w:p w:rsidR="00000000" w:rsidRPr="00C1105A" w:rsidP="00C1105A">
            <w:pPr>
              <w:pStyle w:val="ListBullet3"/>
            </w:pPr>
            <w:r w:rsidRPr="00C1105A">
              <w:t>Assessing risk</w:t>
            </w:r>
          </w:p>
          <w:p w:rsidR="00000000" w:rsidRPr="00C1105A" w:rsidP="00C1105A">
            <w:pPr>
              <w:pStyle w:val="ListBullet3"/>
            </w:pPr>
            <w:r w:rsidRPr="00C1105A">
              <w:t>Assessment</w:t>
            </w:r>
          </w:p>
          <w:p w:rsidR="00000000" w:rsidRPr="00C1105A" w:rsidP="00C1105A">
            <w:pPr>
              <w:pStyle w:val="ListBullet3"/>
            </w:pPr>
            <w:r w:rsidRPr="00C1105A">
              <w:t>Authorisation</w:t>
            </w:r>
          </w:p>
          <w:p w:rsidR="00000000" w:rsidRPr="00C1105A" w:rsidP="00C1105A">
            <w:pPr>
              <w:pStyle w:val="ListBullet3"/>
            </w:pPr>
            <w:r w:rsidRPr="00C1105A">
              <w:t>Confined space</w:t>
            </w:r>
          </w:p>
          <w:p w:rsidR="00000000" w:rsidRPr="00C1105A" w:rsidP="00C1105A">
            <w:pPr>
              <w:pStyle w:val="ListBullet3"/>
            </w:pPr>
            <w:r w:rsidRPr="00C1105A">
              <w:t>Diagnostic, testing and restoration</w:t>
            </w:r>
          </w:p>
          <w:p w:rsidR="00000000" w:rsidRPr="00C1105A" w:rsidP="00C1105A">
            <w:pPr>
              <w:pStyle w:val="ListBullet3"/>
            </w:pPr>
            <w:r w:rsidRPr="00C1105A">
              <w:t>Documenting detail work events, record keeping and or storage of information</w:t>
            </w:r>
          </w:p>
          <w:p w:rsidR="00000000" w:rsidRPr="00C1105A" w:rsidP="00C1105A">
            <w:pPr>
              <w:pStyle w:val="ListBullet3"/>
            </w:pPr>
            <w:r w:rsidRPr="00C1105A">
              <w:t>Drawings and specifications</w:t>
            </w:r>
          </w:p>
          <w:p w:rsidR="00000000" w:rsidRPr="00C1105A" w:rsidP="00C1105A">
            <w:pPr>
              <w:pStyle w:val="ListBullet3"/>
            </w:pPr>
            <w:r w:rsidRPr="00C1105A">
              <w:t>Emergency</w:t>
            </w:r>
          </w:p>
          <w:p w:rsidR="00000000" w:rsidRPr="00C1105A" w:rsidP="00C1105A">
            <w:pPr>
              <w:pStyle w:val="ListBullet3"/>
            </w:pPr>
            <w:r w:rsidRPr="00C1105A">
              <w:t>Environmental and sustainable energy procedures</w:t>
            </w:r>
          </w:p>
          <w:p w:rsidR="00000000" w:rsidRPr="00C1105A" w:rsidP="00C1105A">
            <w:pPr>
              <w:pStyle w:val="ListBullet3"/>
            </w:pPr>
            <w:r w:rsidRPr="00C1105A">
              <w:t>Environmental legislation</w:t>
            </w:r>
          </w:p>
          <w:p w:rsidR="00000000" w:rsidRPr="00C1105A" w:rsidP="00C1105A">
            <w:pPr>
              <w:pStyle w:val="ListBullet3"/>
            </w:pPr>
            <w:r w:rsidRPr="00C1105A">
              <w:t>Environmental management documentation</w:t>
            </w:r>
          </w:p>
          <w:p w:rsidR="00000000" w:rsidRPr="00C1105A" w:rsidP="00C1105A">
            <w:pPr>
              <w:pStyle w:val="ListBullet3"/>
            </w:pPr>
            <w:r w:rsidRPr="00C1105A">
              <w:t>Established procedures</w:t>
            </w:r>
          </w:p>
          <w:p w:rsidR="00000000" w:rsidRPr="00C1105A" w:rsidP="00C1105A">
            <w:pPr>
              <w:pStyle w:val="ListBullet3"/>
            </w:pPr>
            <w:r w:rsidRPr="00C1105A">
              <w:t>Fall prevention</w:t>
            </w:r>
          </w:p>
          <w:p w:rsidR="00000000" w:rsidRPr="00C1105A" w:rsidP="00C1105A">
            <w:pPr>
              <w:pStyle w:val="ListBullet3"/>
            </w:pPr>
            <w:r w:rsidRPr="00C1105A">
              <w:t>Hazards</w:t>
            </w:r>
          </w:p>
          <w:p w:rsidR="00000000" w:rsidRPr="00C1105A" w:rsidP="00C1105A">
            <w:pPr>
              <w:pStyle w:val="ListBullet3"/>
            </w:pPr>
            <w:r w:rsidRPr="00C1105A">
              <w:t>Identifying hazards</w:t>
            </w:r>
          </w:p>
          <w:p w:rsidR="00000000" w:rsidRPr="00C1105A" w:rsidP="00C1105A">
            <w:pPr>
              <w:pStyle w:val="ListBullet3"/>
            </w:pPr>
            <w:r w:rsidRPr="00C1105A">
              <w:t>Inspect</w:t>
            </w:r>
          </w:p>
          <w:p w:rsidR="00000000" w:rsidRPr="00C1105A" w:rsidP="00C1105A">
            <w:pPr>
              <w:pStyle w:val="ListBullet3"/>
            </w:pPr>
            <w:r w:rsidRPr="00C1105A">
              <w:t>Legislation</w:t>
            </w:r>
          </w:p>
          <w:p w:rsidR="00000000" w:rsidRPr="00C1105A" w:rsidP="00C1105A">
            <w:pPr>
              <w:pStyle w:val="ListBullet3"/>
            </w:pPr>
            <w:r w:rsidRPr="00C1105A">
              <w:t>MSDS</w:t>
            </w:r>
          </w:p>
          <w:p w:rsidR="00000000" w:rsidRPr="00C1105A" w:rsidP="00C1105A">
            <w:pPr>
              <w:pStyle w:val="ListBullet3"/>
            </w:pPr>
            <w:r w:rsidRPr="00C1105A">
              <w:t>Notification</w:t>
            </w:r>
          </w:p>
          <w:p w:rsidR="00000000" w:rsidRPr="00C1105A" w:rsidP="00C1105A">
            <w:pPr>
              <w:pStyle w:val="ListBullet3"/>
            </w:pPr>
            <w:r w:rsidRPr="00C1105A">
              <w:t>OHS practices</w:t>
            </w:r>
          </w:p>
          <w:p w:rsidR="00000000" w:rsidRPr="00C1105A" w:rsidP="00C1105A">
            <w:pPr>
              <w:pStyle w:val="ListBullet3"/>
            </w:pPr>
            <w:r w:rsidRPr="00C1105A">
              <w:t>OHS issues</w:t>
            </w:r>
          </w:p>
          <w:p w:rsidR="00000000" w:rsidRPr="00C1105A" w:rsidP="00C1105A">
            <w:pPr>
              <w:pStyle w:val="ListBullet3"/>
            </w:pPr>
            <w:r w:rsidRPr="00C1105A">
              <w:t>Permits and/o</w:t>
            </w:r>
            <w:r w:rsidRPr="00C1105A">
              <w:t>r permits to work</w:t>
            </w:r>
          </w:p>
          <w:p w:rsidR="00000000" w:rsidRPr="00C1105A" w:rsidP="00C1105A">
            <w:pPr>
              <w:pStyle w:val="ListBullet3"/>
            </w:pPr>
            <w:r w:rsidRPr="00C1105A">
              <w:t>Personnel</w:t>
            </w:r>
          </w:p>
          <w:p w:rsidR="00000000" w:rsidRPr="00C1105A" w:rsidP="00C1105A">
            <w:pPr>
              <w:pStyle w:val="ListBullet3"/>
            </w:pPr>
            <w:r w:rsidRPr="00C1105A">
              <w:t>Quality assurance systems</w:t>
            </w:r>
          </w:p>
          <w:p w:rsidR="00000000" w:rsidRPr="00C1105A" w:rsidP="00C1105A">
            <w:pPr>
              <w:pStyle w:val="ListBullet3"/>
            </w:pPr>
            <w:r w:rsidRPr="00C1105A">
              <w:t>Requirements</w:t>
            </w:r>
          </w:p>
          <w:p w:rsidR="00000000" w:rsidRPr="00C1105A" w:rsidP="00C1105A">
            <w:pPr>
              <w:pStyle w:val="ListBullet3"/>
            </w:pPr>
            <w:r w:rsidRPr="00C1105A">
              <w:t>Testing procedures</w:t>
            </w:r>
          </w:p>
          <w:p w:rsidR="00000000" w:rsidRPr="00C1105A" w:rsidP="00C1105A">
            <w:pPr>
              <w:pStyle w:val="ListBullet3"/>
            </w:pPr>
            <w:r w:rsidRPr="00C1105A">
              <w:t>Work clearance systems</w:t>
            </w:r>
          </w:p>
        </w:tc>
      </w:tr>
    </w:tbl>
    <w:p w:rsidR="00000000" w:rsidRPr="00C1105A" w:rsidP="00C1105A">
      <w:pPr>
        <w:pStyle w:val="BodyText"/>
      </w:pPr>
    </w:p>
    <w:p w:rsidR="00000000" w:rsidRPr="00C1105A" w:rsidP="00C1105A">
      <w:pPr>
        <w:pStyle w:val="AllowPageBreak"/>
      </w:pPr>
    </w:p>
    <w:p w:rsidR="00000000" w:rsidRPr="00C1105A" w:rsidP="00C1105A">
      <w:pPr>
        <w:pStyle w:val="Heading1"/>
      </w:pPr>
      <w:bookmarkStart w:id="12" w:name="O_462745"/>
      <w:bookmarkEnd w:id="12"/>
      <w:r w:rsidRPr="00C1105A">
        <w:t>Unit Sector(s)</w:t>
      </w:r>
    </w:p>
    <w:p w:rsidR="00000000" w:rsidRPr="00C1105A" w:rsidP="00C1105A">
      <w:pPr>
        <w:pStyle w:val="BodyText"/>
      </w:pPr>
      <w:r w:rsidRPr="00C1105A">
        <w:t>Not applicable.</w:t>
      </w:r>
    </w:p>
    <w:p w:rsidR="00000000" w:rsidRPr="00C1105A" w:rsidP="00C1105A">
      <w:pPr>
        <w:pStyle w:val="AllowPageBreak"/>
      </w:pPr>
    </w:p>
    <w:p w:rsidR="00000000" w:rsidRPr="00C1105A" w:rsidP="00C1105A">
      <w:pPr>
        <w:pStyle w:val="Heading1"/>
      </w:pPr>
      <w:bookmarkStart w:id="13" w:name="O_462734"/>
      <w:bookmarkEnd w:id="13"/>
      <w:r w:rsidRPr="00C1105A">
        <w:t>Competency Field</w:t>
      </w:r>
    </w:p>
    <w:tbl>
      <w:tblPr>
        <w:tblW w:w="0" w:type="auto"/>
        <w:tblLayout w:type="fixed"/>
        <w:tblCellMar>
          <w:left w:w="62" w:type="dxa"/>
          <w:right w:w="62" w:type="dxa"/>
        </w:tblCellMar>
        <w:tblLook w:val="0000"/>
      </w:tblPr>
      <w:tblGrid>
        <w:gridCol w:w="2700"/>
        <w:gridCol w:w="5760"/>
      </w:tblGrid>
      <w:tr w:rsidTr="002D46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105A">
            <w:pPr>
              <w:pStyle w:val="BodyText"/>
              <w:rPr>
                <w:lang w:val="en-NZ"/>
              </w:rPr>
            </w:pPr>
            <w:r w:rsidRPr="00C1105A">
              <w:rPr>
                <w:rStyle w:val="SpecialBold"/>
              </w:rPr>
              <w:t xml:space="preserve">11) </w:t>
            </w:r>
          </w:p>
        </w:tc>
      </w:tr>
      <w:tr w:rsidTr="002D46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05A" w:rsidP="00C1105A">
            <w:pPr>
              <w:pStyle w:val="BodyText"/>
            </w:pPr>
            <w:r w:rsidRPr="00C1105A">
              <w:t>Industry Specific Cross-Discipline Units</w:t>
            </w:r>
          </w:p>
        </w:tc>
      </w:tr>
    </w:tbl>
    <w:p w:rsidR="00000000" w:rsidRPr="00C1105A" w:rsidP="00C1105A">
      <w:pPr>
        <w:pStyle w:val="BodyText"/>
      </w:pPr>
    </w:p>
    <w:p w:rsidR="00000000" w:rsidRPr="00C1105A" w:rsidP="00C1105A"/>
    <w:sectPr w:rsidSect="00C11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663" w:rsidP="002D46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63" w:rsidP="00C110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2D4663" w:rsidP="00C11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4663" w:rsidP="00C11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5A" w:rsidRPr="002D4663" w:rsidP="002D46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63" w:rsidRPr="002D2AF8" w:rsidP="00C1105A">
    <w:pPr>
      <w:pStyle w:val="Header"/>
      <w:framePr w:wrap="around"/>
    </w:pPr>
    <w:r>
      <w:fldChar w:fldCharType="begin"/>
    </w:r>
    <w:r>
      <w:instrText xml:space="preserve"> TITLE   \* MERGEFORMAT </w:instrText>
    </w:r>
    <w:r>
      <w:fldChar w:fldCharType="separate"/>
    </w:r>
    <w:r>
      <w:t>UETTDRIS60A Install and replace power system energy meters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D4663" w:rsidP="00C11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0A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23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29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05A"/>
    <w:pPr>
      <w:spacing w:before="360" w:after="60"/>
      <w:outlineLvl w:val="0"/>
    </w:pPr>
    <w:rPr>
      <w:sz w:val="32"/>
    </w:rPr>
  </w:style>
  <w:style w:type="paragraph" w:styleId="Heading2">
    <w:name w:val="heading 2"/>
    <w:basedOn w:val="HeadingBase"/>
    <w:next w:val="BodyText"/>
    <w:link w:val="Heading2Char"/>
    <w:qFormat/>
    <w:rsid w:val="00C1105A"/>
    <w:pPr>
      <w:keepLines/>
      <w:spacing w:before="240" w:after="120"/>
      <w:outlineLvl w:val="1"/>
    </w:pPr>
    <w:rPr>
      <w:sz w:val="28"/>
      <w:szCs w:val="40"/>
    </w:rPr>
  </w:style>
  <w:style w:type="paragraph" w:styleId="Heading3">
    <w:name w:val="heading 3"/>
    <w:basedOn w:val="HeadingBase"/>
    <w:next w:val="BodyText"/>
    <w:link w:val="Heading3Char"/>
    <w:qFormat/>
    <w:rsid w:val="00C1105A"/>
    <w:pPr>
      <w:spacing w:before="180" w:after="120"/>
      <w:outlineLvl w:val="2"/>
    </w:pPr>
    <w:rPr>
      <w:spacing w:val="-10"/>
      <w:kern w:val="32"/>
    </w:rPr>
  </w:style>
  <w:style w:type="paragraph" w:styleId="Heading4">
    <w:name w:val="heading 4"/>
    <w:basedOn w:val="HeadingBase"/>
    <w:next w:val="BodyText"/>
    <w:link w:val="Heading4Char"/>
    <w:qFormat/>
    <w:rsid w:val="00C1105A"/>
    <w:pPr>
      <w:spacing w:before="160" w:after="120"/>
      <w:outlineLvl w:val="3"/>
    </w:pPr>
    <w:rPr>
      <w:sz w:val="22"/>
    </w:rPr>
  </w:style>
  <w:style w:type="paragraph" w:styleId="Heading5">
    <w:name w:val="heading 5"/>
    <w:basedOn w:val="HeadingBase"/>
    <w:next w:val="Normal"/>
    <w:link w:val="Heading5Char"/>
    <w:qFormat/>
    <w:rsid w:val="00C1105A"/>
    <w:pPr>
      <w:spacing w:before="80"/>
      <w:outlineLvl w:val="4"/>
    </w:pPr>
    <w:rPr>
      <w:color w:val="918585"/>
      <w:sz w:val="20"/>
    </w:rPr>
  </w:style>
  <w:style w:type="paragraph" w:styleId="Heading6">
    <w:name w:val="heading 6"/>
    <w:basedOn w:val="HeadingBase"/>
    <w:next w:val="Normal"/>
    <w:link w:val="Heading6Char"/>
    <w:qFormat/>
    <w:rsid w:val="00C1105A"/>
    <w:pPr>
      <w:spacing w:before="60"/>
      <w:outlineLvl w:val="5"/>
    </w:pPr>
    <w:rPr>
      <w:color w:val="918585"/>
      <w:sz w:val="20"/>
    </w:rPr>
  </w:style>
  <w:style w:type="paragraph" w:styleId="Heading7">
    <w:name w:val="heading 7"/>
    <w:basedOn w:val="Normal"/>
    <w:next w:val="Normal"/>
    <w:link w:val="Heading7Char"/>
    <w:qFormat/>
    <w:rsid w:val="00C1105A"/>
    <w:pPr>
      <w:ind w:left="720"/>
      <w:outlineLvl w:val="6"/>
    </w:pPr>
    <w:rPr>
      <w:i/>
    </w:rPr>
  </w:style>
  <w:style w:type="paragraph" w:styleId="Heading8">
    <w:name w:val="heading 8"/>
    <w:basedOn w:val="Normal"/>
    <w:next w:val="Normal"/>
    <w:link w:val="Heading8Char"/>
    <w:qFormat/>
    <w:rsid w:val="00C1105A"/>
    <w:pPr>
      <w:ind w:left="720"/>
      <w:outlineLvl w:val="7"/>
    </w:pPr>
    <w:rPr>
      <w:i/>
    </w:rPr>
  </w:style>
  <w:style w:type="paragraph" w:styleId="Heading9">
    <w:name w:val="heading 9"/>
    <w:basedOn w:val="Normal"/>
    <w:next w:val="Normal"/>
    <w:link w:val="Heading9Char"/>
    <w:qFormat/>
    <w:rsid w:val="00C1105A"/>
    <w:pPr>
      <w:ind w:left="720"/>
      <w:outlineLvl w:val="8"/>
    </w:pPr>
    <w:rPr>
      <w:i/>
    </w:rPr>
  </w:style>
  <w:style w:type="character" w:default="1" w:styleId="DefaultParagraphFont">
    <w:name w:val="Default Paragraph Font"/>
    <w:uiPriority w:val="1"/>
    <w:unhideWhenUsed/>
    <w:rsid w:val="00C11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05A"/>
  </w:style>
  <w:style w:type="character" w:customStyle="1" w:styleId="Heading1Char">
    <w:name w:val="Heading 1 Char"/>
    <w:basedOn w:val="DefaultParagraphFont"/>
    <w:link w:val="Heading1"/>
    <w:rsid w:val="00C1105A"/>
    <w:rPr>
      <w:rFonts w:ascii="Times New Roman" w:eastAsia="Times New Roman" w:hAnsi="Times New Roman" w:cs="Times New Roman"/>
      <w:b/>
      <w:sz w:val="32"/>
      <w:szCs w:val="20"/>
      <w:lang w:eastAsia="en-US"/>
    </w:rPr>
  </w:style>
  <w:style w:type="paragraph" w:styleId="BodyText">
    <w:name w:val="Body Text"/>
    <w:basedOn w:val="Normal"/>
    <w:link w:val="BodyTextChar"/>
    <w:rsid w:val="00C11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05A"/>
    <w:rPr>
      <w:rFonts w:ascii="Times New Roman" w:eastAsia="Times New Roman" w:hAnsi="Times New Roman" w:cs="Times New Roman"/>
      <w:sz w:val="24"/>
      <w:lang w:eastAsia="en-US"/>
    </w:rPr>
  </w:style>
  <w:style w:type="paragraph" w:styleId="Footer">
    <w:name w:val="footer"/>
    <w:basedOn w:val="Normal"/>
    <w:link w:val="FooterChar"/>
    <w:rsid w:val="00C11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05A"/>
    <w:rPr>
      <w:rFonts w:ascii="Times New Roman" w:eastAsia="Times New Roman" w:hAnsi="Times New Roman" w:cs="Times New Roman"/>
      <w:sz w:val="16"/>
      <w:lang w:eastAsia="en-US"/>
    </w:rPr>
  </w:style>
  <w:style w:type="paragraph" w:styleId="ListBullet">
    <w:name w:val="List Bullet"/>
    <w:basedOn w:val="List"/>
    <w:rsid w:val="00C1105A"/>
    <w:pPr>
      <w:numPr>
        <w:numId w:val="14"/>
      </w:numPr>
      <w:tabs>
        <w:tab w:val="clear" w:pos="340"/>
      </w:tabs>
      <w:spacing w:before="40" w:after="40"/>
    </w:pPr>
  </w:style>
  <w:style w:type="character" w:customStyle="1" w:styleId="SpecialBold">
    <w:name w:val="Special Bold"/>
    <w:basedOn w:val="DefaultParagraphFont"/>
    <w:rsid w:val="00C1105A"/>
    <w:rPr>
      <w:b/>
      <w:spacing w:val="0"/>
    </w:rPr>
  </w:style>
  <w:style w:type="paragraph" w:styleId="ListBullet2">
    <w:name w:val="List Bullet 2"/>
    <w:basedOn w:val="List2"/>
    <w:rsid w:val="00C1105A"/>
    <w:pPr>
      <w:numPr>
        <w:numId w:val="15"/>
      </w:numPr>
      <w:tabs>
        <w:tab w:val="clear" w:pos="680"/>
      </w:tabs>
    </w:pPr>
  </w:style>
  <w:style w:type="paragraph" w:customStyle="1" w:styleId="SuperHeading">
    <w:name w:val="SuperHeading"/>
    <w:basedOn w:val="Normal"/>
    <w:rsid w:val="00C1105A"/>
    <w:pPr>
      <w:spacing w:before="240" w:after="120"/>
      <w:outlineLvl w:val="0"/>
    </w:pPr>
    <w:rPr>
      <w:rFonts w:ascii="Times New Roman" w:hAnsi="Times New Roman"/>
      <w:b/>
      <w:sz w:val="28"/>
    </w:rPr>
  </w:style>
  <w:style w:type="paragraph" w:customStyle="1" w:styleId="AllowPageBreak">
    <w:name w:val="AllowPageBreak"/>
    <w:rsid w:val="00C11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105A"/>
    <w:pPr>
      <w:numPr>
        <w:numId w:val="3"/>
      </w:numPr>
      <w:tabs>
        <w:tab w:val="clear" w:pos="1021"/>
      </w:tabs>
      <w:ind w:left="1037" w:hanging="357"/>
    </w:pPr>
  </w:style>
  <w:style w:type="character" w:customStyle="1" w:styleId="Heading2Char">
    <w:name w:val="Heading 2 Char"/>
    <w:basedOn w:val="DefaultParagraphFont"/>
    <w:link w:val="Heading2"/>
    <w:rsid w:val="00C11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05A"/>
    <w:rPr>
      <w:rFonts w:ascii="Courier New" w:eastAsia="Times New Roman" w:hAnsi="Courier New" w:cs="Times New Roman"/>
      <w:i/>
      <w:szCs w:val="20"/>
      <w:lang w:eastAsia="en-US"/>
    </w:rPr>
  </w:style>
  <w:style w:type="paragraph" w:customStyle="1" w:styleId="HeadingBase">
    <w:name w:val="Heading Base"/>
    <w:rsid w:val="00C11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05A"/>
    <w:pPr>
      <w:tabs>
        <w:tab w:val="right" w:leader="dot" w:pos="9072"/>
      </w:tabs>
      <w:ind w:left="567"/>
    </w:pPr>
    <w:rPr>
      <w:szCs w:val="22"/>
    </w:rPr>
  </w:style>
  <w:style w:type="paragraph" w:customStyle="1" w:styleId="TOCBase">
    <w:name w:val="TOC Base"/>
    <w:rsid w:val="00C11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05A"/>
    <w:pPr>
      <w:tabs>
        <w:tab w:val="right" w:leader="dot" w:pos="9072"/>
      </w:tabs>
      <w:spacing w:before="40" w:after="40"/>
      <w:ind w:left="284"/>
    </w:pPr>
    <w:rPr>
      <w:rFonts w:ascii="Times New Roman" w:hAnsi="Times New Roman"/>
    </w:rPr>
  </w:style>
  <w:style w:type="paragraph" w:styleId="TOC1">
    <w:name w:val="toc 1"/>
    <w:basedOn w:val="TOCBase"/>
    <w:next w:val="Normal"/>
    <w:rsid w:val="00C11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05A"/>
    <w:pPr>
      <w:spacing w:before="5040"/>
      <w:jc w:val="center"/>
    </w:pPr>
    <w:rPr>
      <w:sz w:val="48"/>
      <w:szCs w:val="72"/>
      <w:lang w:val="en-US"/>
    </w:rPr>
  </w:style>
  <w:style w:type="character" w:customStyle="1" w:styleId="TitleChar">
    <w:name w:val="Title Char"/>
    <w:basedOn w:val="DefaultParagraphFont"/>
    <w:link w:val="Title"/>
    <w:rsid w:val="00C11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05A"/>
    <w:pPr>
      <w:tabs>
        <w:tab w:val="left" w:pos="3600"/>
        <w:tab w:val="left" w:pos="3958"/>
      </w:tabs>
    </w:pPr>
  </w:style>
  <w:style w:type="paragraph" w:styleId="List">
    <w:name w:val="List"/>
    <w:basedOn w:val="BodyText"/>
    <w:next w:val="BodyText"/>
    <w:rsid w:val="00C1105A"/>
    <w:pPr>
      <w:tabs>
        <w:tab w:val="left" w:pos="340"/>
      </w:tabs>
      <w:spacing w:before="60" w:after="60"/>
      <w:ind w:left="340" w:hanging="340"/>
    </w:pPr>
  </w:style>
  <w:style w:type="paragraph" w:customStyle="1" w:styleId="Note">
    <w:name w:val="Note"/>
    <w:basedOn w:val="BodyText"/>
    <w:rsid w:val="00C11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05A"/>
    <w:pPr>
      <w:framePr w:wrap="auto" w:hAnchor="text" w:y="6049"/>
    </w:pPr>
    <w:rPr>
      <w:color w:val="000000"/>
      <w:sz w:val="40"/>
    </w:rPr>
  </w:style>
  <w:style w:type="paragraph" w:customStyle="1" w:styleId="TOCTitle">
    <w:name w:val="TOCTitle"/>
    <w:basedOn w:val="Heading1"/>
    <w:rsid w:val="00C1105A"/>
    <w:pPr>
      <w:spacing w:after="240"/>
      <w:jc w:val="center"/>
      <w:outlineLvl w:val="9"/>
    </w:pPr>
    <w:rPr>
      <w:caps/>
    </w:rPr>
  </w:style>
  <w:style w:type="paragraph" w:customStyle="1" w:styleId="Version">
    <w:name w:val="Version"/>
    <w:rsid w:val="00C11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05A"/>
    <w:pPr>
      <w:keepNext w:val="0"/>
      <w:tabs>
        <w:tab w:val="right" w:pos="4176"/>
      </w:tabs>
      <w:ind w:left="198" w:hanging="198"/>
    </w:pPr>
    <w:rPr>
      <w:rFonts w:ascii="Garamond" w:hAnsi="Garamond"/>
    </w:rPr>
  </w:style>
  <w:style w:type="paragraph" w:styleId="IndexHeading">
    <w:name w:val="index heading"/>
    <w:basedOn w:val="Normal"/>
    <w:next w:val="Index1"/>
    <w:semiHidden/>
    <w:rsid w:val="00C1105A"/>
    <w:pPr>
      <w:spacing w:before="120" w:after="120"/>
    </w:pPr>
    <w:rPr>
      <w:rFonts w:ascii="Arial" w:hAnsi="Arial"/>
      <w:b/>
      <w:color w:val="918585"/>
      <w:sz w:val="24"/>
    </w:rPr>
  </w:style>
  <w:style w:type="paragraph" w:styleId="Header">
    <w:name w:val="header"/>
    <w:basedOn w:val="Normal"/>
    <w:link w:val="HeaderChar"/>
    <w:rsid w:val="00C11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05A"/>
    <w:rPr>
      <w:rFonts w:ascii="Times New Roman" w:eastAsia="Times New Roman" w:hAnsi="Times New Roman" w:cs="Times New Roman"/>
      <w:sz w:val="16"/>
      <w:szCs w:val="20"/>
      <w:lang w:val="en-GB" w:eastAsia="en-US"/>
    </w:rPr>
  </w:style>
  <w:style w:type="paragraph" w:customStyle="1" w:styleId="Chapter">
    <w:name w:val="Chapter"/>
    <w:basedOn w:val="Normal"/>
    <w:rsid w:val="00C1105A"/>
    <w:pPr>
      <w:spacing w:before="240"/>
    </w:pPr>
    <w:rPr>
      <w:rFonts w:ascii="Times New Roman" w:hAnsi="Times New Roman"/>
      <w:smallCaps/>
      <w:spacing w:val="80"/>
      <w:sz w:val="28"/>
    </w:rPr>
  </w:style>
  <w:style w:type="paragraph" w:customStyle="1" w:styleId="InChapter">
    <w:name w:val="InChapter"/>
    <w:basedOn w:val="Heading3"/>
    <w:rsid w:val="00C1105A"/>
    <w:pPr>
      <w:spacing w:after="240"/>
      <w:outlineLvl w:val="9"/>
    </w:pPr>
    <w:rPr>
      <w:noProof/>
    </w:rPr>
  </w:style>
  <w:style w:type="paragraph" w:styleId="Index2">
    <w:name w:val="index 2"/>
    <w:basedOn w:val="Normal"/>
    <w:next w:val="Normal"/>
    <w:semiHidden/>
    <w:rsid w:val="00C1105A"/>
    <w:pPr>
      <w:tabs>
        <w:tab w:val="right" w:pos="4176"/>
      </w:tabs>
      <w:ind w:left="568" w:hanging="284"/>
    </w:pPr>
    <w:rPr>
      <w:rFonts w:ascii="Garamond" w:hAnsi="Garamond"/>
    </w:rPr>
  </w:style>
  <w:style w:type="paragraph" w:customStyle="1" w:styleId="Byline">
    <w:name w:val="Byline"/>
    <w:rsid w:val="00C11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05A"/>
    <w:pPr>
      <w:tabs>
        <w:tab w:val="clear" w:pos="3600"/>
        <w:tab w:val="clear" w:pos="3958"/>
      </w:tabs>
      <w:jc w:val="right"/>
    </w:pPr>
  </w:style>
  <w:style w:type="character" w:styleId="Emphasis">
    <w:name w:val="Emphasis"/>
    <w:basedOn w:val="DefaultParagraphFont"/>
    <w:qFormat/>
    <w:rsid w:val="00C1105A"/>
    <w:rPr>
      <w:i/>
    </w:rPr>
  </w:style>
  <w:style w:type="paragraph" w:styleId="Caption">
    <w:name w:val="caption"/>
    <w:basedOn w:val="BodyText"/>
    <w:next w:val="Normal"/>
    <w:qFormat/>
    <w:rsid w:val="00C1105A"/>
    <w:pPr>
      <w:framePr w:w="2268" w:hSpace="181" w:vSpace="181" w:wrap="around" w:vAnchor="text" w:hAnchor="page" w:x="1135" w:y="285" w:anchorLock="1"/>
    </w:pPr>
    <w:rPr>
      <w:i/>
    </w:rPr>
  </w:style>
  <w:style w:type="paragraph" w:customStyle="1" w:styleId="MiniTOCTitle">
    <w:name w:val="MiniTOCTitle"/>
    <w:basedOn w:val="Heading4"/>
    <w:rsid w:val="00C1105A"/>
    <w:pPr>
      <w:spacing w:before="240"/>
      <w:outlineLvl w:val="9"/>
    </w:pPr>
    <w:rPr>
      <w:noProof/>
      <w:sz w:val="24"/>
    </w:rPr>
  </w:style>
  <w:style w:type="paragraph" w:customStyle="1" w:styleId="MiniTOCItem">
    <w:name w:val="MiniTOCItem"/>
    <w:basedOn w:val="ListBullet"/>
    <w:rsid w:val="00C1105A"/>
    <w:pPr>
      <w:numPr>
        <w:numId w:val="0"/>
      </w:numPr>
      <w:tabs>
        <w:tab w:val="right" w:leader="dot" w:pos="6521"/>
      </w:tabs>
      <w:spacing w:before="0" w:after="0"/>
    </w:pPr>
  </w:style>
  <w:style w:type="paragraph" w:customStyle="1" w:styleId="TOFTitle">
    <w:name w:val="TOFTitle"/>
    <w:basedOn w:val="TOCTitle"/>
    <w:rsid w:val="00C1105A"/>
  </w:style>
  <w:style w:type="paragraph" w:styleId="TableofFigures">
    <w:name w:val="table of figures"/>
    <w:basedOn w:val="Normal"/>
    <w:next w:val="Normal"/>
    <w:semiHidden/>
    <w:rsid w:val="00C1105A"/>
    <w:pPr>
      <w:tabs>
        <w:tab w:val="right" w:leader="dot" w:pos="9072"/>
      </w:tabs>
      <w:ind w:left="970" w:hanging="403"/>
    </w:pPr>
    <w:rPr>
      <w:rFonts w:ascii="Times New Roman" w:hAnsi="Times New Roman"/>
      <w:b/>
    </w:rPr>
  </w:style>
  <w:style w:type="paragraph" w:styleId="ListNumber">
    <w:name w:val="List Number"/>
    <w:basedOn w:val="List"/>
    <w:rsid w:val="00C1105A"/>
    <w:pPr>
      <w:numPr>
        <w:numId w:val="12"/>
      </w:numPr>
    </w:pPr>
  </w:style>
  <w:style w:type="character" w:customStyle="1" w:styleId="WingdingSymbols">
    <w:name w:val="Wingding Symbols"/>
    <w:rsid w:val="00C1105A"/>
    <w:rPr>
      <w:rFonts w:ascii="Wingdings" w:hAnsi="Wingdings"/>
    </w:rPr>
  </w:style>
  <w:style w:type="paragraph" w:customStyle="1" w:styleId="TableHeading">
    <w:name w:val="Table Heading"/>
    <w:basedOn w:val="HeadingBase"/>
    <w:rsid w:val="00C1105A"/>
    <w:pPr>
      <w:keepLines/>
      <w:pBdr>
        <w:bottom w:val="single" w:sz="6" w:space="1" w:color="918585"/>
      </w:pBdr>
      <w:spacing w:before="240"/>
    </w:pPr>
  </w:style>
  <w:style w:type="character" w:customStyle="1" w:styleId="HotSpot">
    <w:name w:val="HotSpot"/>
    <w:rsid w:val="00C1105A"/>
    <w:rPr>
      <w:color w:val="0033CC"/>
      <w:u w:val="none"/>
    </w:rPr>
  </w:style>
  <w:style w:type="paragraph" w:customStyle="1" w:styleId="BodyTextRight">
    <w:name w:val="Body Text Right"/>
    <w:basedOn w:val="BodyText"/>
    <w:rsid w:val="00C1105A"/>
    <w:pPr>
      <w:spacing w:before="0" w:after="0"/>
      <w:jc w:val="right"/>
    </w:pPr>
  </w:style>
  <w:style w:type="paragraph" w:styleId="Index3">
    <w:name w:val="index 3"/>
    <w:basedOn w:val="ListNumber2"/>
    <w:next w:val="Normal"/>
    <w:semiHidden/>
    <w:rsid w:val="00C1105A"/>
    <w:pPr>
      <w:numPr>
        <w:numId w:val="0"/>
      </w:numPr>
      <w:tabs>
        <w:tab w:val="right" w:leader="dot" w:pos="4176"/>
      </w:tabs>
    </w:pPr>
  </w:style>
  <w:style w:type="paragraph" w:styleId="ListNumber2">
    <w:name w:val="List Number 2"/>
    <w:basedOn w:val="List2"/>
    <w:rsid w:val="00C1105A"/>
    <w:pPr>
      <w:numPr>
        <w:numId w:val="11"/>
      </w:numPr>
      <w:tabs>
        <w:tab w:val="clear" w:pos="1060"/>
      </w:tabs>
    </w:pPr>
  </w:style>
  <w:style w:type="paragraph" w:customStyle="1" w:styleId="MarginNote">
    <w:name w:val="Margin Note"/>
    <w:basedOn w:val="BodyText"/>
    <w:rsid w:val="00C11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05A"/>
    <w:rPr>
      <w:sz w:val="32"/>
    </w:rPr>
  </w:style>
  <w:style w:type="paragraph" w:customStyle="1" w:styleId="HeadingProcedure">
    <w:name w:val="Heading Procedure"/>
    <w:basedOn w:val="HeadingBase"/>
    <w:next w:val="Normal"/>
    <w:rsid w:val="00C1105A"/>
    <w:pPr>
      <w:tabs>
        <w:tab w:val="left" w:pos="0"/>
      </w:tabs>
      <w:spacing w:before="120" w:after="60"/>
    </w:pPr>
    <w:rPr>
      <w:i/>
      <w:color w:val="918585"/>
      <w:sz w:val="22"/>
    </w:rPr>
  </w:style>
  <w:style w:type="paragraph" w:customStyle="1" w:styleId="TableBodyText">
    <w:name w:val="Table Body Text"/>
    <w:basedOn w:val="BodyText"/>
    <w:rsid w:val="00C1105A"/>
    <w:pPr>
      <w:spacing w:before="60" w:after="60"/>
    </w:pPr>
  </w:style>
  <w:style w:type="paragraph" w:styleId="ListContinue">
    <w:name w:val="List Continue"/>
    <w:basedOn w:val="List"/>
    <w:rsid w:val="00C1105A"/>
    <w:pPr>
      <w:ind w:firstLine="0"/>
    </w:pPr>
  </w:style>
  <w:style w:type="paragraph" w:customStyle="1" w:styleId="ListNote">
    <w:name w:val="List Note"/>
    <w:basedOn w:val="List"/>
    <w:rsid w:val="00C1105A"/>
    <w:pPr>
      <w:pBdr>
        <w:top w:val="single" w:sz="6" w:space="2" w:color="918585"/>
        <w:bottom w:val="single" w:sz="6" w:space="2" w:color="918585"/>
      </w:pBdr>
      <w:tabs>
        <w:tab w:val="left" w:pos="1021"/>
      </w:tabs>
      <w:ind w:firstLine="0"/>
    </w:pPr>
  </w:style>
  <w:style w:type="paragraph" w:customStyle="1" w:styleId="Warning">
    <w:name w:val="Warning"/>
    <w:basedOn w:val="BodyText"/>
    <w:rsid w:val="00C1105A"/>
    <w:pPr>
      <w:shd w:val="clear" w:color="auto" w:fill="D9D9D9"/>
      <w:tabs>
        <w:tab w:val="left" w:pos="992"/>
      </w:tabs>
      <w:ind w:left="119" w:right="119"/>
    </w:pPr>
    <w:rPr>
      <w:sz w:val="20"/>
    </w:rPr>
  </w:style>
  <w:style w:type="paragraph" w:customStyle="1" w:styleId="MarginIcons">
    <w:name w:val="Margin Icons"/>
    <w:basedOn w:val="BodyText"/>
    <w:rsid w:val="00C11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05A"/>
    <w:rPr>
      <w:rFonts w:ascii="Courier New" w:hAnsi="Courier New"/>
    </w:rPr>
  </w:style>
  <w:style w:type="paragraph" w:customStyle="1" w:styleId="NoteBullet">
    <w:name w:val="Note Bullet"/>
    <w:basedOn w:val="Note"/>
    <w:rsid w:val="00C1105A"/>
    <w:pPr>
      <w:tabs>
        <w:tab w:val="clear" w:pos="680"/>
      </w:tabs>
      <w:spacing w:before="60" w:after="60"/>
    </w:pPr>
  </w:style>
  <w:style w:type="paragraph" w:customStyle="1" w:styleId="SubHeading2">
    <w:name w:val="SubHeading2"/>
    <w:basedOn w:val="HeadingBase"/>
    <w:rsid w:val="00C1105A"/>
    <w:pPr>
      <w:spacing w:before="240" w:after="60"/>
    </w:pPr>
    <w:rPr>
      <w:sz w:val="20"/>
    </w:rPr>
  </w:style>
  <w:style w:type="paragraph" w:customStyle="1" w:styleId="SubHeading1">
    <w:name w:val="SubHeading1"/>
    <w:basedOn w:val="HeadingBase"/>
    <w:rsid w:val="00C1105A"/>
    <w:pPr>
      <w:spacing w:before="240" w:after="60"/>
    </w:pPr>
    <w:rPr>
      <w:color w:val="918585"/>
      <w:sz w:val="22"/>
    </w:rPr>
  </w:style>
  <w:style w:type="paragraph" w:customStyle="1" w:styleId="SideHeading">
    <w:name w:val="Side Heading"/>
    <w:basedOn w:val="HeadingBase"/>
    <w:rsid w:val="00C11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05A"/>
    <w:pPr>
      <w:numPr>
        <w:numId w:val="13"/>
      </w:numPr>
    </w:pPr>
  </w:style>
  <w:style w:type="paragraph" w:styleId="PlainText">
    <w:name w:val="Plain Text"/>
    <w:basedOn w:val="Normal"/>
    <w:link w:val="PlainTextChar"/>
    <w:rsid w:val="00C1105A"/>
    <w:rPr>
      <w:sz w:val="20"/>
    </w:rPr>
  </w:style>
  <w:style w:type="character" w:customStyle="1" w:styleId="PlainTextChar">
    <w:name w:val="Plain Text Char"/>
    <w:basedOn w:val="DefaultParagraphFont"/>
    <w:link w:val="PlainText"/>
    <w:rsid w:val="00C1105A"/>
    <w:rPr>
      <w:rFonts w:ascii="Courier New" w:eastAsia="Times New Roman" w:hAnsi="Courier New" w:cs="Times New Roman"/>
      <w:sz w:val="20"/>
      <w:szCs w:val="20"/>
      <w:lang w:eastAsia="en-US"/>
    </w:rPr>
  </w:style>
  <w:style w:type="character" w:customStyle="1" w:styleId="MenuOption">
    <w:name w:val="Menu Option"/>
    <w:basedOn w:val="DefaultParagraphFont"/>
    <w:rsid w:val="00C1105A"/>
    <w:rPr>
      <w:b/>
      <w:smallCaps/>
    </w:rPr>
  </w:style>
  <w:style w:type="paragraph" w:customStyle="1" w:styleId="TableListNumber">
    <w:name w:val="Table List Number"/>
    <w:basedOn w:val="ListNumber"/>
    <w:rsid w:val="00C1105A"/>
    <w:pPr>
      <w:numPr>
        <w:numId w:val="0"/>
      </w:numPr>
    </w:pPr>
  </w:style>
  <w:style w:type="paragraph" w:styleId="TOC4">
    <w:name w:val="toc 4"/>
    <w:basedOn w:val="TOCBase"/>
    <w:next w:val="Normal"/>
    <w:semiHidden/>
    <w:rsid w:val="00C1105A"/>
    <w:pPr>
      <w:tabs>
        <w:tab w:val="right" w:leader="dot" w:pos="9071"/>
      </w:tabs>
      <w:ind w:left="1701"/>
    </w:pPr>
  </w:style>
  <w:style w:type="paragraph" w:customStyle="1" w:styleId="ListAlpha">
    <w:name w:val="List Alpha"/>
    <w:basedOn w:val="List"/>
    <w:rsid w:val="00C1105A"/>
    <w:pPr>
      <w:numPr>
        <w:numId w:val="10"/>
      </w:numPr>
    </w:pPr>
  </w:style>
  <w:style w:type="paragraph" w:customStyle="1" w:styleId="ListAlpha2">
    <w:name w:val="List Alpha 2"/>
    <w:basedOn w:val="List2"/>
    <w:rsid w:val="00C1105A"/>
    <w:pPr>
      <w:numPr>
        <w:numId w:val="9"/>
      </w:numPr>
    </w:pPr>
  </w:style>
  <w:style w:type="paragraph" w:styleId="List2">
    <w:name w:val="List 2"/>
    <w:basedOn w:val="BodyText"/>
    <w:rsid w:val="00C1105A"/>
    <w:pPr>
      <w:tabs>
        <w:tab w:val="left" w:pos="680"/>
      </w:tabs>
      <w:spacing w:before="60" w:after="60"/>
      <w:ind w:left="680" w:hanging="340"/>
    </w:pPr>
  </w:style>
  <w:style w:type="paragraph" w:styleId="List3">
    <w:name w:val="List 3"/>
    <w:basedOn w:val="BodyText"/>
    <w:rsid w:val="00C1105A"/>
    <w:pPr>
      <w:tabs>
        <w:tab w:val="left" w:pos="1021"/>
      </w:tabs>
      <w:spacing w:before="60" w:after="60"/>
      <w:ind w:left="1020" w:hanging="340"/>
    </w:pPr>
  </w:style>
  <w:style w:type="paragraph" w:styleId="List4">
    <w:name w:val="List 4"/>
    <w:basedOn w:val="BodyText"/>
    <w:rsid w:val="00C1105A"/>
    <w:pPr>
      <w:tabs>
        <w:tab w:val="left" w:pos="1361"/>
      </w:tabs>
      <w:spacing w:before="60" w:after="60"/>
      <w:ind w:left="1361" w:hanging="340"/>
    </w:pPr>
  </w:style>
  <w:style w:type="paragraph" w:styleId="List5">
    <w:name w:val="List 5"/>
    <w:basedOn w:val="BodyText"/>
    <w:rsid w:val="00C1105A"/>
    <w:pPr>
      <w:tabs>
        <w:tab w:val="left" w:pos="1701"/>
      </w:tabs>
      <w:spacing w:before="60" w:after="60"/>
      <w:ind w:left="1701" w:hanging="340"/>
    </w:pPr>
  </w:style>
  <w:style w:type="paragraph" w:styleId="ListBullet4">
    <w:name w:val="List Bullet 4"/>
    <w:basedOn w:val="List4"/>
    <w:rsid w:val="00C1105A"/>
    <w:pPr>
      <w:numPr>
        <w:numId w:val="4"/>
      </w:numPr>
    </w:pPr>
  </w:style>
  <w:style w:type="paragraph" w:styleId="ListBullet5">
    <w:name w:val="List Bullet 5"/>
    <w:basedOn w:val="List5"/>
    <w:rsid w:val="00C1105A"/>
    <w:pPr>
      <w:numPr>
        <w:numId w:val="5"/>
      </w:numPr>
    </w:pPr>
  </w:style>
  <w:style w:type="paragraph" w:styleId="ListContinue2">
    <w:name w:val="List Continue 2"/>
    <w:basedOn w:val="List2"/>
    <w:rsid w:val="00C1105A"/>
    <w:pPr>
      <w:ind w:firstLine="0"/>
    </w:pPr>
  </w:style>
  <w:style w:type="paragraph" w:styleId="ListContinue3">
    <w:name w:val="List Continue 3"/>
    <w:basedOn w:val="List3"/>
    <w:rsid w:val="00C1105A"/>
    <w:pPr>
      <w:ind w:left="1021" w:firstLine="0"/>
    </w:pPr>
  </w:style>
  <w:style w:type="paragraph" w:styleId="ListContinue4">
    <w:name w:val="List Continue 4"/>
    <w:basedOn w:val="List4"/>
    <w:rsid w:val="00C1105A"/>
    <w:pPr>
      <w:ind w:firstLine="0"/>
    </w:pPr>
  </w:style>
  <w:style w:type="paragraph" w:styleId="ListContinue5">
    <w:name w:val="List Continue 5"/>
    <w:basedOn w:val="List5"/>
    <w:rsid w:val="00C1105A"/>
    <w:pPr>
      <w:ind w:firstLine="0"/>
    </w:pPr>
  </w:style>
  <w:style w:type="paragraph" w:styleId="ListNumber3">
    <w:name w:val="List Number 3"/>
    <w:basedOn w:val="List3"/>
    <w:rsid w:val="00C1105A"/>
    <w:pPr>
      <w:numPr>
        <w:numId w:val="6"/>
      </w:numPr>
    </w:pPr>
  </w:style>
  <w:style w:type="paragraph" w:styleId="ListNumber4">
    <w:name w:val="List Number 4"/>
    <w:basedOn w:val="List4"/>
    <w:rsid w:val="00C1105A"/>
    <w:pPr>
      <w:numPr>
        <w:numId w:val="7"/>
      </w:numPr>
    </w:pPr>
  </w:style>
  <w:style w:type="paragraph" w:styleId="ListNumber5">
    <w:name w:val="List Number 5"/>
    <w:basedOn w:val="List5"/>
    <w:rsid w:val="00C1105A"/>
    <w:pPr>
      <w:numPr>
        <w:numId w:val="8"/>
      </w:numPr>
    </w:pPr>
  </w:style>
  <w:style w:type="paragraph" w:styleId="BlockText">
    <w:name w:val="Block Text"/>
    <w:basedOn w:val="Normal"/>
    <w:rsid w:val="00C1105A"/>
    <w:pPr>
      <w:spacing w:after="120"/>
      <w:ind w:left="1440" w:right="1440"/>
    </w:pPr>
  </w:style>
  <w:style w:type="character" w:customStyle="1" w:styleId="Subscript">
    <w:name w:val="Subscript"/>
    <w:basedOn w:val="DefaultParagraphFont"/>
    <w:rsid w:val="00C1105A"/>
    <w:rPr>
      <w:sz w:val="16"/>
      <w:vertAlign w:val="subscript"/>
    </w:rPr>
  </w:style>
  <w:style w:type="character" w:customStyle="1" w:styleId="Superscript">
    <w:name w:val="Superscript"/>
    <w:basedOn w:val="DefaultParagraphFont"/>
    <w:rsid w:val="00C1105A"/>
    <w:rPr>
      <w:sz w:val="16"/>
      <w:vertAlign w:val="superscript"/>
    </w:rPr>
  </w:style>
  <w:style w:type="character" w:customStyle="1" w:styleId="Symbols">
    <w:name w:val="Symbols"/>
    <w:basedOn w:val="DefaultParagraphFont"/>
    <w:rsid w:val="00C1105A"/>
    <w:rPr>
      <w:rFonts w:ascii="Symbol" w:hAnsi="Symbol"/>
    </w:rPr>
  </w:style>
  <w:style w:type="character" w:customStyle="1" w:styleId="MenuOptions">
    <w:name w:val="Menu Options"/>
    <w:basedOn w:val="DefaultParagraphFont"/>
    <w:rsid w:val="00C1105A"/>
    <w:rPr>
      <w:rFonts w:ascii="Arial Narrow" w:hAnsi="Arial Narrow"/>
      <w:smallCaps/>
    </w:rPr>
  </w:style>
  <w:style w:type="character" w:customStyle="1" w:styleId="Buttons">
    <w:name w:val="Buttons"/>
    <w:basedOn w:val="DefaultParagraphFont"/>
    <w:rsid w:val="00C1105A"/>
    <w:rPr>
      <w:b/>
    </w:rPr>
  </w:style>
  <w:style w:type="character" w:customStyle="1" w:styleId="Underlined">
    <w:name w:val="Underlined"/>
    <w:basedOn w:val="DefaultParagraphFont"/>
    <w:rsid w:val="00C1105A"/>
    <w:rPr>
      <w:u w:val="single"/>
    </w:rPr>
  </w:style>
  <w:style w:type="paragraph" w:customStyle="1" w:styleId="TableBodyTextRight">
    <w:name w:val="Table Body Text Right"/>
    <w:basedOn w:val="TableBodyText"/>
    <w:rsid w:val="00C1105A"/>
    <w:pPr>
      <w:widowControl w:val="0"/>
      <w:autoSpaceDE w:val="0"/>
      <w:autoSpaceDN w:val="0"/>
      <w:adjustRightInd w:val="0"/>
      <w:jc w:val="right"/>
    </w:pPr>
    <w:rPr>
      <w:rFonts w:cs="Arial"/>
      <w:szCs w:val="18"/>
    </w:rPr>
  </w:style>
  <w:style w:type="paragraph" w:customStyle="1" w:styleId="CopyrightText">
    <w:name w:val="Copyright Text"/>
    <w:basedOn w:val="BodyText"/>
    <w:rsid w:val="00C1105A"/>
    <w:rPr>
      <w:sz w:val="18"/>
    </w:rPr>
  </w:style>
  <w:style w:type="paragraph" w:customStyle="1" w:styleId="BodySmallRight">
    <w:name w:val="Body Small Right"/>
    <w:basedOn w:val="BodyTextRight"/>
    <w:rsid w:val="00C1105A"/>
    <w:rPr>
      <w:sz w:val="18"/>
      <w:szCs w:val="18"/>
    </w:rPr>
  </w:style>
  <w:style w:type="paragraph" w:customStyle="1" w:styleId="MarginEdition">
    <w:name w:val="Margin Edition"/>
    <w:basedOn w:val="MarginNote"/>
    <w:rsid w:val="00C1105A"/>
    <w:pPr>
      <w:spacing w:before="0" w:after="0"/>
    </w:pPr>
    <w:rPr>
      <w:rFonts w:ascii="Times New Roman" w:hAnsi="Times New Roman"/>
      <w:color w:val="999999"/>
    </w:rPr>
  </w:style>
  <w:style w:type="paragraph" w:customStyle="1" w:styleId="Spacer">
    <w:name w:val="Spacer"/>
    <w:basedOn w:val="Normal"/>
    <w:rsid w:val="00C1105A"/>
    <w:rPr>
      <w:sz w:val="2"/>
      <w:szCs w:val="2"/>
    </w:rPr>
  </w:style>
  <w:style w:type="character" w:customStyle="1" w:styleId="Small">
    <w:name w:val="Small"/>
    <w:basedOn w:val="DefaultParagraphFont"/>
    <w:rsid w:val="00C1105A"/>
    <w:rPr>
      <w:sz w:val="16"/>
    </w:rPr>
  </w:style>
  <w:style w:type="paragraph" w:customStyle="1" w:styleId="WideTable">
    <w:name w:val="Wide Table"/>
    <w:basedOn w:val="Normal"/>
    <w:rsid w:val="00C1105A"/>
    <w:pPr>
      <w:ind w:left="-1418"/>
    </w:pPr>
    <w:rPr>
      <w:sz w:val="2"/>
      <w:szCs w:val="2"/>
    </w:rPr>
  </w:style>
  <w:style w:type="character" w:styleId="PageNumber">
    <w:name w:val="page number"/>
    <w:basedOn w:val="DefaultParagraphFont"/>
    <w:rsid w:val="00C1105A"/>
  </w:style>
  <w:style w:type="paragraph" w:styleId="Quote">
    <w:name w:val="Quote"/>
    <w:basedOn w:val="Heading1"/>
    <w:link w:val="QuoteChar"/>
    <w:qFormat/>
    <w:rsid w:val="00C1105A"/>
    <w:rPr>
      <w:b w:val="0"/>
      <w:sz w:val="72"/>
      <w:szCs w:val="72"/>
      <w:lang w:val="en-NZ"/>
    </w:rPr>
  </w:style>
  <w:style w:type="character" w:customStyle="1" w:styleId="QuoteChar">
    <w:name w:val="Quote Char"/>
    <w:basedOn w:val="DefaultParagraphFont"/>
    <w:link w:val="Quote"/>
    <w:rsid w:val="00C11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05A"/>
    <w:pPr>
      <w:pageBreakBefore/>
    </w:pPr>
  </w:style>
  <w:style w:type="paragraph" w:customStyle="1" w:styleId="Border">
    <w:name w:val="Border"/>
    <w:basedOn w:val="Normal"/>
    <w:qFormat/>
    <w:rsid w:val="00C11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05A"/>
    <w:rPr>
      <w:b/>
      <w:bCs/>
      <w:i/>
      <w:iCs/>
      <w:color w:val="auto"/>
    </w:rPr>
  </w:style>
  <w:style w:type="paragraph" w:styleId="IntenseQuote">
    <w:name w:val="Intense Quote"/>
    <w:basedOn w:val="Normal"/>
    <w:next w:val="Normal"/>
    <w:link w:val="IntenseQuoteChar"/>
    <w:uiPriority w:val="30"/>
    <w:qFormat/>
    <w:rsid w:val="00C11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05A"/>
    <w:rPr>
      <w:smallCaps/>
      <w:color w:val="auto"/>
      <w:u w:val="single"/>
    </w:rPr>
  </w:style>
  <w:style w:type="character" w:styleId="IntenseReference">
    <w:name w:val="Intense Reference"/>
    <w:basedOn w:val="DefaultParagraphFont"/>
    <w:uiPriority w:val="32"/>
    <w:qFormat/>
    <w:rsid w:val="00C1105A"/>
    <w:rPr>
      <w:b/>
      <w:bCs/>
      <w:smallCaps/>
      <w:color w:val="auto"/>
      <w:spacing w:val="5"/>
      <w:u w:val="single"/>
    </w:rPr>
  </w:style>
  <w:style w:type="paragraph" w:customStyle="1" w:styleId="2ColumnHeading">
    <w:name w:val="2Column Heading"/>
    <w:basedOn w:val="BodyText"/>
    <w:qFormat/>
    <w:rsid w:val="00C1105A"/>
    <w:pPr>
      <w:spacing w:after="60"/>
      <w:ind w:left="-2268"/>
    </w:pPr>
    <w:rPr>
      <w:b/>
    </w:rPr>
  </w:style>
  <w:style w:type="paragraph" w:customStyle="1" w:styleId="Heading1TOC">
    <w:name w:val="Heading1 TOC"/>
    <w:basedOn w:val="Normal"/>
    <w:qFormat/>
    <w:rsid w:val="00C1105A"/>
    <w:pPr>
      <w:spacing w:before="240" w:after="120"/>
    </w:pPr>
    <w:rPr>
      <w:rFonts w:ascii="Times New Roman" w:hAnsi="Times New Roman"/>
      <w:b/>
      <w:sz w:val="32"/>
    </w:rPr>
  </w:style>
  <w:style w:type="paragraph" w:customStyle="1" w:styleId="Heading2TOC">
    <w:name w:val="Heading2 TOC"/>
    <w:basedOn w:val="Normal"/>
    <w:qFormat/>
    <w:rsid w:val="00C1105A"/>
    <w:pPr>
      <w:spacing w:before="240" w:after="60"/>
    </w:pPr>
    <w:rPr>
      <w:rFonts w:ascii="Times New Roman" w:hAnsi="Times New Roman"/>
      <w:b/>
      <w:sz w:val="28"/>
    </w:rPr>
  </w:style>
  <w:style w:type="character" w:customStyle="1" w:styleId="Underline">
    <w:name w:val="Underline"/>
    <w:basedOn w:val="DefaultParagraphFont"/>
    <w:qFormat/>
    <w:rsid w:val="00C1105A"/>
    <w:rPr>
      <w:u w:val="single"/>
    </w:rPr>
  </w:style>
  <w:style w:type="character" w:customStyle="1" w:styleId="BoldandItalics">
    <w:name w:val="Bold and Italics"/>
    <w:qFormat/>
    <w:rsid w:val="00C1105A"/>
    <w:rPr>
      <w:b/>
      <w:i/>
      <w:u w:val="none"/>
    </w:rPr>
  </w:style>
  <w:style w:type="paragraph" w:styleId="BalloonText">
    <w:name w:val="Balloon Text"/>
    <w:basedOn w:val="Normal"/>
    <w:link w:val="BalloonTextChar"/>
    <w:rsid w:val="00C1105A"/>
    <w:rPr>
      <w:rFonts w:ascii="Tahoma" w:hAnsi="Tahoma" w:cs="Tahoma"/>
      <w:sz w:val="16"/>
      <w:szCs w:val="16"/>
    </w:rPr>
  </w:style>
  <w:style w:type="character" w:customStyle="1" w:styleId="BalloonTextChar">
    <w:name w:val="Balloon Text Char"/>
    <w:basedOn w:val="DefaultParagraphFont"/>
    <w:link w:val="BalloonText"/>
    <w:rsid w:val="00C11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05A"/>
    <w:rPr>
      <w:b/>
      <w:color w:val="660033"/>
      <w:spacing w:val="0"/>
    </w:rPr>
  </w:style>
  <w:style w:type="paragraph" w:customStyle="1" w:styleId="Nameditemlist">
    <w:name w:val="Named item list"/>
    <w:basedOn w:val="BodyText"/>
    <w:qFormat/>
    <w:rsid w:val="00C110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3430</Words>
  <Characters>21873</Characters>
  <Application>Microsoft Office Word</Application>
  <DocSecurity>0</DocSecurity>
  <Lines>823</Lines>
  <Paragraphs>345</Paragraphs>
  <ScaleCrop>false</ScaleCrop>
  <Company>Author-it Software Corporation Ltd.</Company>
  <LinksUpToDate>false</LinksUpToDate>
  <CharactersWithSpaces>25066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UETTDRIS60A Install and replace power system energy meters and associated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2012-10-10T02:23:00Z</dcterms:created>
  <dcterms:modified xsi:type="dcterms:W3CDTF">2012-10-10T02:23:00Z</dcterms:modified>
</cp:coreProperties>
</file>