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574" w:rsidP="00F12574">
      <w:pPr>
        <w:pStyle w:val="Title"/>
      </w:pPr>
      <w:bookmarkStart w:id="0" w:name="_GoBack"/>
      <w:bookmarkEnd w:id="0"/>
      <w:r>
        <w:fldChar w:fldCharType="begin"/>
      </w:r>
      <w:r>
        <w:instrText xml:space="preserve"> TITLE   \* MERGEFORMAT </w:instrText>
      </w:r>
      <w:r>
        <w:fldChar w:fldCharType="separate"/>
      </w:r>
      <w:r>
        <w:t>UETTDRIS59A Conduct high potential testing of power system underground power cables</w:t>
      </w:r>
      <w:r>
        <w:fldChar w:fldCharType="end"/>
      </w:r>
    </w:p>
    <w:p w:rsidR="00F12574" w:rsidP="00F12574">
      <w:pPr>
        <w:pStyle w:val="Version"/>
        <w:sectPr w:rsidSect="00D37E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EDB" w:rsidP="00D37EDB">
      <w:pPr>
        <w:pStyle w:val="SuperHeading"/>
      </w:pPr>
      <w:r w:rsidRPr="00D37EDB">
        <w:t>UETTDRIS59A Conduct high potential testing of power system underground power cables</w:t>
      </w:r>
    </w:p>
    <w:p w:rsidR="00000000" w:rsidRPr="00D37EDB" w:rsidP="00D37EDB">
      <w:pPr>
        <w:pStyle w:val="Heading1"/>
      </w:pPr>
      <w:bookmarkStart w:id="1" w:name="O_462731"/>
      <w:bookmarkEnd w:id="1"/>
      <w:r w:rsidRPr="00D37EDB">
        <w:t>Modification History</w:t>
      </w:r>
    </w:p>
    <w:p w:rsidR="00000000" w:rsidRPr="00D37EDB" w:rsidP="00D37EDB">
      <w:pPr>
        <w:pStyle w:val="BodyText"/>
      </w:pPr>
      <w:r w:rsidRPr="00D37EDB">
        <w:t>Not applicable.</w:t>
      </w:r>
    </w:p>
    <w:p w:rsidR="00000000" w:rsidRPr="00D37EDB" w:rsidP="00D37EDB">
      <w:pPr>
        <w:pStyle w:val="AllowPageBreak"/>
      </w:pPr>
    </w:p>
    <w:p w:rsidR="00000000" w:rsidRPr="00D37EDB" w:rsidP="00D37EDB">
      <w:pPr>
        <w:pStyle w:val="Heading1"/>
      </w:pPr>
      <w:bookmarkStart w:id="2" w:name="O_462729"/>
      <w:bookmarkEnd w:id="2"/>
      <w:r w:rsidRPr="00D37EDB">
        <w:t>Unit Descrip</w:t>
      </w:r>
      <w:r w:rsidRPr="00D37EDB">
        <w:t>tor</w:t>
      </w:r>
    </w:p>
    <w:tbl>
      <w:tblPr>
        <w:tblW w:w="0" w:type="auto"/>
        <w:tblLayout w:type="fixed"/>
        <w:tblCellMar>
          <w:left w:w="62" w:type="dxa"/>
          <w:right w:w="62" w:type="dxa"/>
        </w:tblCellMar>
        <w:tblLook w:val="0000"/>
      </w:tblPr>
      <w:tblGrid>
        <w:gridCol w:w="2700"/>
        <w:gridCol w:w="5760"/>
      </w:tblGrid>
      <w:tr w:rsidTr="00F125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1)</w:t>
            </w:r>
            <w:r w:rsidRPr="00D37EDB">
              <w:t xml:space="preserve"> </w:t>
            </w:r>
            <w:r w:rsidRPr="00D37EDB">
              <w:rPr>
                <w:rStyle w:val="SpecialBold"/>
              </w:rPr>
              <w:t>Scope:</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7ED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1.1) Descriptor</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This Competency Standard Unit covers the conducting of high potential testing of underground power cables. It includes obtaining the required “access to test”</w:t>
            </w:r>
            <w:r w:rsidRPr="00D37EDB">
              <w:t xml:space="preserve"> or equivalent permit, setting up of the fault location test equipment and following the procedure to carry out the cable test plan. It also encompasses the interpreting test results, documenting the actual testing and, recommendations to meet client requi</w:t>
            </w:r>
            <w:r w:rsidRPr="00D37EDB">
              <w:t>rements.</w:t>
            </w:r>
          </w:p>
        </w:tc>
      </w:tr>
    </w:tbl>
    <w:p w:rsidR="00000000" w:rsidRPr="00D37EDB" w:rsidP="00D37EDB">
      <w:pPr>
        <w:pStyle w:val="BodyText"/>
      </w:pPr>
    </w:p>
    <w:p w:rsidR="00000000" w:rsidRPr="00D37EDB" w:rsidP="00D37EDB">
      <w:pPr>
        <w:pStyle w:val="AllowPageBreak"/>
      </w:pPr>
    </w:p>
    <w:p w:rsidR="00000000" w:rsidRPr="00D37EDB" w:rsidP="00D37EDB">
      <w:pPr>
        <w:pStyle w:val="Heading1"/>
      </w:pPr>
      <w:bookmarkStart w:id="3" w:name="O_462718"/>
      <w:bookmarkEnd w:id="3"/>
      <w:r w:rsidRPr="00D37EDB">
        <w:t>Application of the Unit</w:t>
      </w:r>
    </w:p>
    <w:tbl>
      <w:tblPr>
        <w:tblW w:w="0" w:type="auto"/>
        <w:tblLayout w:type="fixed"/>
        <w:tblCellMar>
          <w:left w:w="62" w:type="dxa"/>
          <w:right w:w="62" w:type="dxa"/>
        </w:tblCellMar>
        <w:tblLook w:val="0000"/>
      </w:tblPr>
      <w:tblGrid>
        <w:gridCol w:w="2672"/>
        <w:gridCol w:w="5699"/>
      </w:tblGrid>
      <w:tr w:rsidTr="00F1257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2)</w:t>
            </w:r>
          </w:p>
        </w:tc>
      </w:tr>
      <w:tr w:rsidTr="00F1257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This Competency Standard Unit is intended to augment formally acquired competencies. It is suitable for employment-based programs under an approved contract of training.</w:t>
            </w:r>
          </w:p>
        </w:tc>
      </w:tr>
    </w:tbl>
    <w:p w:rsidR="00000000" w:rsidRPr="00D37EDB" w:rsidP="00D37EDB">
      <w:pPr>
        <w:pStyle w:val="BodyText"/>
      </w:pPr>
    </w:p>
    <w:p w:rsidR="00000000" w:rsidRPr="00D37EDB" w:rsidP="00D37EDB">
      <w:pPr>
        <w:pStyle w:val="AllowPageBreak"/>
      </w:pPr>
    </w:p>
    <w:p w:rsidR="00000000" w:rsidRPr="00D37EDB" w:rsidP="00D37EDB">
      <w:pPr>
        <w:pStyle w:val="Heading1"/>
      </w:pPr>
      <w:bookmarkStart w:id="4" w:name="O_462725"/>
      <w:bookmarkEnd w:id="4"/>
      <w:r w:rsidRPr="00D37EDB">
        <w:t>Licensing/Regulatory Information</w:t>
      </w:r>
    </w:p>
    <w:tbl>
      <w:tblPr>
        <w:tblW w:w="0" w:type="auto"/>
        <w:tblLayout w:type="fixed"/>
        <w:tblCellMar>
          <w:left w:w="62" w:type="dxa"/>
          <w:right w:w="62" w:type="dxa"/>
        </w:tblCellMar>
        <w:tblLook w:val="0000"/>
      </w:tblPr>
      <w:tblGrid>
        <w:gridCol w:w="2700"/>
        <w:gridCol w:w="5760"/>
      </w:tblGrid>
      <w:tr w:rsidTr="00F125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 xml:space="preserve">3) </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 xml:space="preserve">The skills and knowledge described in this unit may require a licence/registration to practice in the work place subject to regulations for undertaking of electrical work. Practice </w:t>
            </w:r>
            <w:r w:rsidRPr="00D37EDB">
              <w:t xml:space="preserve">in workplace and during training is also subject to regulations directly related to Occupational Health and Safety, electricity/telecommunications/gas/water industry safety and compliance, industrial relations, environmental </w:t>
            </w:r>
            <w:r w:rsidRPr="00D37EDB">
              <w:t>protection, anti discrimination</w:t>
            </w:r>
            <w:r w:rsidRPr="00D37EDB">
              <w:t xml:space="preserve"> and training. Commonwealth, State/Territory or Local Government legislation and regulations may exist that limits the age of operating certain equipment.</w:t>
            </w:r>
          </w:p>
        </w:tc>
      </w:tr>
    </w:tbl>
    <w:p w:rsidR="00000000" w:rsidRPr="00D37EDB" w:rsidP="00D37EDB">
      <w:pPr>
        <w:pStyle w:val="BodyText"/>
      </w:pPr>
    </w:p>
    <w:p w:rsidR="00000000" w:rsidRPr="00D37EDB" w:rsidP="00D37EDB">
      <w:pPr>
        <w:pStyle w:val="AllowPageBreak"/>
      </w:pPr>
    </w:p>
    <w:p w:rsidR="00000000" w:rsidRPr="00D37EDB" w:rsidP="00D37EDB">
      <w:pPr>
        <w:pStyle w:val="Heading1"/>
      </w:pPr>
      <w:bookmarkStart w:id="5" w:name="O_462726"/>
      <w:bookmarkEnd w:id="5"/>
      <w:r w:rsidRPr="00D37EDB">
        <w:t>Pre-Requisites</w:t>
      </w:r>
    </w:p>
    <w:tbl>
      <w:tblPr>
        <w:tblW w:w="0" w:type="auto"/>
        <w:tblLayout w:type="fixed"/>
        <w:tblCellMar>
          <w:left w:w="62" w:type="dxa"/>
          <w:right w:w="62" w:type="dxa"/>
        </w:tblCellMar>
        <w:tblLook w:val="0000"/>
      </w:tblPr>
      <w:tblGrid>
        <w:gridCol w:w="2700"/>
        <w:gridCol w:w="1980"/>
        <w:gridCol w:w="3780"/>
      </w:tblGrid>
      <w:tr w:rsidTr="00F125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 xml:space="preserve">4) </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4.1)</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Granting of competency in this unit shall be made only after competency in the following unit(s) has/have been confirmed.</w:t>
            </w:r>
          </w:p>
          <w:p w:rsidR="00000000" w:rsidRPr="00D37EDB" w:rsidP="00D37EDB">
            <w:pPr>
              <w:pStyle w:val="BodyText"/>
            </w:pPr>
            <w:r w:rsidRPr="00D37EDB">
              <w:t xml:space="preserve">Where pre-requisite pathways have been identified. All competencies in the Common Unit Group must be have been completed plus all the </w:t>
            </w:r>
            <w:r w:rsidRPr="00D37EDB">
              <w:t>competencies in one (1) of the identified Pathway Unit Group(s):</w:t>
            </w:r>
          </w:p>
          <w:p w:rsidR="00000000" w:rsidP="00D37EDB">
            <w:pPr>
              <w:pStyle w:val="BodyText"/>
              <w:rPr>
                <w:lang w:val="en-NZ"/>
              </w:rPr>
            </w:pPr>
            <w:r w:rsidRPr="00D37EDB">
              <w:t>Common Unit Group</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Unit Code</w:t>
            </w:r>
          </w:p>
        </w:tc>
        <w:tc>
          <w:tcPr>
            <w:tcW w:w="378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Unit Title</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Apply Occupational Health and Safety regulations, codes and practices in the workplace</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Fabricate, assemble and dismantle utilities industry components</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Solve problems in d.c. Circuits</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Fix and secure electrotechnology equipment</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Use drawings, diagrams, schedules, standards, codes and specifications</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UE</w:t>
            </w:r>
            <w:r w:rsidRPr="00D37EDB">
              <w:t>ENEEG101A</w:t>
            </w:r>
          </w:p>
        </w:tc>
        <w:tc>
          <w:tcPr>
            <w:tcW w:w="37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Solve problems in electromagnetic devices and related circuits</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Solve problems in low voltage a.c. Circuits</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UETTDRCJ21A</w:t>
            </w:r>
          </w:p>
        </w:tc>
        <w:tc>
          <w:tcPr>
            <w:tcW w:w="3780" w:type="dxa"/>
            <w:tcBorders>
              <w:top w:val="nil"/>
              <w:left w:val="nil"/>
              <w:bottom w:val="nil"/>
              <w:right w:val="nil"/>
            </w:tcBorders>
            <w:tcMar>
              <w:top w:w="0" w:type="dxa"/>
              <w:left w:w="62" w:type="dxa"/>
              <w:bottom w:w="0" w:type="dxa"/>
              <w:right w:w="62" w:type="dxa"/>
            </w:tcMar>
            <w:vAlign w:val="bottom"/>
          </w:tcPr>
          <w:p w:rsidR="00000000" w:rsidP="00D37EDB">
            <w:pPr>
              <w:pStyle w:val="BodyText"/>
              <w:rPr>
                <w:lang w:val="en-NZ"/>
              </w:rPr>
            </w:pPr>
            <w:r w:rsidRPr="00D37EDB">
              <w:t xml:space="preserve">Lay ESI electrical cables </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UETTDRCJ26A</w:t>
            </w:r>
          </w:p>
        </w:tc>
        <w:tc>
          <w:tcPr>
            <w:tcW w:w="3780" w:type="dxa"/>
            <w:tcBorders>
              <w:top w:val="nil"/>
              <w:left w:val="nil"/>
              <w:bottom w:val="nil"/>
              <w:right w:val="nil"/>
            </w:tcBorders>
            <w:tcMar>
              <w:top w:w="0" w:type="dxa"/>
              <w:left w:w="62" w:type="dxa"/>
              <w:bottom w:w="0" w:type="dxa"/>
              <w:right w:w="62" w:type="dxa"/>
            </w:tcMar>
            <w:vAlign w:val="bottom"/>
          </w:tcPr>
          <w:p w:rsidR="00000000" w:rsidP="00D37EDB">
            <w:pPr>
              <w:pStyle w:val="BodyText"/>
              <w:rPr>
                <w:lang w:val="en-NZ"/>
              </w:rPr>
            </w:pPr>
            <w:r w:rsidRPr="00D37EDB">
              <w:t xml:space="preserve">Install and maintain de-energised low voltage underground polymeric cables. </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UETTDRCJ27A</w:t>
            </w:r>
          </w:p>
        </w:tc>
        <w:tc>
          <w:tcPr>
            <w:tcW w:w="3780" w:type="dxa"/>
            <w:tcBorders>
              <w:top w:val="nil"/>
              <w:left w:val="nil"/>
              <w:bottom w:val="nil"/>
              <w:right w:val="nil"/>
            </w:tcBorders>
            <w:tcMar>
              <w:top w:w="0" w:type="dxa"/>
              <w:left w:w="62" w:type="dxa"/>
              <w:bottom w:w="0" w:type="dxa"/>
              <w:right w:w="62" w:type="dxa"/>
            </w:tcMar>
            <w:vAlign w:val="bottom"/>
          </w:tcPr>
          <w:p w:rsidR="00000000" w:rsidP="00D37EDB">
            <w:pPr>
              <w:pStyle w:val="BodyText"/>
              <w:rPr>
                <w:lang w:val="en-NZ"/>
              </w:rPr>
            </w:pPr>
            <w:r w:rsidRPr="00D37EDB">
              <w:t xml:space="preserve">Install and maintain de-energised high voltage underground polymeric cables. </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 xml:space="preserve">Apply sustainable energy and environmental procedures </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UETTDREL12A</w:t>
            </w:r>
          </w:p>
        </w:tc>
        <w:tc>
          <w:tcPr>
            <w:tcW w:w="37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 xml:space="preserve">Operate plant and equipment near live electrical conductors and apparatus </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D37EDB">
            <w:pPr>
              <w:pStyle w:val="BodyText"/>
              <w:rPr>
                <w:lang w:val="en-NZ"/>
              </w:rPr>
            </w:pPr>
            <w:r w:rsidRPr="00D37EDB">
              <w:t xml:space="preserve">Working safely near live electrical apparatus </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UETTDRIS41A</w:t>
            </w:r>
          </w:p>
        </w:tc>
        <w:tc>
          <w:tcPr>
            <w:tcW w:w="3780" w:type="dxa"/>
            <w:tcBorders>
              <w:top w:val="nil"/>
              <w:left w:val="nil"/>
              <w:bottom w:val="nil"/>
              <w:right w:val="nil"/>
            </w:tcBorders>
            <w:tcMar>
              <w:top w:w="0" w:type="dxa"/>
              <w:left w:w="62" w:type="dxa"/>
              <w:bottom w:w="0" w:type="dxa"/>
              <w:right w:w="62" w:type="dxa"/>
            </w:tcMar>
            <w:vAlign w:val="bottom"/>
          </w:tcPr>
          <w:p w:rsidR="00000000" w:rsidP="00D37EDB">
            <w:pPr>
              <w:pStyle w:val="BodyText"/>
              <w:rPr>
                <w:lang w:val="en-NZ"/>
              </w:rPr>
            </w:pPr>
            <w:r w:rsidRPr="00D37EDB">
              <w:t xml:space="preserve">Install network infrastructure electrical equipment </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UETTDRIS42A</w:t>
            </w:r>
          </w:p>
        </w:tc>
        <w:tc>
          <w:tcPr>
            <w:tcW w:w="3780" w:type="dxa"/>
            <w:tcBorders>
              <w:top w:val="nil"/>
              <w:left w:val="nil"/>
              <w:bottom w:val="nil"/>
              <w:right w:val="nil"/>
            </w:tcBorders>
            <w:tcMar>
              <w:top w:w="0" w:type="dxa"/>
              <w:left w:w="62" w:type="dxa"/>
              <w:bottom w:w="0" w:type="dxa"/>
              <w:right w:w="62" w:type="dxa"/>
            </w:tcMar>
            <w:vAlign w:val="bottom"/>
          </w:tcPr>
          <w:p w:rsidR="00000000" w:rsidP="00D37EDB">
            <w:pPr>
              <w:pStyle w:val="BodyText"/>
              <w:rPr>
                <w:lang w:val="en-NZ"/>
              </w:rPr>
            </w:pPr>
            <w:r w:rsidRPr="00D37EDB">
              <w:t xml:space="preserve">Maintain network infrastructure electrical equipment </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UETTDRIS55A</w:t>
            </w:r>
          </w:p>
        </w:tc>
        <w:tc>
          <w:tcPr>
            <w:tcW w:w="3780" w:type="dxa"/>
            <w:tcBorders>
              <w:top w:val="nil"/>
              <w:left w:val="nil"/>
              <w:bottom w:val="nil"/>
              <w:right w:val="nil"/>
            </w:tcBorders>
            <w:tcMar>
              <w:top w:w="0" w:type="dxa"/>
              <w:left w:w="62" w:type="dxa"/>
              <w:bottom w:w="0" w:type="dxa"/>
              <w:right w:w="62" w:type="dxa"/>
            </w:tcMar>
            <w:vAlign w:val="bottom"/>
          </w:tcPr>
          <w:p w:rsidR="00000000" w:rsidRPr="00D37EDB" w:rsidP="00D37EDB">
            <w:pPr>
              <w:pStyle w:val="BodyText"/>
            </w:pPr>
            <w:r w:rsidRPr="00D37EDB">
              <w:t xml:space="preserve">Install and maintain low voltage underground services </w:t>
            </w:r>
          </w:p>
        </w:tc>
      </w:tr>
    </w:tbl>
    <w:p w:rsidR="00000000" w:rsidRPr="00D37EDB" w:rsidP="00D37ED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1257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 xml:space="preserve">4.2) </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Participants are best equipped to achieve this unit if they have reading, writing and numeracy skills indicated by the following scales. Description of each scale is given in Volume 2, Part 3 “Literacy and Numeracy”</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Reading</w:t>
            </w:r>
          </w:p>
        </w:tc>
        <w:tc>
          <w:tcPr>
            <w:tcW w:w="81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3</w:t>
            </w:r>
          </w:p>
        </w:tc>
        <w:tc>
          <w:tcPr>
            <w:tcW w:w="99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Writing</w:t>
            </w:r>
          </w:p>
        </w:tc>
        <w:tc>
          <w:tcPr>
            <w:tcW w:w="90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3</w:t>
            </w:r>
          </w:p>
        </w:tc>
        <w:tc>
          <w:tcPr>
            <w:tcW w:w="126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Numeracy</w:t>
            </w:r>
          </w:p>
        </w:tc>
        <w:tc>
          <w:tcPr>
            <w:tcW w:w="72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3</w:t>
            </w:r>
          </w:p>
        </w:tc>
      </w:tr>
    </w:tbl>
    <w:p w:rsidR="00000000" w:rsidRPr="00D37EDB" w:rsidP="00D37EDB">
      <w:pPr>
        <w:pStyle w:val="BodyText"/>
      </w:pPr>
    </w:p>
    <w:p w:rsidR="00000000" w:rsidRPr="00D37EDB" w:rsidP="00D37EDB">
      <w:pPr>
        <w:pStyle w:val="AllowPageBreak"/>
      </w:pPr>
    </w:p>
    <w:p w:rsidR="00000000" w:rsidRPr="00D37EDB" w:rsidP="00D37EDB">
      <w:pPr>
        <w:pStyle w:val="Heading1"/>
      </w:pPr>
      <w:bookmarkStart w:id="6" w:name="O_462722"/>
      <w:bookmarkEnd w:id="6"/>
      <w:r w:rsidRPr="00D37EDB">
        <w:t>Employability Skills Information</w:t>
      </w:r>
    </w:p>
    <w:tbl>
      <w:tblPr>
        <w:tblW w:w="0" w:type="auto"/>
        <w:tblLayout w:type="fixed"/>
        <w:tblCellMar>
          <w:left w:w="62" w:type="dxa"/>
          <w:right w:w="62" w:type="dxa"/>
        </w:tblCellMar>
        <w:tblLook w:val="0000"/>
      </w:tblPr>
      <w:tblGrid>
        <w:gridCol w:w="2700"/>
        <w:gridCol w:w="5760"/>
      </w:tblGrid>
      <w:tr w:rsidTr="00F125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 xml:space="preserve">5) </w:t>
            </w:r>
          </w:p>
        </w:tc>
      </w:tr>
      <w:tr w:rsidTr="00F1257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The required outcomes described in this unit of competency contain applicable facets of Employability Skills. The Employability Skills Summary of the qualification in which this u</w:t>
            </w:r>
            <w:r w:rsidRPr="00D37EDB">
              <w:t>nit of competency is packaged will assist in identifying Employability Skill requirements.</w:t>
            </w:r>
          </w:p>
        </w:tc>
      </w:tr>
    </w:tbl>
    <w:p w:rsidR="00000000" w:rsidRPr="00D37EDB" w:rsidP="00D37EDB">
      <w:pPr>
        <w:pStyle w:val="BodyText"/>
      </w:pPr>
    </w:p>
    <w:p w:rsidR="00000000" w:rsidRPr="00D37EDB" w:rsidP="00D37EDB">
      <w:pPr>
        <w:pStyle w:val="AllowPageBreak"/>
      </w:pPr>
    </w:p>
    <w:p w:rsidR="00000000" w:rsidRPr="00D37EDB" w:rsidP="00D37EDB">
      <w:pPr>
        <w:pStyle w:val="Heading1"/>
      </w:pPr>
      <w:bookmarkStart w:id="7" w:name="O_462721"/>
      <w:bookmarkEnd w:id="7"/>
      <w:r w:rsidRPr="00D37EDB">
        <w:t>Elements and Performance Criteria Pre-Content</w:t>
      </w:r>
    </w:p>
    <w:tbl>
      <w:tblPr>
        <w:tblW w:w="0" w:type="auto"/>
        <w:tblLayout w:type="fixed"/>
        <w:tblCellMar>
          <w:left w:w="62" w:type="dxa"/>
          <w:right w:w="62" w:type="dxa"/>
        </w:tblCellMar>
        <w:tblLook w:val="0000"/>
      </w:tblPr>
      <w:tblGrid>
        <w:gridCol w:w="2700"/>
        <w:gridCol w:w="5760"/>
      </w:tblGrid>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6)</w:t>
            </w:r>
            <w:r w:rsidRPr="00D37ED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Performance Criteria describe the required performance needed to demonstrate achievement of the element. Assessment of performance is to be consistent with the Evidence Guide.</w:t>
            </w:r>
          </w:p>
        </w:tc>
      </w:tr>
    </w:tbl>
    <w:p w:rsidR="00000000" w:rsidRPr="00D37EDB" w:rsidP="00D37EDB">
      <w:pPr>
        <w:pStyle w:val="BodyText"/>
      </w:pPr>
    </w:p>
    <w:p w:rsidR="00000000" w:rsidRPr="00D37EDB" w:rsidP="00D37EDB">
      <w:pPr>
        <w:pStyle w:val="AllowPageBreak"/>
      </w:pPr>
    </w:p>
    <w:p w:rsidR="00000000" w:rsidRPr="00D37EDB" w:rsidP="00D37EDB">
      <w:pPr>
        <w:pStyle w:val="Heading1"/>
      </w:pPr>
      <w:bookmarkStart w:id="8" w:name="O_462720"/>
      <w:bookmarkEnd w:id="8"/>
      <w:r w:rsidRPr="00D37EDB">
        <w:t>Elements and Performance Criteria</w:t>
      </w:r>
    </w:p>
    <w:tbl>
      <w:tblPr>
        <w:tblW w:w="0" w:type="auto"/>
        <w:tblLayout w:type="fixed"/>
        <w:tblCellMar>
          <w:left w:w="62" w:type="dxa"/>
          <w:right w:w="62" w:type="dxa"/>
        </w:tblCellMar>
        <w:tblLook w:val="0000"/>
      </w:tblPr>
      <w:tblGrid>
        <w:gridCol w:w="407"/>
        <w:gridCol w:w="2293"/>
        <w:gridCol w:w="844"/>
        <w:gridCol w:w="4916"/>
      </w:tblGrid>
      <w:tr w:rsidTr="00F1257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PERFORMANCE CRITER</w:t>
            </w:r>
            <w:r w:rsidRPr="00D37EDB">
              <w:rPr>
                <w:rStyle w:val="SpecialBold"/>
              </w:rPr>
              <w:t>IA</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w:t>
            </w:r>
          </w:p>
        </w:tc>
        <w:tc>
          <w:tcPr>
            <w:tcW w:w="2293"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 Prepare/plan to conduct high potential testing</w:t>
            </w: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1.1</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 xml:space="preserve">Works schedule(s), including drawings, plans, requirements, established procedures, and material lists, are received, analysed, if necessary, </w:t>
            </w:r>
            <w:r w:rsidRPr="00D37EDB">
              <w:t>by site inspection and the extent of the preparation of the work determined for planning and coordination.</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1.2</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Relevant requirements and established procedures for the work are communicated to all personnel and identified for all work sites.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1.3</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 xml:space="preserve">OHS </w:t>
            </w:r>
            <w:r w:rsidRPr="00D37EDB">
              <w:t>policies and procedures related to requirements and established procedures for the high potential testing are obtained and confirmed for the purposes of the work to be performed and communicated.</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1.4</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Work is prioritised and sequenced for the most efficient and effective outcome following consultation with others for completion within acceptable timeframes, to a quality standard and in accordance with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1.5</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Hazards are identifie</w:t>
            </w:r>
            <w:r w:rsidRPr="00D37EDB">
              <w:t>d, OHS risks assessed and control measures are prioritised, implemented and monitored including emergency exits kept clear according to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1.6</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Relevant work permits are secured to coordinate the performance of work according to requ</w:t>
            </w:r>
            <w:r w:rsidRPr="00D37EDB">
              <w:t>irements and/or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1.7</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Resources including personnel, equipment, tools and personal protective equipment required for the job are obtained and confirmed in working order.</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1.8</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Clients/Customers are provided with alternative methods within the: scope, acceptable cost and requirements.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1.9</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 xml:space="preserve">Liaison and communication issues with other/authorised personnel, authorities, clients and land owners are resolved to carry out work where </w:t>
            </w:r>
            <w:r w:rsidRPr="00D37EDB">
              <w:t>necessary.</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1.10</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Site is prepared according to the work schedule and to minimise risk and damage to property, commerce, and individuals in accordance with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1.11</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 xml:space="preserve">Personnel participating in the work, including plant operators and </w:t>
            </w:r>
            <w:r w:rsidRPr="00D37EDB">
              <w:t>contractors, are fully briefed and respective responsibilities coordinated and authorised where applicable in accordance with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1.12</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Positioning of road signs, barriers and warning devices is planned in accordance with requirements.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2</w:t>
            </w:r>
          </w:p>
        </w:tc>
        <w:tc>
          <w:tcPr>
            <w:tcW w:w="2293"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2. Carry out high potential testing</w:t>
            </w: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2.1</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OHS and sustainable energy principles and practices to reduce the incidents of accidents and minimise waste are m</w:t>
            </w:r>
            <w:r w:rsidRPr="00D37EDB">
              <w:t>onitored and actioned in accordance with requirements and/or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2.2</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First Aid, Pole Top Rescue and other related work procedures are performed according to requirements and/or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2.3</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Lifting, climbing, workin</w:t>
            </w:r>
            <w:r w:rsidRPr="00D37EDB">
              <w:t>g in confined spaces and aloft, and use of power tools/equipment, techniques and practices are safely exercised according to requirements.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2.4</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Hazard warnings and safety signs are recognised and hazards and assessed OHS risks are reported to the immedia</w:t>
            </w:r>
            <w:r w:rsidRPr="00D37EDB">
              <w:t>te authorised persons for directions according to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2.5</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Remedial actions are taken to overcome any shortfalls encountered in the work schedule according to requirements and/or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2.6</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Conduction of high potential testing is carried out, in accordance with the work schedule and requirements and/or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2.7</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Essential knowledge and associated skills are applied in the safe conduction of high potential testing to ensure</w:t>
            </w:r>
            <w:r w:rsidRPr="00D37EDB">
              <w:t xml:space="preserve"> completion in an agreed timeframe and, to quality standards with a minimum of waste according to requirements.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2.8</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Solutions to non-routine problems are identified and actioned using acquired essential knowledge and associated skills according to requi</w:t>
            </w:r>
            <w:r w:rsidRPr="00D37EDB">
              <w:t>rements.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2.9</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Ongoing checks of quality of the work are undertaken in accordance with requirements and established procedures to ensure a quality like outcome is achieved for the client/customer and to a community/industry standard.</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3</w:t>
            </w:r>
          </w:p>
        </w:tc>
        <w:tc>
          <w:tcPr>
            <w:tcW w:w="2293"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3. Complete hi</w:t>
            </w:r>
            <w:r w:rsidRPr="00D37EDB">
              <w:t>gh potential testing</w:t>
            </w: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3.1</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Work undertaken is checked against works schedule for conformance with requirements, anomalies reported and solutions identified in accordance with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3.2</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Accidents and/or injuries are reported in accordance</w:t>
            </w:r>
            <w:r w:rsidRPr="00D37EDB">
              <w:t xml:space="preserve"> with requirements/established procedures, where applicable.</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3.3</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Work site is rehabilitated, cleaned up and confirmed safe in accordance with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3.4</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Tools, equipment and any surplus resources and materials are, where appropriate,</w:t>
            </w:r>
            <w:r w:rsidRPr="00D37EDB">
              <w:t xml:space="preserve"> cleaned, checked and returned to storage in accordance with established procedures.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3.5</w:t>
            </w:r>
          </w:p>
        </w:tc>
        <w:tc>
          <w:tcPr>
            <w:tcW w:w="4916"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Relevant work permit(s) are signed off and, underground cables are returned to service and advised to client/customer in accordance with requirements.</w:t>
            </w:r>
          </w:p>
        </w:tc>
      </w:tr>
      <w:tr w:rsidTr="00F12574">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t>3.6</w:t>
            </w:r>
          </w:p>
        </w:tc>
        <w:tc>
          <w:tcPr>
            <w:tcW w:w="4916"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Works completion records, reports, as installed /modified drawing(s) and/or documentation and information are confirmed, processed and appropriate personnel notified.</w:t>
            </w:r>
          </w:p>
        </w:tc>
      </w:tr>
    </w:tbl>
    <w:p w:rsidR="00000000" w:rsidRPr="00D37EDB" w:rsidP="00D37EDB">
      <w:pPr>
        <w:pStyle w:val="BodyText"/>
      </w:pPr>
    </w:p>
    <w:p w:rsidR="00000000" w:rsidRPr="00D37EDB" w:rsidP="00D37EDB">
      <w:pPr>
        <w:pStyle w:val="AllowPageBreak"/>
      </w:pPr>
    </w:p>
    <w:p w:rsidR="00000000" w:rsidRPr="00D37EDB" w:rsidP="00D37EDB">
      <w:pPr>
        <w:pStyle w:val="Heading1"/>
      </w:pPr>
      <w:bookmarkStart w:id="9" w:name="O_462728"/>
      <w:bookmarkEnd w:id="9"/>
      <w:r w:rsidRPr="00D37EDB">
        <w:t>Required Skills and Knowledge</w:t>
      </w:r>
    </w:p>
    <w:tbl>
      <w:tblPr>
        <w:tblW w:w="0" w:type="auto"/>
        <w:tblLayout w:type="fixed"/>
        <w:tblCellMar>
          <w:left w:w="62" w:type="dxa"/>
          <w:right w:w="62" w:type="dxa"/>
        </w:tblCellMar>
        <w:tblLook w:val="0000"/>
      </w:tblPr>
      <w:tblGrid>
        <w:gridCol w:w="8460"/>
      </w:tblGrid>
      <w:tr w:rsidTr="00F125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REQUIRED SKILLS AND KNOWLEDGE</w:t>
            </w:r>
          </w:p>
        </w:tc>
      </w:tr>
      <w:tr w:rsidTr="00F1257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8)</w:t>
            </w:r>
            <w:r w:rsidRPr="00D37EDB">
              <w:t xml:space="preserve"> Essential Knowledge and Associated Skills (EKAS): This describes the essential skills and knowledge and their level, required for this unit.</w:t>
            </w:r>
          </w:p>
          <w:p w:rsidR="00000000" w:rsidRPr="00D37EDB" w:rsidP="00D37EDB">
            <w:pPr>
              <w:pStyle w:val="BodyText"/>
            </w:pPr>
            <w:r w:rsidRPr="00D37EDB">
              <w:t>Evidence shall show that knowledge has been acquired of conducting high potential testing of underground power cab</w:t>
            </w:r>
            <w:r w:rsidRPr="00D37EDB">
              <w:t>les.</w:t>
            </w:r>
          </w:p>
          <w:p w:rsidR="00000000" w:rsidRPr="00D37EDB" w:rsidP="00D37EDB">
            <w:pPr>
              <w:pStyle w:val="BodyText"/>
            </w:pPr>
            <w:r w:rsidRPr="00D37EDB">
              <w:t>All knowledge and skills detailed in this unit should be contextualised to current industry practices and technologies.</w:t>
            </w:r>
          </w:p>
          <w:p w:rsidR="00000000" w:rsidRPr="00D37EDB" w:rsidP="00D37EDB">
            <w:pPr>
              <w:pStyle w:val="BodyText"/>
            </w:pPr>
            <w:r w:rsidRPr="00D37EDB">
              <w:t xml:space="preserve">KS01-TIS59A </w:t>
            </w:r>
            <w:r w:rsidRPr="00D37EDB">
              <w:tab/>
              <w:t>Power system underground power cables testing</w:t>
            </w:r>
          </w:p>
          <w:p w:rsidR="00000000" w:rsidRPr="00D37EDB" w:rsidP="00D37EDB">
            <w:pPr>
              <w:pStyle w:val="BodyText"/>
            </w:pPr>
            <w:r w:rsidRPr="00D37EDB">
              <w:t>Evidence shall show an understanding of the conducting high potential te</w:t>
            </w:r>
            <w:r w:rsidRPr="00D37EDB">
              <w:t>sting of power system underground power cables to an extent indicated by the following aspects:</w:t>
            </w:r>
          </w:p>
          <w:p w:rsidR="00000000" w:rsidRPr="00D37EDB" w:rsidP="00D37EDB">
            <w:pPr>
              <w:pStyle w:val="BodyText"/>
            </w:pPr>
            <w:r w:rsidRPr="00D37EDB">
              <w:t>T1</w:t>
            </w:r>
            <w:r w:rsidRPr="00D37EDB">
              <w:tab/>
              <w:t>Installation of underground cable encompassing:</w:t>
            </w:r>
          </w:p>
          <w:p w:rsidR="00000000" w:rsidRPr="00D37EDB" w:rsidP="00D37EDB">
            <w:pPr>
              <w:pStyle w:val="ListBullet"/>
            </w:pPr>
            <w:r w:rsidRPr="00D37EDB">
              <w:t>Requirements for the use of enterprise construction manuals, system diagrams/plans and drawings</w:t>
            </w:r>
          </w:p>
          <w:p w:rsidR="00000000" w:rsidRPr="00D37EDB" w:rsidP="00D37EDB">
            <w:pPr>
              <w:pStyle w:val="ListBullet"/>
            </w:pPr>
            <w:r w:rsidRPr="00D37EDB">
              <w:t>Safety precau</w:t>
            </w:r>
            <w:r w:rsidRPr="00D37EDB">
              <w:t>tions specific to the installation of underground cable - excavation and trench safety regulations, gas detection procedures, working in confined spaces, personal protective equipment, hazards for the use of LPG equipment for jointing of underground cable,</w:t>
            </w:r>
            <w:r w:rsidRPr="00D37EDB">
              <w:t xml:space="preserve"> gas bottle testing procedures, permit to work systems and isolation procedures.</w:t>
            </w:r>
          </w:p>
          <w:p w:rsidR="00000000" w:rsidRPr="00D37EDB" w:rsidP="00D37EDB">
            <w:pPr>
              <w:pStyle w:val="ListBullet"/>
            </w:pPr>
            <w:r w:rsidRPr="00D37EDB">
              <w:t>Trench excavation and reinstatement procedures</w:t>
            </w:r>
          </w:p>
          <w:p w:rsidR="00000000" w:rsidRPr="00D37EDB" w:rsidP="00D37EDB">
            <w:pPr>
              <w:pStyle w:val="ListBullet"/>
            </w:pPr>
            <w:r w:rsidRPr="00D37EDB">
              <w:t>Installation of underground cable procedures - types of tools and equipment, methods of installing conduits, methods of installi</w:t>
            </w:r>
            <w:r w:rsidRPr="00D37EDB">
              <w:t>ng cables and sealing cable ends (direct buried, ducts cleated and racked)</w:t>
            </w:r>
          </w:p>
          <w:p w:rsidR="00000000" w:rsidRPr="00D37EDB" w:rsidP="00D37EDB">
            <w:pPr>
              <w:pStyle w:val="ListBullet"/>
            </w:pPr>
            <w:r w:rsidRPr="00D37EDB">
              <w:t>Procedures for the safe use of LPG equipment for cable jointing</w:t>
            </w:r>
          </w:p>
          <w:p w:rsidR="00000000" w:rsidRPr="00D37EDB" w:rsidP="00D37EDB">
            <w:pPr>
              <w:pStyle w:val="BodyText"/>
            </w:pPr>
            <w:r w:rsidRPr="00D37EDB">
              <w:t>T2</w:t>
            </w:r>
            <w:r w:rsidRPr="00D37EDB">
              <w:tab/>
              <w:t>Location of cable faults in underground power cables encompassing:</w:t>
            </w:r>
          </w:p>
          <w:p w:rsidR="00000000" w:rsidRPr="00D37EDB" w:rsidP="00D37EDB">
            <w:pPr>
              <w:pStyle w:val="ListBullet"/>
            </w:pPr>
            <w:r w:rsidRPr="00D37EDB">
              <w:t>Standards, codes, legislation, supply authority</w:t>
            </w:r>
            <w:r w:rsidRPr="00D37EDB">
              <w:t xml:space="preserve"> regulations and or enterprise requirements</w:t>
            </w:r>
          </w:p>
          <w:p w:rsidR="00000000" w:rsidRPr="00D37EDB" w:rsidP="00D37EDB">
            <w:pPr>
              <w:pStyle w:val="ListBullet"/>
            </w:pPr>
            <w:r w:rsidRPr="00D37EDB">
              <w:t>Types of faults</w:t>
            </w:r>
          </w:p>
          <w:p w:rsidR="00000000" w:rsidRPr="00D37EDB" w:rsidP="00D37EDB">
            <w:pPr>
              <w:pStyle w:val="ListBullet"/>
            </w:pPr>
            <w:r w:rsidRPr="00D37EDB">
              <w:t xml:space="preserve">Methods of locating faults - Murray loop test, Fisher connection of Murray loop, modified Fisher connection, Varley loop test, time domain reflectometer (TDR), differential TDR radar, digital arc </w:t>
            </w:r>
            <w:r w:rsidRPr="00D37EDB">
              <w:t>reflection, differential digital arc reflection, current impulse test, differential current impulse, decay, differential decay, pool of potential in earth (POPIE), radio detection, capacitance inductance test; pending faults (thermography and cable/joint t</w:t>
            </w:r>
            <w:r w:rsidRPr="00D37EDB">
              <w:t>emperature measurement); cable location devices/equipment and methods (signal generator/receiver, phasing methods using ‘megger’, current injection, cable stabbing techniques);cable identification</w:t>
            </w:r>
          </w:p>
          <w:p w:rsidR="00000000" w:rsidRPr="00D37EDB" w:rsidP="00D37EDB">
            <w:pPr>
              <w:pStyle w:val="ListBullet"/>
            </w:pPr>
            <w:r w:rsidRPr="00D37EDB">
              <w:t>Low voltage energised working practices: - regulations, wor</w:t>
            </w:r>
            <w:r w:rsidRPr="00D37EDB">
              <w:t>king methods, insulating glove, bare hand, work procedures, specialist equipment.</w:t>
            </w:r>
          </w:p>
          <w:p w:rsidR="00000000" w:rsidRPr="00D37EDB" w:rsidP="00D37EDB">
            <w:pPr>
              <w:pStyle w:val="ListBullet"/>
            </w:pPr>
            <w:r w:rsidRPr="00D37EDB">
              <w:t>Safety precautions specific to working near conductors - safe working practices and procedures, working in confined spaces, permit to work systems and isolation procedures.</w:t>
            </w:r>
          </w:p>
          <w:p w:rsidR="00000000" w:rsidRPr="00D37EDB" w:rsidP="00D37EDB">
            <w:pPr>
              <w:pStyle w:val="BodyText"/>
            </w:pPr>
            <w:r w:rsidRPr="00D37EDB">
              <w:t>T</w:t>
            </w:r>
            <w:r w:rsidRPr="00D37EDB">
              <w:t>3</w:t>
            </w:r>
            <w:r w:rsidRPr="00D37EDB">
              <w:tab/>
              <w:t>Jointing and termination of LV polymeric cable encompassing:</w:t>
            </w:r>
          </w:p>
          <w:p w:rsidR="00000000" w:rsidRPr="00D37EDB" w:rsidP="00D37EDB">
            <w:pPr>
              <w:pStyle w:val="ListBullet"/>
            </w:pPr>
            <w:r w:rsidRPr="00D37EDB">
              <w:t>Standards, codes, legislation, supply authority regulations and or enterprise requirements pertaining to the jointing of LV polymeric cables</w:t>
            </w:r>
          </w:p>
          <w:p w:rsidR="00000000" w:rsidRPr="00D37EDB" w:rsidP="00D37EDB">
            <w:pPr>
              <w:pStyle w:val="ListBullet"/>
            </w:pPr>
            <w:r w:rsidRPr="00D37EDB">
              <w:t>Types of cables - single core, multi core and XLPE i</w:t>
            </w:r>
            <w:r w:rsidRPr="00D37EDB">
              <w:t>nsulation</w:t>
            </w:r>
          </w:p>
          <w:p w:rsidR="00000000" w:rsidRPr="00D37EDB" w:rsidP="00D37EDB">
            <w:pPr>
              <w:pStyle w:val="ListBullet"/>
            </w:pPr>
            <w:r w:rsidRPr="00D37EDB">
              <w:t>Methods of cable handling - direct laid cables, duct laid cables, solid laid cables, cables supported in cleats or hangers, corrosion protection, minimum bending radius of cables.</w:t>
            </w:r>
          </w:p>
          <w:p w:rsidR="00000000" w:rsidRPr="00D37EDB" w:rsidP="00D37EDB">
            <w:pPr>
              <w:pStyle w:val="ListBullet"/>
            </w:pPr>
            <w:r w:rsidRPr="00D37EDB">
              <w:t>Methods of cable sealing - shorting of cables cores, core of un-terminated cables, methods of protection from corrosion, polymeric sheathed cables sealing with mastic lined, heat shrink caps buried sealed ends.</w:t>
            </w:r>
          </w:p>
          <w:p w:rsidR="00000000" w:rsidRPr="00D37EDB" w:rsidP="00D37EDB">
            <w:pPr>
              <w:pStyle w:val="ListBullet"/>
            </w:pPr>
            <w:r w:rsidRPr="00D37EDB">
              <w:t>Types of jointing tools - general hand tools,</w:t>
            </w:r>
            <w:r w:rsidRPr="00D37EDB">
              <w:t xml:space="preserve"> compression tools</w:t>
            </w:r>
          </w:p>
          <w:p w:rsidR="00000000" w:rsidRPr="00D37EDB" w:rsidP="00D37EDB">
            <w:pPr>
              <w:pStyle w:val="ListBullet"/>
            </w:pPr>
            <w:r w:rsidRPr="00D37EDB">
              <w:t>Techniques in the use of LPG - safety precautions, personal protective equipment, general maintenance and repair.</w:t>
            </w:r>
          </w:p>
          <w:p w:rsidR="00000000" w:rsidRPr="00D37EDB" w:rsidP="00D37EDB">
            <w:pPr>
              <w:pStyle w:val="ListBullet"/>
            </w:pPr>
            <w:r w:rsidRPr="00D37EDB">
              <w:t>Safety precautions when cable jointing - working in confined spaces, permit to work systems and isolation procedures, emerg</w:t>
            </w:r>
            <w:r w:rsidRPr="00D37EDB">
              <w:t>ency rescue/response including First Aid.</w:t>
            </w:r>
          </w:p>
          <w:p w:rsidR="00000000" w:rsidRPr="00D37EDB" w:rsidP="00D37EDB">
            <w:pPr>
              <w:pStyle w:val="BodyText"/>
            </w:pPr>
            <w:r w:rsidRPr="00D37EDB">
              <w:t>T4</w:t>
            </w:r>
            <w:r w:rsidRPr="00D37EDB">
              <w:tab/>
              <w:t>LV polymeric cable jointing principles encompassing:</w:t>
            </w:r>
          </w:p>
          <w:p w:rsidR="00000000" w:rsidRPr="00D37EDB" w:rsidP="00D37EDB">
            <w:pPr>
              <w:pStyle w:val="ListBullet"/>
            </w:pPr>
            <w:r w:rsidRPr="00D37EDB">
              <w:t>Techniques in jointing LV XLPE cables - straight through joint, jointing different types of cable and service and street light cable joints</w:t>
            </w:r>
          </w:p>
          <w:p w:rsidR="00000000" w:rsidRPr="00D37EDB" w:rsidP="00D37EDB">
            <w:pPr>
              <w:pStyle w:val="ListBullet"/>
            </w:pPr>
            <w:r w:rsidRPr="00D37EDB">
              <w:t>Techniques in term</w:t>
            </w:r>
            <w:r w:rsidRPr="00D37EDB">
              <w:t>inating LV XLPE - pole top terminations, substation terminations, distribution pillar /column/cubicle terminations and service and street light cable terminations</w:t>
            </w:r>
          </w:p>
          <w:p w:rsidR="00000000" w:rsidRPr="00D37EDB" w:rsidP="00D37EDB">
            <w:pPr>
              <w:pStyle w:val="ListBullet"/>
            </w:pPr>
            <w:r w:rsidRPr="00D37EDB">
              <w:t>Techniques in repairing LV XLPE cable - different types of damage, repairs to sheath, repairs</w:t>
            </w:r>
            <w:r w:rsidRPr="00D37EDB">
              <w:t xml:space="preserve"> to cores</w:t>
            </w:r>
          </w:p>
          <w:p w:rsidR="00000000" w:rsidRPr="00D37EDB" w:rsidP="00D37EDB">
            <w:pPr>
              <w:pStyle w:val="ListBullet"/>
            </w:pPr>
            <w:r w:rsidRPr="00D37EDB">
              <w:t>Methods of testing cable after jointing</w:t>
            </w:r>
          </w:p>
          <w:p w:rsidR="00000000" w:rsidRPr="00D37EDB" w:rsidP="00D37EDB">
            <w:pPr>
              <w:pStyle w:val="BodyText"/>
            </w:pPr>
            <w:r w:rsidRPr="00D37EDB">
              <w:t>T5</w:t>
            </w:r>
            <w:r w:rsidRPr="00D37EDB">
              <w:tab/>
              <w:t>Standards, codes, legislation, supply authority regulations and or enterprise requirements pertaining to the jointing of HV underground polymeric cables</w:t>
            </w:r>
          </w:p>
          <w:p w:rsidR="00000000" w:rsidRPr="00D37EDB" w:rsidP="00D37EDB">
            <w:pPr>
              <w:pStyle w:val="BodyText"/>
            </w:pPr>
            <w:r w:rsidRPr="00D37EDB">
              <w:t>T6</w:t>
            </w:r>
            <w:r w:rsidRPr="00D37EDB">
              <w:tab/>
              <w:t>HV underground polymeric cables requirements fo</w:t>
            </w:r>
            <w:r w:rsidRPr="00D37EDB">
              <w:t xml:space="preserve">r the use of enterprise construction manuals, system diagrams/plans and drawings, encompassing: </w:t>
            </w:r>
          </w:p>
          <w:p w:rsidR="00000000" w:rsidRPr="00D37EDB" w:rsidP="00D37EDB">
            <w:pPr>
              <w:pStyle w:val="ListBullet"/>
            </w:pPr>
            <w:r w:rsidRPr="00D37EDB">
              <w:t>Characteristics of different types of cables and components</w:t>
            </w:r>
          </w:p>
          <w:p w:rsidR="00000000" w:rsidRPr="00D37EDB" w:rsidP="00D37EDB">
            <w:pPr>
              <w:pStyle w:val="ListBullet"/>
            </w:pPr>
            <w:r w:rsidRPr="00D37EDB">
              <w:t>Purpose of stress control</w:t>
            </w:r>
          </w:p>
          <w:p w:rsidR="00000000" w:rsidRPr="00D37EDB" w:rsidP="00D37EDB">
            <w:pPr>
              <w:pStyle w:val="ListBullet"/>
            </w:pPr>
            <w:r w:rsidRPr="00D37EDB">
              <w:t>Applications of various tools and equipment for HV jointing</w:t>
            </w:r>
          </w:p>
          <w:p w:rsidR="00000000" w:rsidRPr="00D37EDB" w:rsidP="00D37EDB">
            <w:pPr>
              <w:pStyle w:val="BodyText"/>
            </w:pPr>
            <w:r w:rsidRPr="00D37EDB">
              <w:t>T7</w:t>
            </w:r>
            <w:r w:rsidRPr="00D37EDB">
              <w:tab/>
              <w:t xml:space="preserve">Procedure </w:t>
            </w:r>
            <w:r w:rsidRPr="00D37EDB">
              <w:t>for isolating HV underground polymeric cables encompassing:</w:t>
            </w:r>
          </w:p>
          <w:p w:rsidR="00000000" w:rsidRPr="00D37EDB" w:rsidP="00D37EDB">
            <w:pPr>
              <w:pStyle w:val="ListBullet"/>
            </w:pPr>
            <w:r w:rsidRPr="00D37EDB">
              <w:t>Method for proving safe to work</w:t>
            </w:r>
          </w:p>
          <w:p w:rsidR="00000000" w:rsidRPr="00D37EDB" w:rsidP="00D37EDB">
            <w:pPr>
              <w:pStyle w:val="ListBullet"/>
            </w:pPr>
            <w:r w:rsidRPr="00D37EDB">
              <w:t>Earthing procedures</w:t>
            </w:r>
          </w:p>
          <w:p w:rsidR="00000000" w:rsidRPr="00D37EDB" w:rsidP="00D37EDB">
            <w:pPr>
              <w:pStyle w:val="BodyText"/>
            </w:pPr>
            <w:r w:rsidRPr="00D37EDB">
              <w:t>T8</w:t>
            </w:r>
            <w:r w:rsidRPr="00D37EDB">
              <w:tab/>
              <w:t>Techniques in jointing HV underground polymeric cable, encompassing:</w:t>
            </w:r>
          </w:p>
          <w:p w:rsidR="00000000" w:rsidRPr="00D37EDB" w:rsidP="00D37EDB">
            <w:pPr>
              <w:pStyle w:val="ListBullet"/>
            </w:pPr>
            <w:r w:rsidRPr="00D37EDB">
              <w:t>Short circuit cores and seal cable</w:t>
            </w:r>
          </w:p>
          <w:p w:rsidR="00000000" w:rsidRPr="00D37EDB" w:rsidP="00D37EDB">
            <w:pPr>
              <w:pStyle w:val="ListBullet"/>
            </w:pPr>
            <w:r w:rsidRPr="00D37EDB">
              <w:t>Straight through</w:t>
            </w:r>
          </w:p>
          <w:p w:rsidR="00000000" w:rsidRPr="00D37EDB" w:rsidP="00D37EDB">
            <w:pPr>
              <w:pStyle w:val="ListBullet"/>
            </w:pPr>
            <w:r w:rsidRPr="00D37EDB">
              <w:t>Trifurcating</w:t>
            </w:r>
          </w:p>
          <w:p w:rsidR="00000000" w:rsidRPr="00D37EDB" w:rsidP="00D37EDB">
            <w:pPr>
              <w:pStyle w:val="BodyText"/>
            </w:pPr>
            <w:r w:rsidRPr="00D37EDB">
              <w:t>T9</w:t>
            </w:r>
            <w:r w:rsidRPr="00D37EDB">
              <w:tab/>
              <w:t>Tech</w:t>
            </w:r>
            <w:r w:rsidRPr="00D37EDB">
              <w:t>niques in HV underground polymeric cable terminations encompassing:</w:t>
            </w:r>
          </w:p>
          <w:p w:rsidR="00000000" w:rsidRPr="00D37EDB" w:rsidP="00D37EDB">
            <w:pPr>
              <w:pStyle w:val="ListBullet"/>
            </w:pPr>
            <w:r w:rsidRPr="00D37EDB">
              <w:t>Pole top termination</w:t>
            </w:r>
          </w:p>
          <w:p w:rsidR="00000000" w:rsidRPr="00D37EDB" w:rsidP="00D37EDB">
            <w:pPr>
              <w:pStyle w:val="ListBullet"/>
            </w:pPr>
            <w:r w:rsidRPr="00D37EDB">
              <w:t>Substation/switchgear termination</w:t>
            </w:r>
          </w:p>
          <w:p w:rsidR="00000000" w:rsidRPr="00D37EDB" w:rsidP="00D37EDB">
            <w:pPr>
              <w:pStyle w:val="ListBullet"/>
            </w:pPr>
            <w:r w:rsidRPr="00D37EDB">
              <w:t>ABC termination</w:t>
            </w:r>
          </w:p>
          <w:p w:rsidR="00000000" w:rsidRPr="00D37EDB" w:rsidP="00D37EDB">
            <w:pPr>
              <w:pStyle w:val="ListBullet"/>
            </w:pPr>
            <w:r w:rsidRPr="00D37EDB">
              <w:t>Telcon termination</w:t>
            </w:r>
          </w:p>
          <w:p w:rsidR="00000000" w:rsidRPr="00D37EDB" w:rsidP="00D37EDB">
            <w:pPr>
              <w:pStyle w:val="BodyText"/>
            </w:pPr>
            <w:r w:rsidRPr="00D37EDB">
              <w:t>T10</w:t>
            </w:r>
            <w:r w:rsidRPr="00D37EDB">
              <w:tab/>
              <w:t>Procedures for repairing HV underground polymeric cables encompassing:</w:t>
            </w:r>
          </w:p>
          <w:p w:rsidR="00000000" w:rsidRPr="00D37EDB" w:rsidP="00D37EDB">
            <w:pPr>
              <w:pStyle w:val="ListBullet"/>
            </w:pPr>
            <w:r w:rsidRPr="00D37EDB">
              <w:t>Location of faults</w:t>
            </w:r>
          </w:p>
          <w:p w:rsidR="00000000" w:rsidRPr="00D37EDB" w:rsidP="00D37EDB">
            <w:pPr>
              <w:pStyle w:val="ListBullet"/>
            </w:pPr>
            <w:r w:rsidRPr="00D37EDB">
              <w:t>Types of damage</w:t>
            </w:r>
          </w:p>
          <w:p w:rsidR="00000000" w:rsidRPr="00D37EDB" w:rsidP="00D37EDB">
            <w:pPr>
              <w:pStyle w:val="ListBullet"/>
            </w:pPr>
            <w:r w:rsidRPr="00D37EDB">
              <w:t>Techniques to repairs to sheath</w:t>
            </w:r>
          </w:p>
          <w:p w:rsidR="00000000" w:rsidRPr="00D37EDB" w:rsidP="00D37EDB">
            <w:pPr>
              <w:pStyle w:val="ListBullet"/>
            </w:pPr>
            <w:r w:rsidRPr="00D37EDB">
              <w:t>Techniques to repairs to core</w:t>
            </w:r>
          </w:p>
          <w:p w:rsidR="00000000" w:rsidRPr="00D37EDB" w:rsidP="00D37EDB">
            <w:pPr>
              <w:pStyle w:val="BodyText"/>
            </w:pPr>
            <w:r w:rsidRPr="00D37EDB">
              <w:t>T11</w:t>
            </w:r>
            <w:r w:rsidRPr="00D37EDB">
              <w:tab/>
              <w:t>Jointing LV paper lead/lead type cables encompassing:</w:t>
            </w:r>
          </w:p>
          <w:p w:rsidR="00000000" w:rsidRPr="00D37EDB" w:rsidP="00D37EDB">
            <w:pPr>
              <w:pStyle w:val="ListBullet"/>
            </w:pPr>
            <w:r w:rsidRPr="00D37EDB">
              <w:t>Requirements for the use of enterprise manuals, system diagrams/plans and drawings</w:t>
            </w:r>
          </w:p>
          <w:p w:rsidR="00000000" w:rsidRPr="00D37EDB" w:rsidP="00D37EDB">
            <w:pPr>
              <w:pStyle w:val="ListBullet"/>
            </w:pPr>
            <w:r w:rsidRPr="00D37EDB">
              <w:t>Types of tools and equipment</w:t>
            </w:r>
          </w:p>
          <w:p w:rsidR="00000000" w:rsidRPr="00D37EDB" w:rsidP="00D37EDB">
            <w:pPr>
              <w:pStyle w:val="ListBullet"/>
            </w:pPr>
            <w:r w:rsidRPr="00D37EDB">
              <w:t>Types of</w:t>
            </w:r>
            <w:r w:rsidRPr="00D37EDB">
              <w:t xml:space="preserve"> LV cables</w:t>
            </w:r>
          </w:p>
          <w:p w:rsidR="00000000" w:rsidRPr="00D37EDB" w:rsidP="00D37EDB">
            <w:pPr>
              <w:pStyle w:val="ListBullet"/>
            </w:pPr>
            <w:r w:rsidRPr="00D37EDB">
              <w:t>Structure of LV PLY cables</w:t>
            </w:r>
          </w:p>
          <w:p w:rsidR="00000000" w:rsidRPr="00D37EDB" w:rsidP="00D37EDB">
            <w:pPr>
              <w:pStyle w:val="ListBullet"/>
            </w:pPr>
            <w:r w:rsidRPr="00D37EDB">
              <w:t>Techniques for lead wiping</w:t>
            </w:r>
          </w:p>
          <w:p w:rsidR="00000000" w:rsidRPr="00D37EDB" w:rsidP="00D37EDB">
            <w:pPr>
              <w:pStyle w:val="ListBullet"/>
            </w:pPr>
            <w:r w:rsidRPr="00D37EDB">
              <w:t>Technique for preparing and jointing LV lead sheathed paper insulated cables</w:t>
            </w:r>
          </w:p>
          <w:p w:rsidR="00000000" w:rsidRPr="00D37EDB" w:rsidP="00D37EDB">
            <w:pPr>
              <w:pStyle w:val="ListBullet"/>
            </w:pPr>
            <w:r w:rsidRPr="00D37EDB">
              <w:t>Installation methods of LV straight joint</w:t>
            </w:r>
          </w:p>
          <w:p w:rsidR="00000000" w:rsidRPr="00D37EDB" w:rsidP="00D37EDB">
            <w:pPr>
              <w:pStyle w:val="ListBullet"/>
            </w:pPr>
            <w:r w:rsidRPr="00D37EDB">
              <w:t>Inspection and repair procedures to outer sheath of lead sheathed LV cab</w:t>
            </w:r>
            <w:r w:rsidRPr="00D37EDB">
              <w:t>le</w:t>
            </w:r>
          </w:p>
          <w:p w:rsidR="00000000" w:rsidRPr="00D37EDB" w:rsidP="00D37EDB">
            <w:pPr>
              <w:pStyle w:val="ListBullet"/>
            </w:pPr>
            <w:r w:rsidRPr="00D37EDB">
              <w:t>Techniques in terminating LV lead sheathed paper insulated cables</w:t>
            </w:r>
          </w:p>
          <w:p w:rsidR="00000000" w:rsidRPr="00D37EDB" w:rsidP="00D37EDB">
            <w:pPr>
              <w:pStyle w:val="ListBullet"/>
            </w:pPr>
            <w:r w:rsidRPr="00D37EDB">
              <w:t>Methods of testing cable after jointing</w:t>
            </w:r>
          </w:p>
          <w:p w:rsidR="00000000" w:rsidRPr="00D37EDB" w:rsidP="00D37EDB">
            <w:pPr>
              <w:pStyle w:val="BodyText"/>
            </w:pPr>
            <w:r w:rsidRPr="00D37EDB">
              <w:t>T12</w:t>
            </w:r>
            <w:r w:rsidRPr="00D37EDB">
              <w:tab/>
              <w:t>HV paper lead cable jointing principles encompassing:</w:t>
            </w:r>
          </w:p>
          <w:p w:rsidR="00000000" w:rsidRPr="00D37EDB" w:rsidP="00D37EDB">
            <w:pPr>
              <w:pStyle w:val="ListBullet"/>
            </w:pPr>
            <w:r w:rsidRPr="00D37EDB">
              <w:t>Requirements for the use of enterprise manuals, system diagrams/plans and drawings</w:t>
            </w:r>
          </w:p>
          <w:p w:rsidR="00000000" w:rsidRPr="00D37EDB" w:rsidP="00D37EDB">
            <w:pPr>
              <w:pStyle w:val="ListBullet"/>
            </w:pPr>
            <w:r w:rsidRPr="00D37EDB">
              <w:t xml:space="preserve">Types </w:t>
            </w:r>
            <w:r w:rsidRPr="00D37EDB">
              <w:t>of tools, equipment</w:t>
            </w:r>
          </w:p>
          <w:p w:rsidR="00000000" w:rsidRPr="00D37EDB" w:rsidP="00D37EDB">
            <w:pPr>
              <w:pStyle w:val="ListBullet"/>
            </w:pPr>
            <w:r w:rsidRPr="00D37EDB">
              <w:t>Types of HV cables</w:t>
            </w:r>
          </w:p>
          <w:p w:rsidR="00000000" w:rsidRPr="00D37EDB" w:rsidP="00D37EDB">
            <w:pPr>
              <w:pStyle w:val="ListBullet"/>
            </w:pPr>
            <w:r w:rsidRPr="00D37EDB">
              <w:t>Structure of HV cables</w:t>
            </w:r>
          </w:p>
          <w:p w:rsidR="00000000" w:rsidRPr="00D37EDB" w:rsidP="00D37EDB">
            <w:pPr>
              <w:pStyle w:val="ListBullet"/>
            </w:pPr>
            <w:r w:rsidRPr="00D37EDB">
              <w:t>Technique for the installation of transition joint between XLPE and lead sheathed, paper insulated cables</w:t>
            </w:r>
          </w:p>
          <w:p w:rsidR="00000000" w:rsidRPr="00D37EDB" w:rsidP="00D37EDB">
            <w:pPr>
              <w:pStyle w:val="ListBullet"/>
            </w:pPr>
            <w:r w:rsidRPr="00D37EDB">
              <w:t>Technique for the jointing, terminating and repairing of HV paper lead insulated cables</w:t>
            </w:r>
          </w:p>
          <w:p w:rsidR="00000000" w:rsidRPr="00D37EDB" w:rsidP="00D37EDB">
            <w:pPr>
              <w:pStyle w:val="ListBullet"/>
            </w:pPr>
            <w:r w:rsidRPr="00D37EDB">
              <w:t>Methods of testing cable after jointing</w:t>
            </w:r>
          </w:p>
          <w:p w:rsidR="00000000" w:rsidRPr="00D37EDB" w:rsidP="00D37EDB">
            <w:pPr>
              <w:pStyle w:val="BodyText"/>
            </w:pPr>
            <w:r w:rsidRPr="00D37EDB">
              <w:t>T13</w:t>
            </w:r>
            <w:r w:rsidRPr="00D37EDB">
              <w:tab/>
              <w:t>Underground cables construction and types encompassing:</w:t>
            </w:r>
          </w:p>
          <w:p w:rsidR="00000000" w:rsidRPr="00D37EDB" w:rsidP="00D37EDB">
            <w:pPr>
              <w:pStyle w:val="ListBullet"/>
            </w:pPr>
            <w:r w:rsidRPr="00D37EDB">
              <w:t>Safety precautions specific to handling underground cables</w:t>
            </w:r>
          </w:p>
          <w:p w:rsidR="00000000" w:rsidRPr="00D37EDB" w:rsidP="00D37EDB">
            <w:pPr>
              <w:pStyle w:val="ListBullet"/>
            </w:pPr>
            <w:r w:rsidRPr="00D37EDB">
              <w:t>Requirements for the use of enterprise manuals, system diagrams/plans and drawings</w:t>
            </w:r>
          </w:p>
          <w:p w:rsidR="00000000" w:rsidRPr="00D37EDB" w:rsidP="00D37EDB">
            <w:pPr>
              <w:pStyle w:val="ListBullet"/>
            </w:pPr>
            <w:r w:rsidRPr="00D37EDB">
              <w:t>Types and appl</w:t>
            </w:r>
            <w:r w:rsidRPr="00D37EDB">
              <w:t>ications of UC</w:t>
            </w:r>
          </w:p>
          <w:p w:rsidR="00000000" w:rsidRPr="00D37EDB" w:rsidP="00D37EDB">
            <w:pPr>
              <w:pStyle w:val="ListBullet"/>
            </w:pPr>
            <w:r w:rsidRPr="00D37EDB">
              <w:t>Construction types and structures of underground cables</w:t>
            </w:r>
          </w:p>
          <w:p w:rsidR="00000000" w:rsidRPr="00D37EDB" w:rsidP="00D37EDB">
            <w:pPr>
              <w:pStyle w:val="ListBullet"/>
            </w:pPr>
            <w:r w:rsidRPr="00D37EDB">
              <w:t>Characteristics of different types of underground cables</w:t>
            </w:r>
          </w:p>
          <w:p w:rsidR="00000000" w:rsidRPr="00D37EDB" w:rsidP="00D37EDB">
            <w:pPr>
              <w:pStyle w:val="ListBullet"/>
            </w:pPr>
            <w:r w:rsidRPr="00D37EDB">
              <w:t>Ratings</w:t>
            </w:r>
          </w:p>
          <w:p w:rsidR="00000000" w:rsidRPr="00D37EDB" w:rsidP="00D37EDB">
            <w:pPr>
              <w:pStyle w:val="BodyText"/>
            </w:pPr>
            <w:r w:rsidRPr="00D37EDB">
              <w:t>T14</w:t>
            </w:r>
            <w:r w:rsidRPr="00D37EDB">
              <w:tab/>
              <w:t>Aluminium and lead cable sheathed — jointing procedures encompassing:</w:t>
            </w:r>
          </w:p>
          <w:p w:rsidR="00000000" w:rsidRPr="00D37EDB" w:rsidP="00D37EDB">
            <w:pPr>
              <w:pStyle w:val="ListBullet"/>
            </w:pPr>
            <w:r w:rsidRPr="00D37EDB">
              <w:t>Safety precautions specific to handling and jo</w:t>
            </w:r>
            <w:r w:rsidRPr="00D37EDB">
              <w:t>inting underground aluminium and lead cable including provision of OHS information such as material safety data sheets (MSDS)</w:t>
            </w:r>
          </w:p>
          <w:p w:rsidR="00000000" w:rsidRPr="00D37EDB" w:rsidP="00D37EDB">
            <w:pPr>
              <w:pStyle w:val="ListBullet"/>
            </w:pPr>
            <w:r w:rsidRPr="00D37EDB">
              <w:t>Requirements for the use of enterprise manuals, system diagrams/plans and drawings</w:t>
            </w:r>
          </w:p>
          <w:p w:rsidR="00000000" w:rsidRPr="00D37EDB" w:rsidP="00D37EDB">
            <w:pPr>
              <w:pStyle w:val="ListBullet"/>
            </w:pPr>
            <w:r w:rsidRPr="00D37EDB">
              <w:t xml:space="preserve">Construction and structure(s) of aluminium and </w:t>
            </w:r>
            <w:r w:rsidRPr="00D37EDB">
              <w:t>lead cable underground cables</w:t>
            </w:r>
          </w:p>
          <w:p w:rsidR="00000000" w:rsidRPr="00D37EDB" w:rsidP="00D37EDB">
            <w:pPr>
              <w:pStyle w:val="ListBullet"/>
            </w:pPr>
            <w:r w:rsidRPr="00D37EDB">
              <w:t>Characteristics of aluminium and lead cable</w:t>
            </w:r>
          </w:p>
          <w:p w:rsidR="00000000" w:rsidRPr="00D37EDB" w:rsidP="00D37EDB">
            <w:pPr>
              <w:pStyle w:val="ListBullet"/>
            </w:pPr>
            <w:r w:rsidRPr="00D37EDB">
              <w:t>Ratings</w:t>
            </w:r>
          </w:p>
          <w:p w:rsidR="00000000" w:rsidRPr="00D37EDB" w:rsidP="00D37EDB">
            <w:pPr>
              <w:pStyle w:val="ListBullet"/>
            </w:pPr>
            <w:r w:rsidRPr="00D37EDB">
              <w:t>Techniques in the jointing of aluminium and lead sheathed cable</w:t>
            </w:r>
          </w:p>
          <w:p w:rsidR="00000000" w:rsidRPr="00D37EDB" w:rsidP="00D37EDB">
            <w:pPr>
              <w:pStyle w:val="ListBullet"/>
            </w:pPr>
            <w:r w:rsidRPr="00D37EDB">
              <w:t>Methods of testing cable after jointing.</w:t>
            </w:r>
          </w:p>
          <w:p w:rsidR="00000000" w:rsidRPr="00D37EDB" w:rsidP="00D37EDB">
            <w:pPr>
              <w:pStyle w:val="BodyText"/>
            </w:pPr>
            <w:r w:rsidRPr="00D37EDB">
              <w:t>T15</w:t>
            </w:r>
            <w:r w:rsidRPr="00D37EDB">
              <w:tab/>
              <w:t>Low voltage switching principles encompassing:</w:t>
            </w:r>
          </w:p>
          <w:p w:rsidR="00000000" w:rsidRPr="00D37EDB" w:rsidP="00D37EDB">
            <w:pPr>
              <w:pStyle w:val="ListBullet"/>
            </w:pPr>
            <w:r w:rsidRPr="00D37EDB">
              <w:t xml:space="preserve">Standards, codes, </w:t>
            </w:r>
            <w:r w:rsidRPr="00D37EDB">
              <w:t>legislation, supply authority regulations and or enterprise requirements applicable to switching of low voltage to a given schedule</w:t>
            </w:r>
          </w:p>
          <w:p w:rsidR="00000000" w:rsidRPr="00D37EDB" w:rsidP="00D37EDB">
            <w:pPr>
              <w:pStyle w:val="ListBullet"/>
            </w:pPr>
            <w:r w:rsidRPr="00D37EDB">
              <w:t>Requirements for the use of manuals, system diagrams/plans and drawings - types, characteristics and capabilities of electri</w:t>
            </w:r>
            <w:r w:rsidRPr="00D37EDB">
              <w:t>cal apparatus, use, characteristics and capabilities of specialised tools and testing equipment, LV network interconnectors source of possible backfeed</w:t>
            </w:r>
          </w:p>
          <w:p w:rsidR="00000000" w:rsidRPr="00D37EDB" w:rsidP="00D37EDB">
            <w:pPr>
              <w:pStyle w:val="ListBullet"/>
            </w:pPr>
            <w:r w:rsidRPr="00D37EDB">
              <w:t xml:space="preserve">Low voltage switching techniques - identifying hazards, assessing and controlling risks associated with </w:t>
            </w:r>
            <w:r w:rsidRPr="00D37EDB">
              <w:t>LV switching operations, electrical access permit(s), operational procedures, earthing procedures</w:t>
            </w:r>
          </w:p>
          <w:p w:rsidR="00000000" w:rsidRPr="00D37EDB" w:rsidP="00D37EDB">
            <w:pPr>
              <w:pStyle w:val="ListBullet"/>
            </w:pPr>
            <w:r w:rsidRPr="00D37EDB">
              <w:t>Personnel protective equipment (PPE) for LV switching</w:t>
            </w:r>
          </w:p>
        </w:tc>
      </w:tr>
    </w:tbl>
    <w:p w:rsidR="00000000" w:rsidRPr="00D37EDB" w:rsidP="00D37EDB">
      <w:pPr>
        <w:pStyle w:val="BodyText"/>
      </w:pPr>
    </w:p>
    <w:p w:rsidR="00000000" w:rsidRPr="00D37EDB" w:rsidP="00D37EDB">
      <w:pPr>
        <w:pStyle w:val="AllowPageBreak"/>
      </w:pPr>
    </w:p>
    <w:p w:rsidR="00000000" w:rsidRPr="00D37EDB" w:rsidP="00D37EDB">
      <w:pPr>
        <w:pStyle w:val="Heading1"/>
      </w:pPr>
      <w:bookmarkStart w:id="10" w:name="O_462723"/>
      <w:bookmarkEnd w:id="10"/>
      <w:r w:rsidRPr="00D37EDB">
        <w:t>Evidence Guide</w:t>
      </w:r>
    </w:p>
    <w:tbl>
      <w:tblPr>
        <w:tblW w:w="0" w:type="auto"/>
        <w:tblLayout w:type="fixed"/>
        <w:tblCellMar>
          <w:left w:w="62" w:type="dxa"/>
          <w:right w:w="62" w:type="dxa"/>
        </w:tblCellMar>
        <w:tblLook w:val="0000"/>
      </w:tblPr>
      <w:tblGrid>
        <w:gridCol w:w="8460"/>
      </w:tblGrid>
      <w:tr w:rsidTr="00F125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EVIDENCE GUIDE</w:t>
            </w:r>
          </w:p>
        </w:tc>
      </w:tr>
      <w:tr w:rsidTr="00F125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9)</w:t>
            </w:r>
            <w:r w:rsidRPr="00D37EDB">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D37EDB" w:rsidP="00D37EDB">
            <w:pPr>
              <w:pStyle w:val="BodyText"/>
            </w:pPr>
            <w:r w:rsidRPr="00D37EDB">
              <w:t>The Evidence Guide form</w:t>
            </w:r>
            <w:r w:rsidRPr="00D37EDB">
              <w:t>s an integral part of this Competency Standard Unit and shall be used in conjunction with all component parts of this unit and, performed in accordance with the Assessment Guidelines of this Training Package.</w:t>
            </w:r>
          </w:p>
        </w:tc>
      </w:tr>
    </w:tbl>
    <w:p w:rsidR="00000000" w:rsidRPr="00D37EDB" w:rsidP="00D37EDB">
      <w:pPr>
        <w:pStyle w:val="BodyText"/>
      </w:pPr>
    </w:p>
    <w:tbl>
      <w:tblPr>
        <w:tblW w:w="0" w:type="auto"/>
        <w:tblLayout w:type="fixed"/>
        <w:tblCellMar>
          <w:left w:w="62" w:type="dxa"/>
          <w:right w:w="62" w:type="dxa"/>
        </w:tblCellMar>
        <w:tblLook w:val="0000"/>
      </w:tblPr>
      <w:tblGrid>
        <w:gridCol w:w="1890"/>
        <w:gridCol w:w="6570"/>
      </w:tblGrid>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9.1)</w:t>
            </w:r>
          </w:p>
        </w:tc>
      </w:tr>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Longitudinal competency development approaches to assessment, such as Profiling, require data to be reliably gathered in a form that can be consistently interpreted over time. This approach is best utilised in Apprenticeship programs and reduces assessment</w:t>
            </w:r>
            <w:r w:rsidRPr="00D37ED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37EDB">
              <w:t>tency in a realistically simulated work environment. It is recognised that, in some circumstances, assessment in part or full can occur outside the workplace. However, it must be in accord with Industry and, Regulatory policy in this regard.</w:t>
            </w:r>
          </w:p>
          <w:p w:rsidR="00000000" w:rsidRPr="00D37EDB" w:rsidP="00D37EDB">
            <w:pPr>
              <w:pStyle w:val="BodyText"/>
            </w:pPr>
            <w:r w:rsidRPr="00D37EDB">
              <w:t>Methods chosen</w:t>
            </w:r>
            <w:r w:rsidRPr="00D37EDB">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37EDB">
              <w:t>equired and the critical nature of the competencies being assessed.</w:t>
            </w:r>
          </w:p>
          <w:p w:rsidR="00000000" w:rsidRPr="00D37EDB" w:rsidP="00D37EDB">
            <w:pPr>
              <w:pStyle w:val="BodyText"/>
            </w:pPr>
            <w:r w:rsidRPr="00D37EDB">
              <w:t>The critical safety nature of working with electricity, electrical equipment, gas or any other hazardous substance/material carries risk in deeming a person competent. Hence, sources of ev</w:t>
            </w:r>
            <w:r w:rsidRPr="00D37EDB">
              <w:t>idence need to be ‘rich’ in nature so as to minimise error in judgment.</w:t>
            </w:r>
          </w:p>
          <w:p w:rsidR="00000000" w:rsidRPr="00D37EDB" w:rsidP="00D37EDB">
            <w:pPr>
              <w:pStyle w:val="BodyText"/>
            </w:pPr>
            <w:r w:rsidRPr="00D37EDB">
              <w:t>Activities associated with normal every day work have a bearing on the decision as to how much and how detailed the data gathered will contribute to its ‘richness’. Some skills are mor</w:t>
            </w:r>
            <w:r w:rsidRPr="00D37EDB">
              <w:t>e critical to safety and operational requirements while the same skills may be more or less frequently practiced. These points are raised for the assessors to consider when choosing an assessment method and developing assessment instruments. Sample assessm</w:t>
            </w:r>
            <w:r w:rsidRPr="00D37EDB">
              <w:t>ent instruments are included for Assessors in the Assessment Guidelines of this Training Package.</w:t>
            </w:r>
          </w:p>
        </w:tc>
      </w:tr>
    </w:tbl>
    <w:p w:rsidR="00000000" w:rsidRPr="00D37EDB" w:rsidP="00D37ED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9.2)</w:t>
            </w:r>
          </w:p>
        </w:tc>
      </w:tr>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Before the critical aspects of evidence are considered all prerequisi</w:t>
            </w:r>
            <w:r w:rsidRPr="00D37EDB">
              <w:t>tes shall be met.</w:t>
            </w:r>
          </w:p>
          <w:p w:rsidR="00000000" w:rsidRPr="00D37EDB" w:rsidP="00D37EDB">
            <w:pPr>
              <w:pStyle w:val="BodyText"/>
            </w:pPr>
            <w:r w:rsidRPr="00D37EDB">
              <w:t xml:space="preserve">Evidence for competence in this unit shall be considered holistically. Each element and associated Performance Criteria shall be demonstrated on at least two occasions in accordance with the “Assessment Guidelines – UET12”. Evidence </w:t>
            </w:r>
            <w:r w:rsidRPr="00D37EDB">
              <w:t>shall also comprise:</w:t>
            </w:r>
          </w:p>
          <w:p w:rsidR="00000000" w:rsidRPr="00D37EDB" w:rsidP="00D37EDB">
            <w:pPr>
              <w:pStyle w:val="ListBullet"/>
            </w:pPr>
            <w:r w:rsidRPr="00D37EDB">
              <w:t>A representative body of Performance Criteria demonstrated within the timeframes typically expected of the discipline, work function and industrial environment. In particular this shall incorporate evidence that shows a candidate is ab</w:t>
            </w:r>
            <w:r w:rsidRPr="00D37EDB">
              <w:t>le to:</w:t>
            </w:r>
          </w:p>
          <w:p w:rsidR="00000000" w:rsidRPr="00D37EDB" w:rsidP="00D37EDB">
            <w:pPr>
              <w:pStyle w:val="ListBullet2"/>
            </w:pPr>
            <w:r w:rsidRPr="00D37EDB">
              <w:t>Implement Occupational Health and Safety workplace procedures and practices Implement Occupational Health and Safety workplace procedures and practices including the use of risk control measures as specified in the Performance Criteria and range; a</w:t>
            </w:r>
            <w:r w:rsidRPr="00D37EDB">
              <w:t>nd</w:t>
            </w:r>
          </w:p>
          <w:p w:rsidR="00000000" w:rsidRPr="00D37EDB" w:rsidP="00D37EDB">
            <w:pPr>
              <w:pStyle w:val="ListBullet2"/>
            </w:pPr>
            <w:r w:rsidRPr="00D37EDB">
              <w:t>Apply sustainable energy principles and practices as specified in the Performance Criteria and range; and</w:t>
            </w:r>
          </w:p>
          <w:p w:rsidR="00000000" w:rsidRPr="00D37EDB" w:rsidP="00D37EDB">
            <w:pPr>
              <w:pStyle w:val="ListBullet2"/>
            </w:pPr>
            <w:r w:rsidRPr="00D37EDB">
              <w:t>Demonstrate an understanding of the essential knowledge and associated skills as described in this unit to such an extent that the learner’s perfor</w:t>
            </w:r>
            <w:r w:rsidRPr="00D37EDB">
              <w:t>mance outcome is reported in accordance with the preferred approach; namely a percentile graded result, where required by the regulated environment; and</w:t>
            </w:r>
          </w:p>
          <w:p w:rsidR="00000000" w:rsidRPr="00D37EDB" w:rsidP="00D37EDB">
            <w:pPr>
              <w:pStyle w:val="ListBullet2"/>
            </w:pPr>
            <w:r w:rsidRPr="00D37EDB">
              <w:t>Demonstrate an appropriate level of employability skills; and</w:t>
            </w:r>
          </w:p>
          <w:p w:rsidR="00000000" w:rsidRPr="00D37EDB" w:rsidP="00D37EDB">
            <w:pPr>
              <w:pStyle w:val="ListBullet"/>
            </w:pPr>
            <w:r w:rsidRPr="00D37EDB">
              <w:t xml:space="preserve">Conduct work observing the relevant Anti </w:t>
            </w:r>
            <w:r w:rsidRPr="00D37EDB">
              <w:t>Discrimination legislation, regulations, policies and workplace procedures; and</w:t>
            </w:r>
          </w:p>
          <w:p w:rsidR="00000000" w:rsidP="00D37EDB">
            <w:pPr>
              <w:pStyle w:val="ListBullet2"/>
              <w:rPr>
                <w:lang w:val="en-NZ"/>
              </w:rPr>
            </w:pPr>
            <w:r w:rsidRPr="00D37EDB">
              <w:t>Demonstrated performance across a representative range of contexts from the prescribed items below:</w:t>
            </w:r>
          </w:p>
        </w:tc>
      </w:tr>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37ED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DB">
            <w:pPr>
              <w:pStyle w:val="BodyText"/>
              <w:rPr>
                <w:lang w:val="en-NZ"/>
              </w:rPr>
            </w:pPr>
            <w:r w:rsidRPr="00D37EDB">
              <w:rPr>
                <w:rStyle w:val="SpecialBold"/>
              </w:rPr>
              <w:t>Range of tools/equipment/materials/procedures/workplaces/other variables</w:t>
            </w:r>
          </w:p>
        </w:tc>
      </w:tr>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37ED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DB" w:rsidP="00D37EDB">
            <w:pPr>
              <w:pStyle w:val="BodyText"/>
            </w:pPr>
            <w:r w:rsidRPr="00D37ED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DB" w:rsidP="00D37EDB">
            <w:pPr>
              <w:pStyle w:val="BodyText"/>
            </w:pPr>
            <w:r w:rsidRPr="00D37ED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DB">
            <w:pPr>
              <w:pStyle w:val="BodyText"/>
              <w:rPr>
                <w:lang w:val="en-NZ"/>
              </w:rPr>
            </w:pPr>
            <w:r w:rsidRPr="00D37EDB">
              <w:rPr>
                <w:rStyle w:val="SpecialBold"/>
              </w:rPr>
              <w:t>Item List</w:t>
            </w:r>
          </w:p>
        </w:tc>
      </w:tr>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DB">
            <w:pPr>
              <w:pStyle w:val="BodyText"/>
              <w:rPr>
                <w:lang w:val="en-NZ"/>
              </w:rPr>
            </w:pPr>
            <w:r w:rsidRPr="00D37ED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DB">
            <w:pPr>
              <w:pStyle w:val="BodyText"/>
              <w:rPr>
                <w:lang w:val="en-NZ"/>
              </w:rPr>
            </w:pPr>
            <w:r w:rsidRPr="00D37EDB">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DB">
            <w:pPr>
              <w:pStyle w:val="BodyText"/>
              <w:rPr>
                <w:lang w:val="en-NZ"/>
              </w:rPr>
            </w:pPr>
            <w:r w:rsidRPr="00D37EDB">
              <w:t>Tests to be conducted on HV distribution cable Tests to be conducted on HV transmission cable</w:t>
            </w:r>
          </w:p>
        </w:tc>
      </w:tr>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DB">
            <w:pPr>
              <w:pStyle w:val="BodyText"/>
              <w:rPr>
                <w:lang w:val="en-NZ"/>
              </w:rPr>
            </w:pPr>
            <w:r w:rsidRPr="00D37ED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DB">
            <w:pPr>
              <w:pStyle w:val="BodyText"/>
              <w:rPr>
                <w:lang w:val="en-NZ"/>
              </w:rPr>
            </w:pPr>
            <w:r w:rsidRPr="00D37EDB">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DB" w:rsidP="00D37EDB">
            <w:pPr>
              <w:pStyle w:val="BodyText"/>
            </w:pPr>
            <w:r w:rsidRPr="00D37EDB">
              <w:t>HV polymeric</w:t>
            </w:r>
          </w:p>
          <w:p w:rsidR="00000000" w:rsidRPr="00D37EDB" w:rsidP="00D37EDB">
            <w:pPr>
              <w:pStyle w:val="BodyText"/>
            </w:pPr>
            <w:r w:rsidRPr="00D37EDB">
              <w:t>HV paper Insulated</w:t>
            </w:r>
          </w:p>
          <w:p w:rsidR="00000000" w:rsidRPr="00D37EDB" w:rsidP="00D37EDB">
            <w:pPr>
              <w:pStyle w:val="BodyText"/>
            </w:pPr>
            <w:r w:rsidRPr="00D37EDB">
              <w:t>Oil Filled</w:t>
            </w:r>
          </w:p>
          <w:p w:rsidR="00000000" w:rsidP="00D37EDB">
            <w:pPr>
              <w:pStyle w:val="BodyText"/>
              <w:rPr>
                <w:lang w:val="en-NZ"/>
              </w:rPr>
            </w:pPr>
            <w:r w:rsidRPr="00D37EDB">
              <w:t>Gas Filled</w:t>
            </w:r>
          </w:p>
        </w:tc>
      </w:tr>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DB">
            <w:pPr>
              <w:pStyle w:val="BodyText"/>
              <w:rPr>
                <w:lang w:val="en-NZ"/>
              </w:rPr>
            </w:pPr>
            <w:r w:rsidRPr="00D37ED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DB">
            <w:pPr>
              <w:pStyle w:val="BodyText"/>
              <w:rPr>
                <w:lang w:val="en-NZ"/>
              </w:rPr>
            </w:pPr>
            <w:r w:rsidRPr="00D37EDB">
              <w:t>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DB" w:rsidP="00D37EDB">
            <w:pPr>
              <w:pStyle w:val="BodyText"/>
            </w:pPr>
            <w:r w:rsidRPr="00D37EDB">
              <w:t>Phasing instruments*</w:t>
            </w:r>
          </w:p>
          <w:p w:rsidR="00000000" w:rsidRPr="00D37EDB" w:rsidP="00D37EDB">
            <w:pPr>
              <w:pStyle w:val="BodyText"/>
            </w:pPr>
            <w:r w:rsidRPr="00D37EDB">
              <w:t>DC high potential tester*</w:t>
            </w:r>
          </w:p>
          <w:p w:rsidR="00000000" w:rsidRPr="00D37EDB" w:rsidP="00D37EDB">
            <w:pPr>
              <w:pStyle w:val="BodyText"/>
            </w:pPr>
            <w:r w:rsidRPr="00D37EDB">
              <w:t>Voltage detectors</w:t>
            </w:r>
          </w:p>
          <w:p w:rsidR="00000000" w:rsidRPr="00D37EDB" w:rsidP="00D37EDB">
            <w:pPr>
              <w:pStyle w:val="BodyText"/>
            </w:pPr>
            <w:r w:rsidRPr="00D37EDB">
              <w:t>Insulation testers*</w:t>
            </w:r>
          </w:p>
          <w:p w:rsidR="00000000" w:rsidRPr="00D37EDB" w:rsidP="00D37EDB">
            <w:pPr>
              <w:pStyle w:val="BodyText"/>
            </w:pPr>
            <w:r w:rsidRPr="00D37EDB">
              <w:t>Continuity testers</w:t>
            </w:r>
          </w:p>
          <w:p w:rsidR="00000000" w:rsidRPr="00D37EDB" w:rsidP="00D37EDB">
            <w:pPr>
              <w:pStyle w:val="BodyText"/>
            </w:pPr>
            <w:r w:rsidRPr="00D37EDB">
              <w:t>Cable identification instrument</w:t>
            </w:r>
          </w:p>
          <w:p w:rsidR="00000000" w:rsidP="00D37EDB">
            <w:pPr>
              <w:pStyle w:val="BodyText"/>
              <w:rPr>
                <w:lang w:val="en-NZ"/>
              </w:rPr>
            </w:pPr>
            <w:r w:rsidRPr="00D37EDB">
              <w:t>(*must do)</w:t>
            </w:r>
          </w:p>
        </w:tc>
      </w:tr>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DB">
            <w:pPr>
              <w:pStyle w:val="BodyText"/>
              <w:rPr>
                <w:lang w:val="en-NZ"/>
              </w:rPr>
            </w:pPr>
            <w:r w:rsidRPr="00D37EDB">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DB">
            <w:pPr>
              <w:pStyle w:val="BodyText"/>
              <w:rPr>
                <w:lang w:val="en-NZ"/>
              </w:rPr>
            </w:pPr>
            <w:r w:rsidRPr="00D37ED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DB" w:rsidP="00D37EDB">
            <w:pPr>
              <w:pStyle w:val="BodyText"/>
            </w:pPr>
            <w:r w:rsidRPr="00D37EDB">
              <w:t>Dealing with an unplanned event by drawing on essential knowledge and associated skills to provide appr</w:t>
            </w:r>
            <w:r w:rsidRPr="00D37EDB">
              <w:t>opriate solutions incorporated in the holistic assessment with the above listed items.</w:t>
            </w:r>
          </w:p>
        </w:tc>
      </w:tr>
    </w:tbl>
    <w:p w:rsidR="00000000" w:rsidRPr="00D37EDB" w:rsidP="00D37EDB">
      <w:pPr>
        <w:pStyle w:val="BodyText"/>
      </w:pPr>
    </w:p>
    <w:tbl>
      <w:tblPr>
        <w:tblW w:w="0" w:type="auto"/>
        <w:tblLayout w:type="fixed"/>
        <w:tblCellMar>
          <w:left w:w="62" w:type="dxa"/>
          <w:right w:w="62" w:type="dxa"/>
        </w:tblCellMar>
        <w:tblLook w:val="0000"/>
      </w:tblPr>
      <w:tblGrid>
        <w:gridCol w:w="1890"/>
        <w:gridCol w:w="6570"/>
      </w:tblGrid>
      <w:tr w:rsidTr="00F1257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9.3)</w:t>
            </w:r>
          </w:p>
        </w:tc>
      </w:tr>
      <w:tr w:rsidTr="00F1257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This unit should be assessed as it relates to normal work practice using procedures, inf</w:t>
            </w:r>
            <w:r w:rsidRPr="00D37EDB">
              <w:t>ormation and resources typical of a workplace. This should include:</w:t>
            </w:r>
          </w:p>
          <w:p w:rsidR="00000000" w:rsidRPr="00D37EDB" w:rsidP="00D37EDB">
            <w:pPr>
              <w:pStyle w:val="ListBullet"/>
            </w:pPr>
            <w:r w:rsidRPr="00D37EDB">
              <w:t>OHS policy and work procedures and instructions.</w:t>
            </w:r>
          </w:p>
          <w:p w:rsidR="00000000" w:rsidRPr="00D37EDB" w:rsidP="00D37EDB">
            <w:pPr>
              <w:pStyle w:val="ListBullet"/>
            </w:pPr>
            <w:r w:rsidRPr="00D37EDB">
              <w:t>Suitable work environment, facilities, equipment and materials to undertake actual conducting of high potential testing of underground cabl</w:t>
            </w:r>
            <w:r w:rsidRPr="00D37EDB">
              <w:t xml:space="preserve">es. </w:t>
            </w:r>
          </w:p>
          <w:p w:rsidR="00000000" w:rsidRPr="00D37EDB" w:rsidP="00D37EDB">
            <w:pPr>
              <w:pStyle w:val="BodyText"/>
            </w:pPr>
            <w:r w:rsidRPr="00D37EDB">
              <w:t>In addition to the resources listed above, in Context of and specific resources for assessment, evidence should show demonstrated competency working below ground, in limited spaces, with different structural/construction types and method and in a vari</w:t>
            </w:r>
            <w:r w:rsidRPr="00D37EDB">
              <w:t>ety of environments.</w:t>
            </w:r>
          </w:p>
        </w:tc>
      </w:tr>
    </w:tbl>
    <w:p w:rsidR="00000000" w:rsidRPr="00D37EDB" w:rsidP="00D37EDB">
      <w:pPr>
        <w:pStyle w:val="BodyText"/>
      </w:pPr>
    </w:p>
    <w:tbl>
      <w:tblPr>
        <w:tblW w:w="0" w:type="auto"/>
        <w:tblLayout w:type="fixed"/>
        <w:tblCellMar>
          <w:left w:w="62" w:type="dxa"/>
          <w:right w:w="62" w:type="dxa"/>
        </w:tblCellMar>
        <w:tblLook w:val="0000"/>
      </w:tblPr>
      <w:tblGrid>
        <w:gridCol w:w="1890"/>
        <w:gridCol w:w="6570"/>
      </w:tblGrid>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9.4)</w:t>
            </w:r>
          </w:p>
        </w:tc>
      </w:tr>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This Competency Standard Unit shall be assessed by methods given in Volume 1, Part 3 “Assessment Guidelines”.</w:t>
            </w:r>
          </w:p>
          <w:p w:rsidR="00000000" w:rsidRPr="00D37EDB" w:rsidP="00D37EDB">
            <w:pPr>
              <w:pStyle w:val="BodyText"/>
            </w:pPr>
            <w:r w:rsidRPr="00D37EDB">
              <w:t>Note:</w:t>
            </w:r>
          </w:p>
          <w:p w:rsidR="00000000" w:rsidRPr="00D37EDB" w:rsidP="00D37EDB">
            <w:pPr>
              <w:pStyle w:val="BodyText"/>
            </w:pPr>
            <w:r w:rsidRPr="00D37EDB">
              <w:t>Competent performance with inherent safe working practices is expected in the Industry to which this Competency Standard Unit applies. This requires that the specified essential knowledge and associated skills are assessed in a structured environment which</w:t>
            </w:r>
            <w:r w:rsidRPr="00D37EDB">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D37EDB" w:rsidP="00D37EDB">
      <w:pPr>
        <w:pStyle w:val="BodyText"/>
      </w:pPr>
    </w:p>
    <w:tbl>
      <w:tblPr>
        <w:tblW w:w="0" w:type="auto"/>
        <w:tblLayout w:type="fixed"/>
        <w:tblCellMar>
          <w:left w:w="62" w:type="dxa"/>
          <w:right w:w="62" w:type="dxa"/>
        </w:tblCellMar>
        <w:tblLook w:val="0000"/>
      </w:tblPr>
      <w:tblGrid>
        <w:gridCol w:w="1890"/>
        <w:gridCol w:w="6570"/>
      </w:tblGrid>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Concurrent assessment and relationship w</w:t>
            </w:r>
            <w:r w:rsidRPr="00D37EDB">
              <w:rPr>
                <w:rStyle w:val="SpecialBold"/>
              </w:rPr>
              <w:t>ith other units</w:t>
            </w:r>
          </w:p>
        </w:tc>
        <w:tc>
          <w:tcPr>
            <w:tcW w:w="657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9.5)</w:t>
            </w:r>
          </w:p>
        </w:tc>
      </w:tr>
      <w:tr w:rsidTr="00F125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 xml:space="preserve">For optimisation of training and assessment effort, competence in this unit may be assessed concurrently with the following units: </w:t>
            </w:r>
          </w:p>
          <w:p w:rsidR="00000000" w:rsidRPr="00D37EDB" w:rsidP="00D37EDB">
            <w:pPr>
              <w:pStyle w:val="BodyText"/>
            </w:pPr>
            <w:r w:rsidRPr="00D37EDB">
              <w:t>UETTDRIS18B</w:t>
            </w:r>
            <w:r w:rsidRPr="00D37EDB">
              <w:tab/>
              <w:t>Locate faults in underground power cables</w:t>
            </w:r>
          </w:p>
        </w:tc>
      </w:tr>
    </w:tbl>
    <w:p w:rsidR="00000000" w:rsidRPr="00D37EDB" w:rsidP="00D37EDB">
      <w:pPr>
        <w:pStyle w:val="BodyText"/>
      </w:pPr>
    </w:p>
    <w:p w:rsidR="00000000" w:rsidRPr="00D37EDB" w:rsidP="00D37EDB">
      <w:pPr>
        <w:pStyle w:val="AllowPageBreak"/>
      </w:pPr>
    </w:p>
    <w:p w:rsidR="00000000" w:rsidRPr="00D37EDB" w:rsidP="00D37EDB">
      <w:pPr>
        <w:pStyle w:val="Heading1"/>
      </w:pPr>
      <w:bookmarkStart w:id="11" w:name="O_462727"/>
      <w:bookmarkEnd w:id="11"/>
      <w:r w:rsidRPr="00D37EDB">
        <w:t>Range Statement</w:t>
      </w:r>
    </w:p>
    <w:tbl>
      <w:tblPr>
        <w:tblW w:w="0" w:type="auto"/>
        <w:tblLayout w:type="fixed"/>
        <w:tblCellMar>
          <w:left w:w="62" w:type="dxa"/>
          <w:right w:w="62" w:type="dxa"/>
        </w:tblCellMar>
        <w:tblLook w:val="0000"/>
      </w:tblPr>
      <w:tblGrid>
        <w:gridCol w:w="8460"/>
      </w:tblGrid>
      <w:tr w:rsidTr="00F125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RANGE STATEM</w:t>
            </w:r>
            <w:r w:rsidRPr="00D37EDB">
              <w:rPr>
                <w:rStyle w:val="SpecialBold"/>
              </w:rPr>
              <w:t>ENT</w:t>
            </w:r>
          </w:p>
        </w:tc>
      </w:tr>
      <w:tr w:rsidTr="00F125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10)</w:t>
            </w:r>
            <w:r w:rsidRPr="00D37EDB">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D37EDB" w:rsidP="00D37EDB">
            <w:pPr>
              <w:pStyle w:val="BodyText"/>
            </w:pPr>
            <w:r w:rsidRPr="00D37EDB">
              <w:t>This Competency Sta</w:t>
            </w:r>
            <w:r w:rsidRPr="00D37EDB">
              <w:t>ndard Unit shall be demonstrated in relation to conducting high potential testing of underground power cables and may including the following:</w:t>
            </w:r>
          </w:p>
          <w:p w:rsidR="00000000" w:rsidRPr="00D37EDB" w:rsidP="00D37EDB">
            <w:pPr>
              <w:pStyle w:val="BodyText"/>
            </w:pPr>
            <w:r w:rsidRPr="00D37EDB">
              <w:t>Cable type includes: distribution and transmission polymeric, solid paper insulated, oil filled and gas filled un</w:t>
            </w:r>
            <w:r w:rsidRPr="00D37EDB">
              <w:t>derground cables.</w:t>
            </w:r>
          </w:p>
          <w:p w:rsidR="00000000" w:rsidRPr="00D37EDB" w:rsidP="00D37EDB">
            <w:pPr>
              <w:pStyle w:val="BodyText"/>
            </w:pPr>
            <w:r w:rsidRPr="00D37EDB">
              <w:t xml:space="preserve">Test and recording equipment may include voltage detectors, cable identification equipment, insulation resistance, DC High Potential testers, phasing instruments. </w:t>
            </w:r>
          </w:p>
          <w:p w:rsidR="00000000" w:rsidRPr="00D37EDB" w:rsidP="00D37EDB">
            <w:pPr>
              <w:pStyle w:val="BodyText"/>
            </w:pPr>
            <w:r w:rsidRPr="00D37EDB">
              <w:t xml:space="preserve">The following constants and variables included in the element/Performance </w:t>
            </w:r>
            <w:r w:rsidRPr="00D37EDB">
              <w:t>Criteria in this unit are fully described in the Definitions Section 1 of this volume and form an integral part of the Range Statement of this unit:</w:t>
            </w:r>
          </w:p>
          <w:p w:rsidR="00000000" w:rsidRPr="00D37EDB" w:rsidP="00D37EDB">
            <w:pPr>
              <w:pStyle w:val="ListBullet3"/>
            </w:pPr>
            <w:r w:rsidRPr="00D37EDB">
              <w:t>Appropriate and relevant persons (see Personnel)</w:t>
            </w:r>
          </w:p>
          <w:p w:rsidR="00000000" w:rsidRPr="00D37EDB" w:rsidP="00D37EDB">
            <w:pPr>
              <w:pStyle w:val="ListBullet3"/>
            </w:pPr>
            <w:r w:rsidRPr="00D37EDB">
              <w:t>Appropriate authorities</w:t>
            </w:r>
          </w:p>
          <w:p w:rsidR="00000000" w:rsidRPr="00D37EDB" w:rsidP="00D37EDB">
            <w:pPr>
              <w:pStyle w:val="ListBullet3"/>
            </w:pPr>
            <w:r w:rsidRPr="00D37EDB">
              <w:t>Appropriate work platform</w:t>
            </w:r>
          </w:p>
          <w:p w:rsidR="00000000" w:rsidRPr="00D37EDB" w:rsidP="00D37EDB">
            <w:pPr>
              <w:pStyle w:val="ListBullet3"/>
            </w:pPr>
            <w:r w:rsidRPr="00D37EDB">
              <w:t>Assessi</w:t>
            </w:r>
            <w:r w:rsidRPr="00D37EDB">
              <w:t>ng risk</w:t>
            </w:r>
          </w:p>
          <w:p w:rsidR="00000000" w:rsidRPr="00D37EDB" w:rsidP="00D37EDB">
            <w:pPr>
              <w:pStyle w:val="ListBullet3"/>
            </w:pPr>
            <w:r w:rsidRPr="00D37EDB">
              <w:t>Assessment</w:t>
            </w:r>
          </w:p>
          <w:p w:rsidR="00000000" w:rsidRPr="00D37EDB" w:rsidP="00D37EDB">
            <w:pPr>
              <w:pStyle w:val="ListBullet3"/>
            </w:pPr>
            <w:r w:rsidRPr="00D37EDB">
              <w:t>Authorisation</w:t>
            </w:r>
          </w:p>
          <w:p w:rsidR="00000000" w:rsidRPr="00D37EDB" w:rsidP="00D37EDB">
            <w:pPr>
              <w:pStyle w:val="ListBullet3"/>
            </w:pPr>
            <w:r w:rsidRPr="00D37EDB">
              <w:t>Confined space</w:t>
            </w:r>
          </w:p>
          <w:p w:rsidR="00000000" w:rsidRPr="00D37EDB" w:rsidP="00D37EDB">
            <w:pPr>
              <w:pStyle w:val="ListBullet3"/>
            </w:pPr>
            <w:r w:rsidRPr="00D37EDB">
              <w:t>Diagnostic, testing and restoration</w:t>
            </w:r>
          </w:p>
          <w:p w:rsidR="00000000" w:rsidRPr="00D37EDB" w:rsidP="00D37EDB">
            <w:pPr>
              <w:pStyle w:val="ListBullet3"/>
            </w:pPr>
            <w:r w:rsidRPr="00D37EDB">
              <w:t>Documenting detail work events, record keeping and or storage of information</w:t>
            </w:r>
          </w:p>
          <w:p w:rsidR="00000000" w:rsidRPr="00D37EDB" w:rsidP="00D37EDB">
            <w:pPr>
              <w:pStyle w:val="ListBullet3"/>
            </w:pPr>
            <w:r w:rsidRPr="00D37EDB">
              <w:t>Drawings and specifications</w:t>
            </w:r>
          </w:p>
          <w:p w:rsidR="00000000" w:rsidRPr="00D37EDB" w:rsidP="00D37EDB">
            <w:pPr>
              <w:pStyle w:val="ListBullet3"/>
            </w:pPr>
            <w:r w:rsidRPr="00D37EDB">
              <w:t>Emergency</w:t>
            </w:r>
          </w:p>
          <w:p w:rsidR="00000000" w:rsidRPr="00D37EDB" w:rsidP="00D37EDB">
            <w:pPr>
              <w:pStyle w:val="ListBullet3"/>
            </w:pPr>
            <w:r w:rsidRPr="00D37EDB">
              <w:t>Environmental and sustainable energy procedures</w:t>
            </w:r>
          </w:p>
          <w:p w:rsidR="00000000" w:rsidRPr="00D37EDB" w:rsidP="00D37EDB">
            <w:pPr>
              <w:pStyle w:val="ListBullet3"/>
            </w:pPr>
            <w:r w:rsidRPr="00D37EDB">
              <w:t>Environmental legislation.</w:t>
            </w:r>
          </w:p>
          <w:p w:rsidR="00000000" w:rsidRPr="00D37EDB" w:rsidP="00D37EDB">
            <w:pPr>
              <w:pStyle w:val="ListBullet3"/>
            </w:pPr>
            <w:r w:rsidRPr="00D37EDB">
              <w:t>Environmental management documentation</w:t>
            </w:r>
          </w:p>
          <w:p w:rsidR="00000000" w:rsidRPr="00D37EDB" w:rsidP="00D37EDB">
            <w:pPr>
              <w:pStyle w:val="ListBullet3"/>
            </w:pPr>
            <w:r w:rsidRPr="00D37EDB">
              <w:t>Established procedures</w:t>
            </w:r>
          </w:p>
          <w:p w:rsidR="00000000" w:rsidRPr="00D37EDB" w:rsidP="00D37EDB">
            <w:pPr>
              <w:pStyle w:val="ListBullet3"/>
            </w:pPr>
            <w:r w:rsidRPr="00D37EDB">
              <w:t>Fall prevention</w:t>
            </w:r>
          </w:p>
          <w:p w:rsidR="00000000" w:rsidRPr="00D37EDB" w:rsidP="00D37EDB">
            <w:pPr>
              <w:pStyle w:val="ListBullet3"/>
            </w:pPr>
            <w:r w:rsidRPr="00D37EDB">
              <w:t>Hazards</w:t>
            </w:r>
          </w:p>
          <w:p w:rsidR="00000000" w:rsidRPr="00D37EDB" w:rsidP="00D37EDB">
            <w:pPr>
              <w:pStyle w:val="ListBullet3"/>
            </w:pPr>
            <w:r w:rsidRPr="00D37EDB">
              <w:t>Identifying hazards</w:t>
            </w:r>
          </w:p>
          <w:p w:rsidR="00000000" w:rsidRPr="00D37EDB" w:rsidP="00D37EDB">
            <w:pPr>
              <w:pStyle w:val="ListBullet3"/>
            </w:pPr>
            <w:r w:rsidRPr="00D37EDB">
              <w:t>Inspect</w:t>
            </w:r>
          </w:p>
          <w:p w:rsidR="00000000" w:rsidRPr="00D37EDB" w:rsidP="00D37EDB">
            <w:pPr>
              <w:pStyle w:val="ListBullet3"/>
            </w:pPr>
            <w:r w:rsidRPr="00D37EDB">
              <w:t>Legislation</w:t>
            </w:r>
          </w:p>
          <w:p w:rsidR="00000000" w:rsidRPr="00D37EDB" w:rsidP="00D37EDB">
            <w:pPr>
              <w:pStyle w:val="ListBullet3"/>
            </w:pPr>
            <w:r w:rsidRPr="00D37EDB">
              <w:t>MSDS</w:t>
            </w:r>
          </w:p>
          <w:p w:rsidR="00000000" w:rsidRPr="00D37EDB" w:rsidP="00D37EDB">
            <w:pPr>
              <w:pStyle w:val="ListBullet3"/>
            </w:pPr>
            <w:r w:rsidRPr="00D37EDB">
              <w:t>Notification.</w:t>
            </w:r>
          </w:p>
          <w:p w:rsidR="00000000" w:rsidRPr="00D37EDB" w:rsidP="00D37EDB">
            <w:pPr>
              <w:pStyle w:val="ListBullet3"/>
            </w:pPr>
            <w:r w:rsidRPr="00D37EDB">
              <w:t>OHS practices</w:t>
            </w:r>
          </w:p>
          <w:p w:rsidR="00000000" w:rsidRPr="00D37EDB" w:rsidP="00D37EDB">
            <w:pPr>
              <w:pStyle w:val="ListBullet3"/>
            </w:pPr>
            <w:r w:rsidRPr="00D37EDB">
              <w:t>OHS issues</w:t>
            </w:r>
          </w:p>
          <w:p w:rsidR="00000000" w:rsidRPr="00D37EDB" w:rsidP="00D37EDB">
            <w:pPr>
              <w:pStyle w:val="ListBullet3"/>
            </w:pPr>
            <w:r w:rsidRPr="00D37EDB">
              <w:t>Permits and/or permits to work</w:t>
            </w:r>
          </w:p>
          <w:p w:rsidR="00000000" w:rsidRPr="00D37EDB" w:rsidP="00D37EDB">
            <w:pPr>
              <w:pStyle w:val="ListBullet3"/>
            </w:pPr>
            <w:r w:rsidRPr="00D37EDB">
              <w:t>Personnel</w:t>
            </w:r>
          </w:p>
          <w:p w:rsidR="00000000" w:rsidRPr="00D37EDB" w:rsidP="00D37EDB">
            <w:pPr>
              <w:pStyle w:val="ListBullet3"/>
            </w:pPr>
            <w:r w:rsidRPr="00D37EDB">
              <w:t xml:space="preserve">Quality assurance </w:t>
            </w:r>
            <w:r w:rsidRPr="00D37EDB">
              <w:t>systems</w:t>
            </w:r>
          </w:p>
          <w:p w:rsidR="00000000" w:rsidRPr="00D37EDB" w:rsidP="00D37EDB">
            <w:pPr>
              <w:pStyle w:val="ListBullet3"/>
            </w:pPr>
            <w:r w:rsidRPr="00D37EDB">
              <w:t>Requirements</w:t>
            </w:r>
          </w:p>
          <w:p w:rsidR="00000000" w:rsidRPr="00D37EDB" w:rsidP="00D37EDB">
            <w:pPr>
              <w:pStyle w:val="ListBullet3"/>
            </w:pPr>
            <w:r w:rsidRPr="00D37EDB">
              <w:t>Testing procedures</w:t>
            </w:r>
          </w:p>
          <w:p w:rsidR="00000000" w:rsidRPr="00D37EDB" w:rsidP="00D37EDB">
            <w:pPr>
              <w:pStyle w:val="ListBullet3"/>
            </w:pPr>
            <w:r w:rsidRPr="00D37EDB">
              <w:t>Work clearance systems</w:t>
            </w:r>
          </w:p>
        </w:tc>
      </w:tr>
    </w:tbl>
    <w:p w:rsidR="00000000" w:rsidRPr="00D37EDB" w:rsidP="00D37EDB">
      <w:pPr>
        <w:pStyle w:val="BodyText"/>
      </w:pPr>
    </w:p>
    <w:p w:rsidR="00000000" w:rsidRPr="00D37EDB" w:rsidP="00D37EDB">
      <w:pPr>
        <w:pStyle w:val="AllowPageBreak"/>
      </w:pPr>
    </w:p>
    <w:p w:rsidR="00000000" w:rsidRPr="00D37EDB" w:rsidP="00D37EDB">
      <w:pPr>
        <w:pStyle w:val="Heading1"/>
      </w:pPr>
      <w:bookmarkStart w:id="12" w:name="O_462730"/>
      <w:bookmarkEnd w:id="12"/>
      <w:r w:rsidRPr="00D37EDB">
        <w:t>Unit Sector(s)</w:t>
      </w:r>
    </w:p>
    <w:p w:rsidR="00000000" w:rsidRPr="00D37EDB" w:rsidP="00D37EDB">
      <w:pPr>
        <w:pStyle w:val="BodyText"/>
      </w:pPr>
      <w:r w:rsidRPr="00D37EDB">
        <w:t>Not applicable.</w:t>
      </w:r>
    </w:p>
    <w:p w:rsidR="00000000" w:rsidRPr="00D37EDB" w:rsidP="00D37EDB">
      <w:pPr>
        <w:pStyle w:val="AllowPageBreak"/>
      </w:pPr>
    </w:p>
    <w:p w:rsidR="00000000" w:rsidRPr="00D37EDB" w:rsidP="00D37EDB">
      <w:pPr>
        <w:pStyle w:val="Heading1"/>
      </w:pPr>
      <w:bookmarkStart w:id="13" w:name="O_462719"/>
      <w:bookmarkEnd w:id="13"/>
      <w:r w:rsidRPr="00D37EDB">
        <w:t>Competency Field</w:t>
      </w:r>
    </w:p>
    <w:tbl>
      <w:tblPr>
        <w:tblW w:w="0" w:type="auto"/>
        <w:tblLayout w:type="fixed"/>
        <w:tblCellMar>
          <w:left w:w="62" w:type="dxa"/>
          <w:right w:w="62" w:type="dxa"/>
        </w:tblCellMar>
        <w:tblLook w:val="0000"/>
      </w:tblPr>
      <w:tblGrid>
        <w:gridCol w:w="2700"/>
        <w:gridCol w:w="5760"/>
      </w:tblGrid>
      <w:tr w:rsidTr="00F125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37EDB">
            <w:pPr>
              <w:pStyle w:val="BodyText"/>
              <w:rPr>
                <w:lang w:val="en-NZ"/>
              </w:rPr>
            </w:pPr>
            <w:r w:rsidRPr="00D37EDB">
              <w:rPr>
                <w:rStyle w:val="SpecialBold"/>
              </w:rPr>
              <w:t xml:space="preserve">11) </w:t>
            </w:r>
          </w:p>
        </w:tc>
      </w:tr>
      <w:tr w:rsidTr="00F125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7EDB" w:rsidP="00D37EDB">
            <w:pPr>
              <w:pStyle w:val="BodyText"/>
            </w:pPr>
            <w:r w:rsidRPr="00D37EDB">
              <w:t>Industry Specific Cross-Discipline Units</w:t>
            </w:r>
          </w:p>
        </w:tc>
      </w:tr>
    </w:tbl>
    <w:p w:rsidR="00000000" w:rsidRPr="00D37EDB" w:rsidP="00D37EDB">
      <w:pPr>
        <w:pStyle w:val="BodyText"/>
      </w:pPr>
    </w:p>
    <w:p w:rsidR="00000000" w:rsidRPr="00D37EDB" w:rsidP="00D37EDB"/>
    <w:sectPr w:rsidSect="00D37E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574" w:rsidP="00F125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74" w:rsidP="00D37E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12574" w:rsidP="00D37E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12574" w:rsidP="00D37E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DB" w:rsidRPr="00F12574" w:rsidP="00F125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74" w:rsidRPr="002D2AF8" w:rsidP="00D37EDB">
    <w:pPr>
      <w:pStyle w:val="Header"/>
      <w:framePr w:wrap="around"/>
    </w:pPr>
    <w:r>
      <w:fldChar w:fldCharType="begin"/>
    </w:r>
    <w:r>
      <w:instrText xml:space="preserve"> TITLE   \* MERGEFORMAT </w:instrText>
    </w:r>
    <w:r>
      <w:fldChar w:fldCharType="separate"/>
    </w:r>
    <w:r>
      <w:t>UETTDRIS59A Conduct high potential testing of power system underground power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12574" w:rsidP="00D37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2A22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0EE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6A5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EDB"/>
    <w:pPr>
      <w:spacing w:before="360" w:after="60"/>
      <w:outlineLvl w:val="0"/>
    </w:pPr>
    <w:rPr>
      <w:sz w:val="32"/>
    </w:rPr>
  </w:style>
  <w:style w:type="paragraph" w:styleId="Heading2">
    <w:name w:val="heading 2"/>
    <w:basedOn w:val="HeadingBase"/>
    <w:next w:val="BodyText"/>
    <w:link w:val="Heading2Char"/>
    <w:qFormat/>
    <w:rsid w:val="00D37EDB"/>
    <w:pPr>
      <w:keepLines/>
      <w:spacing w:before="240" w:after="120"/>
      <w:outlineLvl w:val="1"/>
    </w:pPr>
    <w:rPr>
      <w:sz w:val="28"/>
      <w:szCs w:val="40"/>
    </w:rPr>
  </w:style>
  <w:style w:type="paragraph" w:styleId="Heading3">
    <w:name w:val="heading 3"/>
    <w:basedOn w:val="HeadingBase"/>
    <w:next w:val="BodyText"/>
    <w:link w:val="Heading3Char"/>
    <w:qFormat/>
    <w:rsid w:val="00D37EDB"/>
    <w:pPr>
      <w:spacing w:before="180" w:after="120"/>
      <w:outlineLvl w:val="2"/>
    </w:pPr>
    <w:rPr>
      <w:spacing w:val="-10"/>
      <w:kern w:val="32"/>
    </w:rPr>
  </w:style>
  <w:style w:type="paragraph" w:styleId="Heading4">
    <w:name w:val="heading 4"/>
    <w:basedOn w:val="HeadingBase"/>
    <w:next w:val="BodyText"/>
    <w:link w:val="Heading4Char"/>
    <w:qFormat/>
    <w:rsid w:val="00D37EDB"/>
    <w:pPr>
      <w:spacing w:before="160" w:after="120"/>
      <w:outlineLvl w:val="3"/>
    </w:pPr>
    <w:rPr>
      <w:sz w:val="22"/>
    </w:rPr>
  </w:style>
  <w:style w:type="paragraph" w:styleId="Heading5">
    <w:name w:val="heading 5"/>
    <w:basedOn w:val="HeadingBase"/>
    <w:next w:val="Normal"/>
    <w:link w:val="Heading5Char"/>
    <w:qFormat/>
    <w:rsid w:val="00D37EDB"/>
    <w:pPr>
      <w:spacing w:before="80"/>
      <w:outlineLvl w:val="4"/>
    </w:pPr>
    <w:rPr>
      <w:color w:val="918585"/>
      <w:sz w:val="20"/>
    </w:rPr>
  </w:style>
  <w:style w:type="paragraph" w:styleId="Heading6">
    <w:name w:val="heading 6"/>
    <w:basedOn w:val="HeadingBase"/>
    <w:next w:val="Normal"/>
    <w:link w:val="Heading6Char"/>
    <w:qFormat/>
    <w:rsid w:val="00D37EDB"/>
    <w:pPr>
      <w:spacing w:before="60"/>
      <w:outlineLvl w:val="5"/>
    </w:pPr>
    <w:rPr>
      <w:color w:val="918585"/>
      <w:sz w:val="20"/>
    </w:rPr>
  </w:style>
  <w:style w:type="paragraph" w:styleId="Heading7">
    <w:name w:val="heading 7"/>
    <w:basedOn w:val="Normal"/>
    <w:next w:val="Normal"/>
    <w:link w:val="Heading7Char"/>
    <w:qFormat/>
    <w:rsid w:val="00D37EDB"/>
    <w:pPr>
      <w:ind w:left="720"/>
      <w:outlineLvl w:val="6"/>
    </w:pPr>
    <w:rPr>
      <w:i/>
    </w:rPr>
  </w:style>
  <w:style w:type="paragraph" w:styleId="Heading8">
    <w:name w:val="heading 8"/>
    <w:basedOn w:val="Normal"/>
    <w:next w:val="Normal"/>
    <w:link w:val="Heading8Char"/>
    <w:qFormat/>
    <w:rsid w:val="00D37EDB"/>
    <w:pPr>
      <w:ind w:left="720"/>
      <w:outlineLvl w:val="7"/>
    </w:pPr>
    <w:rPr>
      <w:i/>
    </w:rPr>
  </w:style>
  <w:style w:type="paragraph" w:styleId="Heading9">
    <w:name w:val="heading 9"/>
    <w:basedOn w:val="Normal"/>
    <w:next w:val="Normal"/>
    <w:link w:val="Heading9Char"/>
    <w:qFormat/>
    <w:rsid w:val="00D37EDB"/>
    <w:pPr>
      <w:ind w:left="720"/>
      <w:outlineLvl w:val="8"/>
    </w:pPr>
    <w:rPr>
      <w:i/>
    </w:rPr>
  </w:style>
  <w:style w:type="character" w:default="1" w:styleId="DefaultParagraphFont">
    <w:name w:val="Default Paragraph Font"/>
    <w:uiPriority w:val="1"/>
    <w:unhideWhenUsed/>
    <w:rsid w:val="00D37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EDB"/>
  </w:style>
  <w:style w:type="character" w:customStyle="1" w:styleId="Heading1Char">
    <w:name w:val="Heading 1 Char"/>
    <w:basedOn w:val="DefaultParagraphFont"/>
    <w:link w:val="Heading1"/>
    <w:rsid w:val="00D37EDB"/>
    <w:rPr>
      <w:rFonts w:ascii="Times New Roman" w:eastAsia="Times New Roman" w:hAnsi="Times New Roman" w:cs="Times New Roman"/>
      <w:b/>
      <w:sz w:val="32"/>
      <w:szCs w:val="20"/>
      <w:lang w:eastAsia="en-US"/>
    </w:rPr>
  </w:style>
  <w:style w:type="paragraph" w:styleId="BodyText">
    <w:name w:val="Body Text"/>
    <w:basedOn w:val="Normal"/>
    <w:link w:val="BodyTextChar"/>
    <w:rsid w:val="00D37E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7EDB"/>
    <w:rPr>
      <w:rFonts w:ascii="Times New Roman" w:eastAsia="Times New Roman" w:hAnsi="Times New Roman" w:cs="Times New Roman"/>
      <w:sz w:val="24"/>
      <w:lang w:eastAsia="en-US"/>
    </w:rPr>
  </w:style>
  <w:style w:type="paragraph" w:styleId="Footer">
    <w:name w:val="footer"/>
    <w:basedOn w:val="Normal"/>
    <w:link w:val="FooterChar"/>
    <w:rsid w:val="00D37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EDB"/>
    <w:rPr>
      <w:rFonts w:ascii="Times New Roman" w:eastAsia="Times New Roman" w:hAnsi="Times New Roman" w:cs="Times New Roman"/>
      <w:sz w:val="16"/>
      <w:lang w:eastAsia="en-US"/>
    </w:rPr>
  </w:style>
  <w:style w:type="paragraph" w:styleId="ListBullet">
    <w:name w:val="List Bullet"/>
    <w:basedOn w:val="List"/>
    <w:rsid w:val="00D37EDB"/>
    <w:pPr>
      <w:numPr>
        <w:numId w:val="14"/>
      </w:numPr>
      <w:tabs>
        <w:tab w:val="clear" w:pos="340"/>
      </w:tabs>
      <w:spacing w:before="40" w:after="40"/>
    </w:pPr>
  </w:style>
  <w:style w:type="character" w:customStyle="1" w:styleId="SpecialBold">
    <w:name w:val="Special Bold"/>
    <w:basedOn w:val="DefaultParagraphFont"/>
    <w:rsid w:val="00D37EDB"/>
    <w:rPr>
      <w:b/>
      <w:spacing w:val="0"/>
    </w:rPr>
  </w:style>
  <w:style w:type="paragraph" w:styleId="ListBullet2">
    <w:name w:val="List Bullet 2"/>
    <w:basedOn w:val="List2"/>
    <w:rsid w:val="00D37EDB"/>
    <w:pPr>
      <w:numPr>
        <w:numId w:val="15"/>
      </w:numPr>
      <w:tabs>
        <w:tab w:val="clear" w:pos="680"/>
      </w:tabs>
    </w:pPr>
  </w:style>
  <w:style w:type="paragraph" w:customStyle="1" w:styleId="SuperHeading">
    <w:name w:val="SuperHeading"/>
    <w:basedOn w:val="Normal"/>
    <w:rsid w:val="00D37EDB"/>
    <w:pPr>
      <w:spacing w:before="240" w:after="120"/>
      <w:outlineLvl w:val="0"/>
    </w:pPr>
    <w:rPr>
      <w:rFonts w:ascii="Times New Roman" w:hAnsi="Times New Roman"/>
      <w:b/>
      <w:sz w:val="28"/>
    </w:rPr>
  </w:style>
  <w:style w:type="paragraph" w:customStyle="1" w:styleId="AllowPageBreak">
    <w:name w:val="AllowPageBreak"/>
    <w:rsid w:val="00D37E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7EDB"/>
    <w:pPr>
      <w:numPr>
        <w:numId w:val="3"/>
      </w:numPr>
      <w:tabs>
        <w:tab w:val="clear" w:pos="1021"/>
      </w:tabs>
      <w:ind w:left="1037" w:hanging="357"/>
    </w:pPr>
  </w:style>
  <w:style w:type="character" w:customStyle="1" w:styleId="Heading2Char">
    <w:name w:val="Heading 2 Char"/>
    <w:basedOn w:val="DefaultParagraphFont"/>
    <w:link w:val="Heading2"/>
    <w:rsid w:val="00D37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EDB"/>
    <w:rPr>
      <w:rFonts w:ascii="Courier New" w:eastAsia="Times New Roman" w:hAnsi="Courier New" w:cs="Times New Roman"/>
      <w:i/>
      <w:szCs w:val="20"/>
      <w:lang w:eastAsia="en-US"/>
    </w:rPr>
  </w:style>
  <w:style w:type="paragraph" w:customStyle="1" w:styleId="HeadingBase">
    <w:name w:val="Heading Base"/>
    <w:rsid w:val="00D37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EDB"/>
    <w:pPr>
      <w:tabs>
        <w:tab w:val="right" w:leader="dot" w:pos="9072"/>
      </w:tabs>
      <w:ind w:left="567"/>
    </w:pPr>
    <w:rPr>
      <w:szCs w:val="22"/>
    </w:rPr>
  </w:style>
  <w:style w:type="paragraph" w:customStyle="1" w:styleId="TOCBase">
    <w:name w:val="TOC Base"/>
    <w:rsid w:val="00D37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EDB"/>
    <w:pPr>
      <w:tabs>
        <w:tab w:val="right" w:leader="dot" w:pos="9072"/>
      </w:tabs>
      <w:spacing w:before="40" w:after="40"/>
      <w:ind w:left="284"/>
    </w:pPr>
    <w:rPr>
      <w:rFonts w:ascii="Times New Roman" w:hAnsi="Times New Roman"/>
    </w:rPr>
  </w:style>
  <w:style w:type="paragraph" w:styleId="TOC1">
    <w:name w:val="toc 1"/>
    <w:basedOn w:val="TOCBase"/>
    <w:next w:val="Normal"/>
    <w:rsid w:val="00D37E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7EDB"/>
    <w:pPr>
      <w:spacing w:before="5040"/>
      <w:jc w:val="center"/>
    </w:pPr>
    <w:rPr>
      <w:sz w:val="48"/>
      <w:szCs w:val="72"/>
      <w:lang w:val="en-US"/>
    </w:rPr>
  </w:style>
  <w:style w:type="character" w:customStyle="1" w:styleId="TitleChar">
    <w:name w:val="Title Char"/>
    <w:basedOn w:val="DefaultParagraphFont"/>
    <w:link w:val="Title"/>
    <w:rsid w:val="00D37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EDB"/>
    <w:pPr>
      <w:tabs>
        <w:tab w:val="left" w:pos="3600"/>
        <w:tab w:val="left" w:pos="3958"/>
      </w:tabs>
    </w:pPr>
  </w:style>
  <w:style w:type="paragraph" w:styleId="List">
    <w:name w:val="List"/>
    <w:basedOn w:val="BodyText"/>
    <w:next w:val="BodyText"/>
    <w:rsid w:val="00D37EDB"/>
    <w:pPr>
      <w:tabs>
        <w:tab w:val="left" w:pos="340"/>
      </w:tabs>
      <w:spacing w:before="60" w:after="60"/>
      <w:ind w:left="340" w:hanging="340"/>
    </w:pPr>
  </w:style>
  <w:style w:type="paragraph" w:customStyle="1" w:styleId="Note">
    <w:name w:val="Note"/>
    <w:basedOn w:val="BodyText"/>
    <w:rsid w:val="00D37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EDB"/>
    <w:pPr>
      <w:framePr w:wrap="auto" w:hAnchor="text" w:y="6049"/>
    </w:pPr>
    <w:rPr>
      <w:color w:val="000000"/>
      <w:sz w:val="40"/>
    </w:rPr>
  </w:style>
  <w:style w:type="paragraph" w:customStyle="1" w:styleId="TOCTitle">
    <w:name w:val="TOCTitle"/>
    <w:basedOn w:val="Heading1"/>
    <w:rsid w:val="00D37EDB"/>
    <w:pPr>
      <w:spacing w:after="240"/>
      <w:jc w:val="center"/>
      <w:outlineLvl w:val="9"/>
    </w:pPr>
    <w:rPr>
      <w:caps/>
    </w:rPr>
  </w:style>
  <w:style w:type="paragraph" w:customStyle="1" w:styleId="Version">
    <w:name w:val="Version"/>
    <w:rsid w:val="00D37E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EDB"/>
    <w:pPr>
      <w:keepNext w:val="0"/>
      <w:tabs>
        <w:tab w:val="right" w:pos="4176"/>
      </w:tabs>
      <w:ind w:left="198" w:hanging="198"/>
    </w:pPr>
    <w:rPr>
      <w:rFonts w:ascii="Garamond" w:hAnsi="Garamond"/>
    </w:rPr>
  </w:style>
  <w:style w:type="paragraph" w:styleId="IndexHeading">
    <w:name w:val="index heading"/>
    <w:basedOn w:val="Normal"/>
    <w:next w:val="Index1"/>
    <w:semiHidden/>
    <w:rsid w:val="00D37EDB"/>
    <w:pPr>
      <w:spacing w:before="120" w:after="120"/>
    </w:pPr>
    <w:rPr>
      <w:rFonts w:ascii="Arial" w:hAnsi="Arial"/>
      <w:b/>
      <w:color w:val="918585"/>
      <w:sz w:val="24"/>
    </w:rPr>
  </w:style>
  <w:style w:type="paragraph" w:styleId="Header">
    <w:name w:val="header"/>
    <w:basedOn w:val="Normal"/>
    <w:link w:val="HeaderChar"/>
    <w:rsid w:val="00D37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EDB"/>
    <w:rPr>
      <w:rFonts w:ascii="Times New Roman" w:eastAsia="Times New Roman" w:hAnsi="Times New Roman" w:cs="Times New Roman"/>
      <w:sz w:val="16"/>
      <w:szCs w:val="20"/>
      <w:lang w:val="en-GB" w:eastAsia="en-US"/>
    </w:rPr>
  </w:style>
  <w:style w:type="paragraph" w:customStyle="1" w:styleId="Chapter">
    <w:name w:val="Chapter"/>
    <w:basedOn w:val="Normal"/>
    <w:rsid w:val="00D37EDB"/>
    <w:pPr>
      <w:spacing w:before="240"/>
    </w:pPr>
    <w:rPr>
      <w:rFonts w:ascii="Times New Roman" w:hAnsi="Times New Roman"/>
      <w:smallCaps/>
      <w:spacing w:val="80"/>
      <w:sz w:val="28"/>
    </w:rPr>
  </w:style>
  <w:style w:type="paragraph" w:customStyle="1" w:styleId="InChapter">
    <w:name w:val="InChapter"/>
    <w:basedOn w:val="Heading3"/>
    <w:rsid w:val="00D37EDB"/>
    <w:pPr>
      <w:spacing w:after="240"/>
      <w:outlineLvl w:val="9"/>
    </w:pPr>
    <w:rPr>
      <w:noProof/>
    </w:rPr>
  </w:style>
  <w:style w:type="paragraph" w:styleId="Index2">
    <w:name w:val="index 2"/>
    <w:basedOn w:val="Normal"/>
    <w:next w:val="Normal"/>
    <w:semiHidden/>
    <w:rsid w:val="00D37EDB"/>
    <w:pPr>
      <w:tabs>
        <w:tab w:val="right" w:pos="4176"/>
      </w:tabs>
      <w:ind w:left="568" w:hanging="284"/>
    </w:pPr>
    <w:rPr>
      <w:rFonts w:ascii="Garamond" w:hAnsi="Garamond"/>
    </w:rPr>
  </w:style>
  <w:style w:type="paragraph" w:customStyle="1" w:styleId="Byline">
    <w:name w:val="Byline"/>
    <w:rsid w:val="00D37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EDB"/>
    <w:pPr>
      <w:tabs>
        <w:tab w:val="clear" w:pos="3600"/>
        <w:tab w:val="clear" w:pos="3958"/>
      </w:tabs>
      <w:jc w:val="right"/>
    </w:pPr>
  </w:style>
  <w:style w:type="character" w:styleId="Emphasis">
    <w:name w:val="Emphasis"/>
    <w:basedOn w:val="DefaultParagraphFont"/>
    <w:qFormat/>
    <w:rsid w:val="00D37EDB"/>
    <w:rPr>
      <w:i/>
    </w:rPr>
  </w:style>
  <w:style w:type="paragraph" w:styleId="Caption">
    <w:name w:val="caption"/>
    <w:basedOn w:val="BodyText"/>
    <w:next w:val="Normal"/>
    <w:qFormat/>
    <w:rsid w:val="00D37EDB"/>
    <w:pPr>
      <w:framePr w:w="2268" w:hSpace="181" w:vSpace="181" w:wrap="around" w:vAnchor="text" w:hAnchor="page" w:x="1135" w:y="285" w:anchorLock="1"/>
    </w:pPr>
    <w:rPr>
      <w:i/>
    </w:rPr>
  </w:style>
  <w:style w:type="paragraph" w:customStyle="1" w:styleId="MiniTOCTitle">
    <w:name w:val="MiniTOCTitle"/>
    <w:basedOn w:val="Heading4"/>
    <w:rsid w:val="00D37EDB"/>
    <w:pPr>
      <w:spacing w:before="240"/>
      <w:outlineLvl w:val="9"/>
    </w:pPr>
    <w:rPr>
      <w:noProof/>
      <w:sz w:val="24"/>
    </w:rPr>
  </w:style>
  <w:style w:type="paragraph" w:customStyle="1" w:styleId="MiniTOCItem">
    <w:name w:val="MiniTOCItem"/>
    <w:basedOn w:val="ListBullet"/>
    <w:rsid w:val="00D37EDB"/>
    <w:pPr>
      <w:numPr>
        <w:numId w:val="0"/>
      </w:numPr>
      <w:tabs>
        <w:tab w:val="right" w:leader="dot" w:pos="6521"/>
      </w:tabs>
      <w:spacing w:before="0" w:after="0"/>
    </w:pPr>
  </w:style>
  <w:style w:type="paragraph" w:customStyle="1" w:styleId="TOFTitle">
    <w:name w:val="TOFTitle"/>
    <w:basedOn w:val="TOCTitle"/>
    <w:rsid w:val="00D37EDB"/>
  </w:style>
  <w:style w:type="paragraph" w:styleId="TableofFigures">
    <w:name w:val="table of figures"/>
    <w:basedOn w:val="Normal"/>
    <w:next w:val="Normal"/>
    <w:semiHidden/>
    <w:rsid w:val="00D37EDB"/>
    <w:pPr>
      <w:tabs>
        <w:tab w:val="right" w:leader="dot" w:pos="9072"/>
      </w:tabs>
      <w:ind w:left="970" w:hanging="403"/>
    </w:pPr>
    <w:rPr>
      <w:rFonts w:ascii="Times New Roman" w:hAnsi="Times New Roman"/>
      <w:b/>
    </w:rPr>
  </w:style>
  <w:style w:type="paragraph" w:styleId="ListNumber">
    <w:name w:val="List Number"/>
    <w:basedOn w:val="List"/>
    <w:rsid w:val="00D37EDB"/>
    <w:pPr>
      <w:numPr>
        <w:numId w:val="12"/>
      </w:numPr>
    </w:pPr>
  </w:style>
  <w:style w:type="character" w:customStyle="1" w:styleId="WingdingSymbols">
    <w:name w:val="Wingding Symbols"/>
    <w:rsid w:val="00D37EDB"/>
    <w:rPr>
      <w:rFonts w:ascii="Wingdings" w:hAnsi="Wingdings"/>
    </w:rPr>
  </w:style>
  <w:style w:type="paragraph" w:customStyle="1" w:styleId="TableHeading">
    <w:name w:val="Table Heading"/>
    <w:basedOn w:val="HeadingBase"/>
    <w:rsid w:val="00D37EDB"/>
    <w:pPr>
      <w:keepLines/>
      <w:pBdr>
        <w:bottom w:val="single" w:sz="6" w:space="1" w:color="918585"/>
      </w:pBdr>
      <w:spacing w:before="240"/>
    </w:pPr>
  </w:style>
  <w:style w:type="character" w:customStyle="1" w:styleId="HotSpot">
    <w:name w:val="HotSpot"/>
    <w:rsid w:val="00D37EDB"/>
    <w:rPr>
      <w:color w:val="0033CC"/>
      <w:u w:val="none"/>
    </w:rPr>
  </w:style>
  <w:style w:type="paragraph" w:customStyle="1" w:styleId="BodyTextRight">
    <w:name w:val="Body Text Right"/>
    <w:basedOn w:val="BodyText"/>
    <w:rsid w:val="00D37EDB"/>
    <w:pPr>
      <w:spacing w:before="0" w:after="0"/>
      <w:jc w:val="right"/>
    </w:pPr>
  </w:style>
  <w:style w:type="paragraph" w:styleId="Index3">
    <w:name w:val="index 3"/>
    <w:basedOn w:val="ListNumber2"/>
    <w:next w:val="Normal"/>
    <w:semiHidden/>
    <w:rsid w:val="00D37EDB"/>
    <w:pPr>
      <w:numPr>
        <w:numId w:val="0"/>
      </w:numPr>
      <w:tabs>
        <w:tab w:val="right" w:leader="dot" w:pos="4176"/>
      </w:tabs>
    </w:pPr>
  </w:style>
  <w:style w:type="paragraph" w:styleId="ListNumber2">
    <w:name w:val="List Number 2"/>
    <w:basedOn w:val="List2"/>
    <w:rsid w:val="00D37EDB"/>
    <w:pPr>
      <w:numPr>
        <w:numId w:val="11"/>
      </w:numPr>
      <w:tabs>
        <w:tab w:val="clear" w:pos="1060"/>
      </w:tabs>
    </w:pPr>
  </w:style>
  <w:style w:type="paragraph" w:customStyle="1" w:styleId="MarginNote">
    <w:name w:val="Margin Note"/>
    <w:basedOn w:val="BodyText"/>
    <w:rsid w:val="00D37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EDB"/>
    <w:rPr>
      <w:sz w:val="32"/>
    </w:rPr>
  </w:style>
  <w:style w:type="paragraph" w:customStyle="1" w:styleId="HeadingProcedure">
    <w:name w:val="Heading Procedure"/>
    <w:basedOn w:val="HeadingBase"/>
    <w:next w:val="Normal"/>
    <w:rsid w:val="00D37EDB"/>
    <w:pPr>
      <w:tabs>
        <w:tab w:val="left" w:pos="0"/>
      </w:tabs>
      <w:spacing w:before="120" w:after="60"/>
    </w:pPr>
    <w:rPr>
      <w:i/>
      <w:color w:val="918585"/>
      <w:sz w:val="22"/>
    </w:rPr>
  </w:style>
  <w:style w:type="paragraph" w:customStyle="1" w:styleId="TableBodyText">
    <w:name w:val="Table Body Text"/>
    <w:basedOn w:val="BodyText"/>
    <w:rsid w:val="00D37EDB"/>
    <w:pPr>
      <w:spacing w:before="60" w:after="60"/>
    </w:pPr>
  </w:style>
  <w:style w:type="paragraph" w:styleId="ListContinue">
    <w:name w:val="List Continue"/>
    <w:basedOn w:val="List"/>
    <w:rsid w:val="00D37EDB"/>
    <w:pPr>
      <w:ind w:firstLine="0"/>
    </w:pPr>
  </w:style>
  <w:style w:type="paragraph" w:customStyle="1" w:styleId="ListNote">
    <w:name w:val="List Note"/>
    <w:basedOn w:val="List"/>
    <w:rsid w:val="00D37EDB"/>
    <w:pPr>
      <w:pBdr>
        <w:top w:val="single" w:sz="6" w:space="2" w:color="918585"/>
        <w:bottom w:val="single" w:sz="6" w:space="2" w:color="918585"/>
      </w:pBdr>
      <w:tabs>
        <w:tab w:val="left" w:pos="1021"/>
      </w:tabs>
      <w:ind w:firstLine="0"/>
    </w:pPr>
  </w:style>
  <w:style w:type="paragraph" w:customStyle="1" w:styleId="Warning">
    <w:name w:val="Warning"/>
    <w:basedOn w:val="BodyText"/>
    <w:rsid w:val="00D37EDB"/>
    <w:pPr>
      <w:shd w:val="clear" w:color="auto" w:fill="D9D9D9"/>
      <w:tabs>
        <w:tab w:val="left" w:pos="992"/>
      </w:tabs>
      <w:ind w:left="119" w:right="119"/>
    </w:pPr>
    <w:rPr>
      <w:sz w:val="20"/>
    </w:rPr>
  </w:style>
  <w:style w:type="paragraph" w:customStyle="1" w:styleId="MarginIcons">
    <w:name w:val="Margin Icons"/>
    <w:basedOn w:val="BodyText"/>
    <w:rsid w:val="00D37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EDB"/>
    <w:rPr>
      <w:rFonts w:ascii="Courier New" w:hAnsi="Courier New"/>
    </w:rPr>
  </w:style>
  <w:style w:type="paragraph" w:customStyle="1" w:styleId="NoteBullet">
    <w:name w:val="Note Bullet"/>
    <w:basedOn w:val="Note"/>
    <w:rsid w:val="00D37EDB"/>
    <w:pPr>
      <w:tabs>
        <w:tab w:val="clear" w:pos="680"/>
      </w:tabs>
      <w:spacing w:before="60" w:after="60"/>
    </w:pPr>
  </w:style>
  <w:style w:type="paragraph" w:customStyle="1" w:styleId="SubHeading2">
    <w:name w:val="SubHeading2"/>
    <w:basedOn w:val="HeadingBase"/>
    <w:rsid w:val="00D37EDB"/>
    <w:pPr>
      <w:spacing w:before="240" w:after="60"/>
    </w:pPr>
    <w:rPr>
      <w:sz w:val="20"/>
    </w:rPr>
  </w:style>
  <w:style w:type="paragraph" w:customStyle="1" w:styleId="SubHeading1">
    <w:name w:val="SubHeading1"/>
    <w:basedOn w:val="HeadingBase"/>
    <w:rsid w:val="00D37EDB"/>
    <w:pPr>
      <w:spacing w:before="240" w:after="60"/>
    </w:pPr>
    <w:rPr>
      <w:color w:val="918585"/>
      <w:sz w:val="22"/>
    </w:rPr>
  </w:style>
  <w:style w:type="paragraph" w:customStyle="1" w:styleId="SideHeading">
    <w:name w:val="Side Heading"/>
    <w:basedOn w:val="HeadingBase"/>
    <w:rsid w:val="00D37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EDB"/>
    <w:pPr>
      <w:numPr>
        <w:numId w:val="13"/>
      </w:numPr>
    </w:pPr>
  </w:style>
  <w:style w:type="paragraph" w:styleId="PlainText">
    <w:name w:val="Plain Text"/>
    <w:basedOn w:val="Normal"/>
    <w:link w:val="PlainTextChar"/>
    <w:rsid w:val="00D37EDB"/>
    <w:rPr>
      <w:sz w:val="20"/>
    </w:rPr>
  </w:style>
  <w:style w:type="character" w:customStyle="1" w:styleId="PlainTextChar">
    <w:name w:val="Plain Text Char"/>
    <w:basedOn w:val="DefaultParagraphFont"/>
    <w:link w:val="PlainText"/>
    <w:rsid w:val="00D37EDB"/>
    <w:rPr>
      <w:rFonts w:ascii="Courier New" w:eastAsia="Times New Roman" w:hAnsi="Courier New" w:cs="Times New Roman"/>
      <w:sz w:val="20"/>
      <w:szCs w:val="20"/>
      <w:lang w:eastAsia="en-US"/>
    </w:rPr>
  </w:style>
  <w:style w:type="character" w:customStyle="1" w:styleId="MenuOption">
    <w:name w:val="Menu Option"/>
    <w:basedOn w:val="DefaultParagraphFont"/>
    <w:rsid w:val="00D37EDB"/>
    <w:rPr>
      <w:b/>
      <w:smallCaps/>
    </w:rPr>
  </w:style>
  <w:style w:type="paragraph" w:customStyle="1" w:styleId="TableListNumber">
    <w:name w:val="Table List Number"/>
    <w:basedOn w:val="ListNumber"/>
    <w:rsid w:val="00D37EDB"/>
    <w:pPr>
      <w:numPr>
        <w:numId w:val="0"/>
      </w:numPr>
    </w:pPr>
  </w:style>
  <w:style w:type="paragraph" w:styleId="TOC4">
    <w:name w:val="toc 4"/>
    <w:basedOn w:val="TOCBase"/>
    <w:next w:val="Normal"/>
    <w:semiHidden/>
    <w:rsid w:val="00D37EDB"/>
    <w:pPr>
      <w:tabs>
        <w:tab w:val="right" w:leader="dot" w:pos="9071"/>
      </w:tabs>
      <w:ind w:left="1701"/>
    </w:pPr>
  </w:style>
  <w:style w:type="paragraph" w:customStyle="1" w:styleId="ListAlpha">
    <w:name w:val="List Alpha"/>
    <w:basedOn w:val="List"/>
    <w:rsid w:val="00D37EDB"/>
    <w:pPr>
      <w:numPr>
        <w:numId w:val="10"/>
      </w:numPr>
    </w:pPr>
  </w:style>
  <w:style w:type="paragraph" w:customStyle="1" w:styleId="ListAlpha2">
    <w:name w:val="List Alpha 2"/>
    <w:basedOn w:val="List2"/>
    <w:rsid w:val="00D37EDB"/>
    <w:pPr>
      <w:numPr>
        <w:numId w:val="9"/>
      </w:numPr>
    </w:pPr>
  </w:style>
  <w:style w:type="paragraph" w:styleId="List2">
    <w:name w:val="List 2"/>
    <w:basedOn w:val="BodyText"/>
    <w:rsid w:val="00D37EDB"/>
    <w:pPr>
      <w:tabs>
        <w:tab w:val="left" w:pos="680"/>
      </w:tabs>
      <w:spacing w:before="60" w:after="60"/>
      <w:ind w:left="680" w:hanging="340"/>
    </w:pPr>
  </w:style>
  <w:style w:type="paragraph" w:styleId="List3">
    <w:name w:val="List 3"/>
    <w:basedOn w:val="BodyText"/>
    <w:rsid w:val="00D37EDB"/>
    <w:pPr>
      <w:tabs>
        <w:tab w:val="left" w:pos="1021"/>
      </w:tabs>
      <w:spacing w:before="60" w:after="60"/>
      <w:ind w:left="1020" w:hanging="340"/>
    </w:pPr>
  </w:style>
  <w:style w:type="paragraph" w:styleId="List4">
    <w:name w:val="List 4"/>
    <w:basedOn w:val="BodyText"/>
    <w:rsid w:val="00D37EDB"/>
    <w:pPr>
      <w:tabs>
        <w:tab w:val="left" w:pos="1361"/>
      </w:tabs>
      <w:spacing w:before="60" w:after="60"/>
      <w:ind w:left="1361" w:hanging="340"/>
    </w:pPr>
  </w:style>
  <w:style w:type="paragraph" w:styleId="List5">
    <w:name w:val="List 5"/>
    <w:basedOn w:val="BodyText"/>
    <w:rsid w:val="00D37EDB"/>
    <w:pPr>
      <w:tabs>
        <w:tab w:val="left" w:pos="1701"/>
      </w:tabs>
      <w:spacing w:before="60" w:after="60"/>
      <w:ind w:left="1701" w:hanging="340"/>
    </w:pPr>
  </w:style>
  <w:style w:type="paragraph" w:styleId="ListBullet4">
    <w:name w:val="List Bullet 4"/>
    <w:basedOn w:val="List4"/>
    <w:rsid w:val="00D37EDB"/>
    <w:pPr>
      <w:numPr>
        <w:numId w:val="4"/>
      </w:numPr>
    </w:pPr>
  </w:style>
  <w:style w:type="paragraph" w:styleId="ListBullet5">
    <w:name w:val="List Bullet 5"/>
    <w:basedOn w:val="List5"/>
    <w:rsid w:val="00D37EDB"/>
    <w:pPr>
      <w:numPr>
        <w:numId w:val="5"/>
      </w:numPr>
    </w:pPr>
  </w:style>
  <w:style w:type="paragraph" w:styleId="ListContinue2">
    <w:name w:val="List Continue 2"/>
    <w:basedOn w:val="List2"/>
    <w:rsid w:val="00D37EDB"/>
    <w:pPr>
      <w:ind w:firstLine="0"/>
    </w:pPr>
  </w:style>
  <w:style w:type="paragraph" w:styleId="ListContinue3">
    <w:name w:val="List Continue 3"/>
    <w:basedOn w:val="List3"/>
    <w:rsid w:val="00D37EDB"/>
    <w:pPr>
      <w:ind w:left="1021" w:firstLine="0"/>
    </w:pPr>
  </w:style>
  <w:style w:type="paragraph" w:styleId="ListContinue4">
    <w:name w:val="List Continue 4"/>
    <w:basedOn w:val="List4"/>
    <w:rsid w:val="00D37EDB"/>
    <w:pPr>
      <w:ind w:firstLine="0"/>
    </w:pPr>
  </w:style>
  <w:style w:type="paragraph" w:styleId="ListContinue5">
    <w:name w:val="List Continue 5"/>
    <w:basedOn w:val="List5"/>
    <w:rsid w:val="00D37EDB"/>
    <w:pPr>
      <w:ind w:firstLine="0"/>
    </w:pPr>
  </w:style>
  <w:style w:type="paragraph" w:styleId="ListNumber3">
    <w:name w:val="List Number 3"/>
    <w:basedOn w:val="List3"/>
    <w:rsid w:val="00D37EDB"/>
    <w:pPr>
      <w:numPr>
        <w:numId w:val="6"/>
      </w:numPr>
    </w:pPr>
  </w:style>
  <w:style w:type="paragraph" w:styleId="ListNumber4">
    <w:name w:val="List Number 4"/>
    <w:basedOn w:val="List4"/>
    <w:rsid w:val="00D37EDB"/>
    <w:pPr>
      <w:numPr>
        <w:numId w:val="7"/>
      </w:numPr>
    </w:pPr>
  </w:style>
  <w:style w:type="paragraph" w:styleId="ListNumber5">
    <w:name w:val="List Number 5"/>
    <w:basedOn w:val="List5"/>
    <w:rsid w:val="00D37EDB"/>
    <w:pPr>
      <w:numPr>
        <w:numId w:val="8"/>
      </w:numPr>
    </w:pPr>
  </w:style>
  <w:style w:type="paragraph" w:styleId="BlockText">
    <w:name w:val="Block Text"/>
    <w:basedOn w:val="Normal"/>
    <w:rsid w:val="00D37EDB"/>
    <w:pPr>
      <w:spacing w:after="120"/>
      <w:ind w:left="1440" w:right="1440"/>
    </w:pPr>
  </w:style>
  <w:style w:type="character" w:customStyle="1" w:styleId="Subscript">
    <w:name w:val="Subscript"/>
    <w:basedOn w:val="DefaultParagraphFont"/>
    <w:rsid w:val="00D37EDB"/>
    <w:rPr>
      <w:sz w:val="16"/>
      <w:vertAlign w:val="subscript"/>
    </w:rPr>
  </w:style>
  <w:style w:type="character" w:customStyle="1" w:styleId="Superscript">
    <w:name w:val="Superscript"/>
    <w:basedOn w:val="DefaultParagraphFont"/>
    <w:rsid w:val="00D37EDB"/>
    <w:rPr>
      <w:sz w:val="16"/>
      <w:vertAlign w:val="superscript"/>
    </w:rPr>
  </w:style>
  <w:style w:type="character" w:customStyle="1" w:styleId="Symbols">
    <w:name w:val="Symbols"/>
    <w:basedOn w:val="DefaultParagraphFont"/>
    <w:rsid w:val="00D37EDB"/>
    <w:rPr>
      <w:rFonts w:ascii="Symbol" w:hAnsi="Symbol"/>
    </w:rPr>
  </w:style>
  <w:style w:type="character" w:customStyle="1" w:styleId="MenuOptions">
    <w:name w:val="Menu Options"/>
    <w:basedOn w:val="DefaultParagraphFont"/>
    <w:rsid w:val="00D37EDB"/>
    <w:rPr>
      <w:rFonts w:ascii="Arial Narrow" w:hAnsi="Arial Narrow"/>
      <w:smallCaps/>
    </w:rPr>
  </w:style>
  <w:style w:type="character" w:customStyle="1" w:styleId="Buttons">
    <w:name w:val="Buttons"/>
    <w:basedOn w:val="DefaultParagraphFont"/>
    <w:rsid w:val="00D37EDB"/>
    <w:rPr>
      <w:b/>
    </w:rPr>
  </w:style>
  <w:style w:type="character" w:customStyle="1" w:styleId="Underlined">
    <w:name w:val="Underlined"/>
    <w:basedOn w:val="DefaultParagraphFont"/>
    <w:rsid w:val="00D37EDB"/>
    <w:rPr>
      <w:u w:val="single"/>
    </w:rPr>
  </w:style>
  <w:style w:type="paragraph" w:customStyle="1" w:styleId="TableBodyTextRight">
    <w:name w:val="Table Body Text Right"/>
    <w:basedOn w:val="TableBodyText"/>
    <w:rsid w:val="00D37EDB"/>
    <w:pPr>
      <w:widowControl w:val="0"/>
      <w:autoSpaceDE w:val="0"/>
      <w:autoSpaceDN w:val="0"/>
      <w:adjustRightInd w:val="0"/>
      <w:jc w:val="right"/>
    </w:pPr>
    <w:rPr>
      <w:rFonts w:cs="Arial"/>
      <w:szCs w:val="18"/>
    </w:rPr>
  </w:style>
  <w:style w:type="paragraph" w:customStyle="1" w:styleId="CopyrightText">
    <w:name w:val="Copyright Text"/>
    <w:basedOn w:val="BodyText"/>
    <w:rsid w:val="00D37EDB"/>
    <w:rPr>
      <w:sz w:val="18"/>
    </w:rPr>
  </w:style>
  <w:style w:type="paragraph" w:customStyle="1" w:styleId="BodySmallRight">
    <w:name w:val="Body Small Right"/>
    <w:basedOn w:val="BodyTextRight"/>
    <w:rsid w:val="00D37EDB"/>
    <w:rPr>
      <w:sz w:val="18"/>
      <w:szCs w:val="18"/>
    </w:rPr>
  </w:style>
  <w:style w:type="paragraph" w:customStyle="1" w:styleId="MarginEdition">
    <w:name w:val="Margin Edition"/>
    <w:basedOn w:val="MarginNote"/>
    <w:rsid w:val="00D37EDB"/>
    <w:pPr>
      <w:spacing w:before="0" w:after="0"/>
    </w:pPr>
    <w:rPr>
      <w:rFonts w:ascii="Times New Roman" w:hAnsi="Times New Roman"/>
      <w:color w:val="999999"/>
    </w:rPr>
  </w:style>
  <w:style w:type="paragraph" w:customStyle="1" w:styleId="Spacer">
    <w:name w:val="Spacer"/>
    <w:basedOn w:val="Normal"/>
    <w:rsid w:val="00D37EDB"/>
    <w:rPr>
      <w:sz w:val="2"/>
      <w:szCs w:val="2"/>
    </w:rPr>
  </w:style>
  <w:style w:type="character" w:customStyle="1" w:styleId="Small">
    <w:name w:val="Small"/>
    <w:basedOn w:val="DefaultParagraphFont"/>
    <w:rsid w:val="00D37EDB"/>
    <w:rPr>
      <w:sz w:val="16"/>
    </w:rPr>
  </w:style>
  <w:style w:type="paragraph" w:customStyle="1" w:styleId="WideTable">
    <w:name w:val="Wide Table"/>
    <w:basedOn w:val="Normal"/>
    <w:rsid w:val="00D37EDB"/>
    <w:pPr>
      <w:ind w:left="-1418"/>
    </w:pPr>
    <w:rPr>
      <w:sz w:val="2"/>
      <w:szCs w:val="2"/>
    </w:rPr>
  </w:style>
  <w:style w:type="character" w:styleId="PageNumber">
    <w:name w:val="page number"/>
    <w:basedOn w:val="DefaultParagraphFont"/>
    <w:rsid w:val="00D37EDB"/>
  </w:style>
  <w:style w:type="paragraph" w:styleId="Quote">
    <w:name w:val="Quote"/>
    <w:basedOn w:val="Heading1"/>
    <w:link w:val="QuoteChar"/>
    <w:qFormat/>
    <w:rsid w:val="00D37EDB"/>
    <w:rPr>
      <w:b w:val="0"/>
      <w:sz w:val="72"/>
      <w:szCs w:val="72"/>
      <w:lang w:val="en-NZ"/>
    </w:rPr>
  </w:style>
  <w:style w:type="character" w:customStyle="1" w:styleId="QuoteChar">
    <w:name w:val="Quote Char"/>
    <w:basedOn w:val="DefaultParagraphFont"/>
    <w:link w:val="Quote"/>
    <w:rsid w:val="00D37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EDB"/>
    <w:pPr>
      <w:pageBreakBefore/>
    </w:pPr>
  </w:style>
  <w:style w:type="paragraph" w:customStyle="1" w:styleId="Border">
    <w:name w:val="Border"/>
    <w:basedOn w:val="Normal"/>
    <w:qFormat/>
    <w:rsid w:val="00D37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EDB"/>
    <w:rPr>
      <w:b/>
      <w:bCs/>
      <w:i/>
      <w:iCs/>
      <w:color w:val="auto"/>
    </w:rPr>
  </w:style>
  <w:style w:type="paragraph" w:styleId="IntenseQuote">
    <w:name w:val="Intense Quote"/>
    <w:basedOn w:val="Normal"/>
    <w:next w:val="Normal"/>
    <w:link w:val="IntenseQuoteChar"/>
    <w:uiPriority w:val="30"/>
    <w:qFormat/>
    <w:rsid w:val="00D37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EDB"/>
    <w:rPr>
      <w:smallCaps/>
      <w:color w:val="auto"/>
      <w:u w:val="single"/>
    </w:rPr>
  </w:style>
  <w:style w:type="character" w:styleId="IntenseReference">
    <w:name w:val="Intense Reference"/>
    <w:basedOn w:val="DefaultParagraphFont"/>
    <w:uiPriority w:val="32"/>
    <w:qFormat/>
    <w:rsid w:val="00D37EDB"/>
    <w:rPr>
      <w:b/>
      <w:bCs/>
      <w:smallCaps/>
      <w:color w:val="auto"/>
      <w:spacing w:val="5"/>
      <w:u w:val="single"/>
    </w:rPr>
  </w:style>
  <w:style w:type="paragraph" w:customStyle="1" w:styleId="2ColumnHeading">
    <w:name w:val="2Column Heading"/>
    <w:basedOn w:val="BodyText"/>
    <w:qFormat/>
    <w:rsid w:val="00D37EDB"/>
    <w:pPr>
      <w:spacing w:after="60"/>
      <w:ind w:left="-2268"/>
    </w:pPr>
    <w:rPr>
      <w:b/>
    </w:rPr>
  </w:style>
  <w:style w:type="paragraph" w:customStyle="1" w:styleId="Heading1TOC">
    <w:name w:val="Heading1 TOC"/>
    <w:basedOn w:val="Normal"/>
    <w:qFormat/>
    <w:rsid w:val="00D37EDB"/>
    <w:pPr>
      <w:spacing w:before="240" w:after="120"/>
    </w:pPr>
    <w:rPr>
      <w:rFonts w:ascii="Times New Roman" w:hAnsi="Times New Roman"/>
      <w:b/>
      <w:sz w:val="32"/>
    </w:rPr>
  </w:style>
  <w:style w:type="paragraph" w:customStyle="1" w:styleId="Heading2TOC">
    <w:name w:val="Heading2 TOC"/>
    <w:basedOn w:val="Normal"/>
    <w:qFormat/>
    <w:rsid w:val="00D37EDB"/>
    <w:pPr>
      <w:spacing w:before="240" w:after="60"/>
    </w:pPr>
    <w:rPr>
      <w:rFonts w:ascii="Times New Roman" w:hAnsi="Times New Roman"/>
      <w:b/>
      <w:sz w:val="28"/>
    </w:rPr>
  </w:style>
  <w:style w:type="character" w:customStyle="1" w:styleId="Underline">
    <w:name w:val="Underline"/>
    <w:basedOn w:val="DefaultParagraphFont"/>
    <w:qFormat/>
    <w:rsid w:val="00D37EDB"/>
    <w:rPr>
      <w:u w:val="single"/>
    </w:rPr>
  </w:style>
  <w:style w:type="character" w:customStyle="1" w:styleId="BoldandItalics">
    <w:name w:val="Bold and Italics"/>
    <w:qFormat/>
    <w:rsid w:val="00D37EDB"/>
    <w:rPr>
      <w:b/>
      <w:i/>
      <w:u w:val="none"/>
    </w:rPr>
  </w:style>
  <w:style w:type="paragraph" w:styleId="BalloonText">
    <w:name w:val="Balloon Text"/>
    <w:basedOn w:val="Normal"/>
    <w:link w:val="BalloonTextChar"/>
    <w:rsid w:val="00D37EDB"/>
    <w:rPr>
      <w:rFonts w:ascii="Tahoma" w:hAnsi="Tahoma" w:cs="Tahoma"/>
      <w:sz w:val="16"/>
      <w:szCs w:val="16"/>
    </w:rPr>
  </w:style>
  <w:style w:type="character" w:customStyle="1" w:styleId="BalloonTextChar">
    <w:name w:val="Balloon Text Char"/>
    <w:basedOn w:val="DefaultParagraphFont"/>
    <w:link w:val="BalloonText"/>
    <w:rsid w:val="00D37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E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7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EDB"/>
    <w:rPr>
      <w:b/>
      <w:color w:val="660033"/>
      <w:spacing w:val="0"/>
    </w:rPr>
  </w:style>
  <w:style w:type="paragraph" w:customStyle="1" w:styleId="Nameditemlist">
    <w:name w:val="Named item list"/>
    <w:basedOn w:val="BodyText"/>
    <w:qFormat/>
    <w:rsid w:val="00D37E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3382</Words>
  <Characters>21296</Characters>
  <Application>Microsoft Office Word</Application>
  <DocSecurity>0</DocSecurity>
  <Lines>765</Lines>
  <Paragraphs>336</Paragraphs>
  <ScaleCrop>false</ScaleCrop>
  <Company>Author-it Software Corporation Ltd.</Company>
  <LinksUpToDate>false</LinksUpToDate>
  <CharactersWithSpaces>24473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UETTDRIS59A Conduct high potential testing of power system underground power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2012-10-11T18:13:00Z</dcterms:created>
  <dcterms:modified xsi:type="dcterms:W3CDTF">2012-10-11T18:13:00Z</dcterms:modified>
</cp:coreProperties>
</file>