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C55" w:rsidP="00652C55">
      <w:pPr>
        <w:pStyle w:val="Title"/>
      </w:pPr>
      <w:bookmarkStart w:id="0" w:name="_GoBack"/>
      <w:bookmarkEnd w:id="0"/>
      <w:r>
        <w:fldChar w:fldCharType="begin"/>
      </w:r>
      <w:r>
        <w:instrText xml:space="preserve"> TITLE   \* MERGEFORMAT </w:instrText>
      </w:r>
      <w:r>
        <w:fldChar w:fldCharType="separate"/>
      </w:r>
      <w:r>
        <w:t>UETTDRIS57A Conduct visual checking and treatment of power system poles and structures</w:t>
      </w:r>
      <w:r>
        <w:fldChar w:fldCharType="end"/>
      </w:r>
    </w:p>
    <w:p w:rsidR="00652C55" w:rsidP="00652C55">
      <w:pPr>
        <w:pStyle w:val="Version"/>
        <w:sectPr w:rsidSect="00445B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B35" w:rsidP="00445B35">
      <w:pPr>
        <w:pStyle w:val="SuperHeading"/>
      </w:pPr>
      <w:r w:rsidRPr="00445B35">
        <w:t>UETTDRIS57A Conduct visual checking and treatment of power system poles and structures</w:t>
      </w:r>
    </w:p>
    <w:p w:rsidR="00000000" w:rsidRPr="00445B35" w:rsidP="00445B35">
      <w:pPr>
        <w:pStyle w:val="Heading1"/>
      </w:pPr>
      <w:bookmarkStart w:id="1" w:name="O_462701"/>
      <w:bookmarkEnd w:id="1"/>
      <w:r w:rsidRPr="00445B35">
        <w:t>Modification History</w:t>
      </w:r>
    </w:p>
    <w:p w:rsidR="00000000" w:rsidRPr="00445B35" w:rsidP="00445B35">
      <w:pPr>
        <w:pStyle w:val="BodyText"/>
      </w:pPr>
      <w:r w:rsidRPr="00445B35">
        <w:t>Not applicable.</w:t>
      </w:r>
    </w:p>
    <w:p w:rsidR="00000000" w:rsidRPr="00445B35" w:rsidP="00445B35">
      <w:pPr>
        <w:pStyle w:val="AllowPageBreak"/>
      </w:pPr>
    </w:p>
    <w:p w:rsidR="00000000" w:rsidRPr="00445B35" w:rsidP="00445B35">
      <w:pPr>
        <w:pStyle w:val="Heading1"/>
      </w:pPr>
      <w:bookmarkStart w:id="2" w:name="O_462699"/>
      <w:bookmarkEnd w:id="2"/>
      <w:r w:rsidRPr="00445B35">
        <w:t>Unit Desc</w:t>
      </w:r>
      <w:r w:rsidRPr="00445B35">
        <w:t>riptor</w:t>
      </w:r>
    </w:p>
    <w:tbl>
      <w:tblPr>
        <w:tblW w:w="0" w:type="auto"/>
        <w:tblLayout w:type="fixed"/>
        <w:tblCellMar>
          <w:left w:w="62" w:type="dxa"/>
          <w:right w:w="62" w:type="dxa"/>
        </w:tblCellMar>
        <w:tblLook w:val="0000"/>
      </w:tblPr>
      <w:tblGrid>
        <w:gridCol w:w="2700"/>
        <w:gridCol w:w="5760"/>
      </w:tblGrid>
      <w:tr w:rsidTr="00652C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1)</w:t>
            </w:r>
            <w:r w:rsidRPr="00445B35">
              <w:t xml:space="preserve"> </w:t>
            </w:r>
            <w:r w:rsidRPr="00445B35">
              <w:rPr>
                <w:rStyle w:val="SpecialBold"/>
              </w:rPr>
              <w:t>Scope:</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5B3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1.1) Descriptor</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 xml:space="preserve">This Competency Standard Unit covers the conducting of ground line inspection and treatment of poles and structures in accordance with enterprise </w:t>
            </w:r>
            <w:r w:rsidRPr="00445B35">
              <w:t>procedures. It includes work associated with testing or examining, at eye level to below ground and the visual checking above ground of the crossarm and hardware attached with the use of binoculars, so as to determine the integrity of the poles, structures</w:t>
            </w:r>
            <w:r w:rsidRPr="00445B35">
              <w:t xml:space="preserve"> and hardware attached to them. It also encompasses the completion of inspection reports and the updating of records to enterprise requirements.</w:t>
            </w:r>
          </w:p>
        </w:tc>
      </w:tr>
    </w:tbl>
    <w:p w:rsidR="00000000" w:rsidRPr="00445B35" w:rsidP="00445B35">
      <w:pPr>
        <w:pStyle w:val="BodyText"/>
      </w:pPr>
    </w:p>
    <w:p w:rsidR="00000000" w:rsidRPr="00445B35" w:rsidP="00445B35">
      <w:pPr>
        <w:pStyle w:val="AllowPageBreak"/>
      </w:pPr>
    </w:p>
    <w:p w:rsidR="00000000" w:rsidRPr="00445B35" w:rsidP="00445B35">
      <w:pPr>
        <w:pStyle w:val="Heading1"/>
      </w:pPr>
      <w:bookmarkStart w:id="3" w:name="O_462688"/>
      <w:bookmarkEnd w:id="3"/>
      <w:r w:rsidRPr="00445B35">
        <w:t>Application of the Unit</w:t>
      </w:r>
    </w:p>
    <w:tbl>
      <w:tblPr>
        <w:tblW w:w="0" w:type="auto"/>
        <w:tblLayout w:type="fixed"/>
        <w:tblCellMar>
          <w:left w:w="62" w:type="dxa"/>
          <w:right w:w="62" w:type="dxa"/>
        </w:tblCellMar>
        <w:tblLook w:val="0000"/>
      </w:tblPr>
      <w:tblGrid>
        <w:gridCol w:w="2672"/>
        <w:gridCol w:w="5699"/>
      </w:tblGrid>
      <w:tr w:rsidTr="00652C5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2)</w:t>
            </w:r>
          </w:p>
        </w:tc>
      </w:tr>
      <w:tr w:rsidTr="00652C5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This Competency Standard Unit is intended to augment formally acquired competencies. It is suitable for employment-based programs under an approved contract of training.</w:t>
            </w:r>
          </w:p>
        </w:tc>
      </w:tr>
    </w:tbl>
    <w:p w:rsidR="00000000" w:rsidRPr="00445B35" w:rsidP="00445B35">
      <w:pPr>
        <w:pStyle w:val="BodyText"/>
      </w:pPr>
    </w:p>
    <w:p w:rsidR="00000000" w:rsidRPr="00445B35" w:rsidP="00445B35">
      <w:pPr>
        <w:pStyle w:val="AllowPageBreak"/>
      </w:pPr>
    </w:p>
    <w:p w:rsidR="00000000" w:rsidRPr="00445B35" w:rsidP="00445B35">
      <w:pPr>
        <w:pStyle w:val="Heading1"/>
      </w:pPr>
      <w:bookmarkStart w:id="4" w:name="O_462695"/>
      <w:bookmarkEnd w:id="4"/>
      <w:r w:rsidRPr="00445B35">
        <w:t>Licensing/Regulatory Information</w:t>
      </w:r>
    </w:p>
    <w:tbl>
      <w:tblPr>
        <w:tblW w:w="0" w:type="auto"/>
        <w:tblLayout w:type="fixed"/>
        <w:tblCellMar>
          <w:left w:w="62" w:type="dxa"/>
          <w:right w:w="62" w:type="dxa"/>
        </w:tblCellMar>
        <w:tblLook w:val="0000"/>
      </w:tblPr>
      <w:tblGrid>
        <w:gridCol w:w="2700"/>
        <w:gridCol w:w="5760"/>
      </w:tblGrid>
      <w:tr w:rsidTr="00652C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 xml:space="preserve">3)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The skil</w:t>
            </w:r>
            <w:r w:rsidRPr="00445B35">
              <w:t>ls and knowledge described in this unit may require a licence/registration to practice in the work place subject to regulations for undertaking of electrical work. Practice in workplace and during training is also subject to regulations directly related to</w:t>
            </w:r>
            <w:r w:rsidRPr="00445B35">
              <w:t xml:space="preserve"> Occupational Health and </w:t>
            </w:r>
            <w:r w:rsidRPr="00445B35">
              <w:t>Safety, electricity/telecommunications/gas/water industry safety and compliance, industrial relations, environmental protection, anti discrimination and training. Commonwealth, State/Territory or Local Government legislation and re</w:t>
            </w:r>
            <w:r w:rsidRPr="00445B35">
              <w:t>gulations may exist that limits the age of operating certain equipment.</w:t>
            </w:r>
          </w:p>
        </w:tc>
      </w:tr>
    </w:tbl>
    <w:p w:rsidR="00000000" w:rsidRPr="00445B35" w:rsidP="00445B35">
      <w:pPr>
        <w:pStyle w:val="BodyText"/>
      </w:pPr>
    </w:p>
    <w:p w:rsidR="00000000" w:rsidRPr="00445B35" w:rsidP="00445B35">
      <w:pPr>
        <w:pStyle w:val="AllowPageBreak"/>
      </w:pPr>
    </w:p>
    <w:p w:rsidR="00000000" w:rsidRPr="00445B35" w:rsidP="00445B35">
      <w:pPr>
        <w:pStyle w:val="Heading1"/>
      </w:pPr>
      <w:bookmarkStart w:id="5" w:name="O_462696"/>
      <w:bookmarkEnd w:id="5"/>
      <w:r w:rsidRPr="00445B35">
        <w:t>Pre-Requisites</w:t>
      </w:r>
    </w:p>
    <w:tbl>
      <w:tblPr>
        <w:tblW w:w="0" w:type="auto"/>
        <w:tblLayout w:type="fixed"/>
        <w:tblCellMar>
          <w:left w:w="62" w:type="dxa"/>
          <w:right w:w="62" w:type="dxa"/>
        </w:tblCellMar>
        <w:tblLook w:val="0000"/>
      </w:tblPr>
      <w:tblGrid>
        <w:gridCol w:w="2700"/>
        <w:gridCol w:w="1890"/>
        <w:gridCol w:w="3870"/>
      </w:tblGrid>
      <w:tr w:rsidTr="00652C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 xml:space="preserve">4)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4.1)</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Granting of competency in this unit shall be made only after competency in the following unit(s) has/have been confirmed.</w:t>
            </w:r>
          </w:p>
          <w:p w:rsidR="00000000" w:rsidRPr="00445B35" w:rsidP="00445B35">
            <w:pPr>
              <w:pStyle w:val="BodyText"/>
            </w:pPr>
            <w:r w:rsidRPr="00445B35">
              <w:t xml:space="preserve">Where pre-requisite pathways have been identified. All competencies in the Common Unit Group must be have been completed plus all the </w:t>
            </w:r>
            <w:r w:rsidRPr="00445B35">
              <w:t>competencies in one (1) of the identified Pathway Unit Group(s):</w:t>
            </w:r>
          </w:p>
          <w:p w:rsidR="00000000" w:rsidRPr="00445B35" w:rsidP="00445B35">
            <w:pPr>
              <w:pStyle w:val="BodyText"/>
            </w:pPr>
            <w:r w:rsidRPr="00445B35">
              <w:t>Transmission Overhead</w:t>
            </w:r>
          </w:p>
          <w:p w:rsidR="00000000" w:rsidRPr="00445B35" w:rsidP="00445B35">
            <w:pPr>
              <w:pStyle w:val="BodyText"/>
            </w:pPr>
            <w:r w:rsidRPr="00445B35">
              <w:t>Distribution Overhead</w:t>
            </w:r>
          </w:p>
          <w:p w:rsidR="00000000" w:rsidRPr="00445B35" w:rsidP="00445B35">
            <w:pPr>
              <w:pStyle w:val="BodyText"/>
            </w:pPr>
            <w:r w:rsidRPr="00445B35">
              <w:t>Rail Traction</w:t>
            </w:r>
          </w:p>
          <w:p w:rsidR="00000000" w:rsidRPr="00445B35" w:rsidP="00445B35">
            <w:pPr>
              <w:pStyle w:val="BodyText"/>
            </w:pPr>
            <w:r w:rsidRPr="00445B35">
              <w:t>Distribution Cable Jointing</w:t>
            </w:r>
          </w:p>
          <w:p w:rsidR="00000000" w:rsidRPr="00445B35" w:rsidP="00445B35">
            <w:pPr>
              <w:pStyle w:val="BodyText"/>
            </w:pPr>
            <w:r w:rsidRPr="00445B35">
              <w:t>Electrotechnology Systems Electrician</w:t>
            </w:r>
          </w:p>
          <w:p w:rsidR="00000000" w:rsidP="00445B35">
            <w:pPr>
              <w:pStyle w:val="BodyText"/>
              <w:rPr>
                <w:lang w:val="en-NZ"/>
              </w:rPr>
            </w:pPr>
            <w:r w:rsidRPr="00445B35">
              <w:t>Common Unit Group</w:t>
            </w:r>
          </w:p>
        </w:tc>
      </w:tr>
      <w:tr w:rsidTr="00652C55">
        <w:tblPrEx>
          <w:tblW w:w="0" w:type="auto"/>
          <w:tblLayout w:type="fixed"/>
          <w:tblCellMar>
            <w:left w:w="62" w:type="dxa"/>
            <w:right w:w="62" w:type="dxa"/>
          </w:tblCellMar>
          <w:tblLook w:val="0000"/>
        </w:tblPrEx>
        <w:trPr>
          <w:trHeight w:val="5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Unit Code</w:t>
            </w:r>
          </w:p>
        </w:tc>
        <w:tc>
          <w:tcPr>
            <w:tcW w:w="387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Unit Title</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Apply Occupational Health and Safety regulations, codes and practices in the workplace</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UEENEEE102A</w:t>
            </w:r>
          </w:p>
        </w:tc>
        <w:tc>
          <w:tcPr>
            <w:tcW w:w="387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Fabricate, assemble and dismantle utilities industry components</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UEENEEE104A</w:t>
            </w:r>
          </w:p>
        </w:tc>
        <w:tc>
          <w:tcPr>
            <w:tcW w:w="387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Solve problems in d.c. Circuits</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UEENEEE105A</w:t>
            </w:r>
          </w:p>
        </w:tc>
        <w:tc>
          <w:tcPr>
            <w:tcW w:w="387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Fix and secure electrotechnolog</w:t>
            </w:r>
            <w:r w:rsidRPr="00445B35">
              <w:t>y equipment</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UEENEEE107A</w:t>
            </w:r>
          </w:p>
        </w:tc>
        <w:tc>
          <w:tcPr>
            <w:tcW w:w="387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Use drawings, diagrams, schedules, standards, codes and specifications</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UEENEEG101A</w:t>
            </w:r>
          </w:p>
        </w:tc>
        <w:tc>
          <w:tcPr>
            <w:tcW w:w="387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Solve problems in electromagnetic devices and related circuits</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UEENEEG102A</w:t>
            </w:r>
          </w:p>
        </w:tc>
        <w:tc>
          <w:tcPr>
            <w:tcW w:w="387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Solve problems in low voltage a.c. Circuits</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UETTDREL11A</w:t>
            </w:r>
          </w:p>
        </w:tc>
        <w:tc>
          <w:tcPr>
            <w:tcW w:w="387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 xml:space="preserve">Apply sustainable energy and environmental procedures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UETTDREL12A</w:t>
            </w:r>
          </w:p>
        </w:tc>
        <w:tc>
          <w:tcPr>
            <w:tcW w:w="387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 xml:space="preserve">Operate plant and equipment near live electrical conductors and apparatus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UETTDREL16A</w:t>
            </w:r>
          </w:p>
        </w:tc>
        <w:tc>
          <w:tcPr>
            <w:tcW w:w="3870" w:type="dxa"/>
            <w:tcBorders>
              <w:top w:val="nil"/>
              <w:left w:val="nil"/>
              <w:bottom w:val="nil"/>
              <w:right w:val="nil"/>
            </w:tcBorders>
            <w:tcMar>
              <w:top w:w="0" w:type="dxa"/>
              <w:left w:w="62" w:type="dxa"/>
              <w:bottom w:w="0" w:type="dxa"/>
              <w:right w:w="62" w:type="dxa"/>
            </w:tcMar>
            <w:vAlign w:val="center"/>
          </w:tcPr>
          <w:p w:rsidR="00000000" w:rsidP="00445B35">
            <w:pPr>
              <w:pStyle w:val="BodyText"/>
              <w:rPr>
                <w:lang w:val="en-NZ"/>
              </w:rPr>
            </w:pPr>
            <w:r w:rsidRPr="00445B35">
              <w:t xml:space="preserve">Working safely near live electrical apparatus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 xml:space="preserve">Transmission Overhead Pathway Group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Unit Code</w:t>
            </w:r>
          </w:p>
        </w:tc>
        <w:tc>
          <w:tcPr>
            <w:tcW w:w="387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Unit Title</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and maintain poles, structures, overhead conductors and cables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UETTDRTP26A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transmission structures and associated hardware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UETTDRTP27A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Maintain transmission structures and associated hardware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UETTDRTP29A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and maintain transmission overhead conductors and cables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UETTDRTP30A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Inspect transmission overhead structures and electrical apparatus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Distribution Overhead Pathway Group</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Unit Code</w:t>
            </w:r>
          </w:p>
        </w:tc>
        <w:tc>
          <w:tcPr>
            <w:tcW w:w="387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Unit Title</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UETTDRDP11A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Inspect overhead poles/structures and electrical apparatus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UETTDRDP12A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Maintain overhead energised low voltage conductors and cables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UETTDRIS41A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network infrastructure electrical equipment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UETTDRIS42A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Maintain network infrastructure electrical equipment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Install and maintain poles, structures and associated hardware</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and maintain poles, structures, overhead conductors and cables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UETTDRIS56A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and maintain low </w:t>
            </w:r>
            <w:r w:rsidRPr="00445B35">
              <w:t xml:space="preserve">voltage overhead services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Rail Traction Pathway Group</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Unit Code</w:t>
            </w:r>
          </w:p>
        </w:tc>
        <w:tc>
          <w:tcPr>
            <w:tcW w:w="387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Unit Title</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Install and maintain poles, structures and associated hardware</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and maintain poles, structures, overhead conductors and cables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UETTDRRT21A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traction overhead wiring systems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UETTDRRT22A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Maintain traction overhead wiring systems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UETTDRRT23A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rail traction bonds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UETTDRRT27A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overhead traction components and equipment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UETTDRRT28A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Maintain overhead traction components and equipment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Distribution Cable Jointing Pathway Group</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Unit Code</w:t>
            </w:r>
          </w:p>
        </w:tc>
        <w:tc>
          <w:tcPr>
            <w:tcW w:w="387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Unit Title</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UETTDRCJ21A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Lay ESI electrical cables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UETTDRCJ26A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and maintain de-energised low voltage underground polymeric cables.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UETTDRCJ27A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and maintain de-energised high voltage underground polymeric cables.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UETTDRDP11A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Inspect overhead poles/structures and electrical apparatus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UETTDRIS41A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 xml:space="preserve">Install network infrastructure electrical equipment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UETTDRIS42A</w:t>
            </w:r>
          </w:p>
        </w:tc>
        <w:tc>
          <w:tcPr>
            <w:tcW w:w="3870" w:type="dxa"/>
            <w:tcBorders>
              <w:top w:val="nil"/>
              <w:left w:val="nil"/>
              <w:bottom w:val="nil"/>
              <w:right w:val="nil"/>
            </w:tcBorders>
            <w:tcMar>
              <w:top w:w="0" w:type="dxa"/>
              <w:left w:w="62" w:type="dxa"/>
              <w:bottom w:w="0" w:type="dxa"/>
              <w:right w:w="62" w:type="dxa"/>
            </w:tcMar>
            <w:vAlign w:val="bottom"/>
          </w:tcPr>
          <w:p w:rsidR="00000000" w:rsidP="00445B35">
            <w:pPr>
              <w:pStyle w:val="BodyText"/>
              <w:rPr>
                <w:lang w:val="en-NZ"/>
              </w:rPr>
            </w:pPr>
            <w:r w:rsidRPr="00445B35">
              <w:t>Maintain ne</w:t>
            </w:r>
            <w:r w:rsidRPr="00445B35">
              <w:t xml:space="preserve">twork infrastructure electrical equipment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UETTDRIS55A</w:t>
            </w:r>
          </w:p>
        </w:tc>
        <w:tc>
          <w:tcPr>
            <w:tcW w:w="3870" w:type="dxa"/>
            <w:tcBorders>
              <w:top w:val="nil"/>
              <w:left w:val="nil"/>
              <w:bottom w:val="nil"/>
              <w:right w:val="nil"/>
            </w:tcBorders>
            <w:tcMar>
              <w:top w:w="0" w:type="dxa"/>
              <w:left w:w="62" w:type="dxa"/>
              <w:bottom w:w="0" w:type="dxa"/>
              <w:right w:w="62" w:type="dxa"/>
            </w:tcMar>
            <w:vAlign w:val="bottom"/>
          </w:tcPr>
          <w:p w:rsidR="00000000" w:rsidRPr="00445B35" w:rsidP="00445B35">
            <w:pPr>
              <w:pStyle w:val="BodyText"/>
            </w:pPr>
            <w:r w:rsidRPr="00445B35">
              <w:t xml:space="preserve">Install and maintain low voltage underground services </w:t>
            </w:r>
          </w:p>
        </w:tc>
      </w:tr>
    </w:tbl>
    <w:p w:rsidR="00000000" w:rsidRPr="00445B35" w:rsidP="00445B3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52C5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 xml:space="preserve">4.2)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Participants are best equipped to achieve this unit if they have reading, writing and numeracy skills indicated by the following scales. Description of each scale is given in Volume 2, Part 3 “Literacy and Numeracy”</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Reading</w:t>
            </w:r>
          </w:p>
        </w:tc>
        <w:tc>
          <w:tcPr>
            <w:tcW w:w="81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3</w:t>
            </w:r>
          </w:p>
        </w:tc>
        <w:tc>
          <w:tcPr>
            <w:tcW w:w="99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Writing</w:t>
            </w:r>
          </w:p>
        </w:tc>
        <w:tc>
          <w:tcPr>
            <w:tcW w:w="90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3</w:t>
            </w:r>
          </w:p>
        </w:tc>
        <w:tc>
          <w:tcPr>
            <w:tcW w:w="126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Numeracy</w:t>
            </w:r>
          </w:p>
        </w:tc>
        <w:tc>
          <w:tcPr>
            <w:tcW w:w="72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3</w:t>
            </w:r>
          </w:p>
        </w:tc>
      </w:tr>
    </w:tbl>
    <w:p w:rsidR="00000000" w:rsidRPr="00445B35" w:rsidP="00445B35">
      <w:pPr>
        <w:pStyle w:val="BodyText"/>
      </w:pPr>
    </w:p>
    <w:p w:rsidR="00000000" w:rsidRPr="00445B35" w:rsidP="00445B35">
      <w:pPr>
        <w:pStyle w:val="AllowPageBreak"/>
      </w:pPr>
    </w:p>
    <w:p w:rsidR="00000000" w:rsidRPr="00445B35" w:rsidP="00445B35">
      <w:pPr>
        <w:pStyle w:val="Heading1"/>
      </w:pPr>
      <w:bookmarkStart w:id="6" w:name="O_462692"/>
      <w:bookmarkEnd w:id="6"/>
      <w:r w:rsidRPr="00445B35">
        <w:t>Employability Skills Information</w:t>
      </w:r>
    </w:p>
    <w:tbl>
      <w:tblPr>
        <w:tblW w:w="0" w:type="auto"/>
        <w:tblLayout w:type="fixed"/>
        <w:tblCellMar>
          <w:left w:w="62" w:type="dxa"/>
          <w:right w:w="62" w:type="dxa"/>
        </w:tblCellMar>
        <w:tblLook w:val="0000"/>
      </w:tblPr>
      <w:tblGrid>
        <w:gridCol w:w="2700"/>
        <w:gridCol w:w="5760"/>
      </w:tblGrid>
      <w:tr w:rsidTr="00652C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 xml:space="preserve">5)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The required outcomes described in this unit of competency contain applicable facets of Employability Skills. The Employability Skills Summary of the qualification in which this u</w:t>
            </w:r>
            <w:r w:rsidRPr="00445B35">
              <w:t>nit of competency is packaged will assist in identifying Employability Skill requirements.</w:t>
            </w:r>
          </w:p>
        </w:tc>
      </w:tr>
    </w:tbl>
    <w:p w:rsidR="00000000" w:rsidRPr="00445B35" w:rsidP="00445B35">
      <w:pPr>
        <w:pStyle w:val="BodyText"/>
      </w:pPr>
    </w:p>
    <w:p w:rsidR="00000000" w:rsidRPr="00445B35" w:rsidP="00445B35">
      <w:pPr>
        <w:pStyle w:val="AllowPageBreak"/>
      </w:pPr>
    </w:p>
    <w:p w:rsidR="00000000" w:rsidRPr="00445B35" w:rsidP="00445B35">
      <w:pPr>
        <w:pStyle w:val="Heading1"/>
      </w:pPr>
      <w:bookmarkStart w:id="7" w:name="O_462691"/>
      <w:bookmarkEnd w:id="7"/>
      <w:r w:rsidRPr="00445B35">
        <w:t>Elements and Performance Criteria Pre-Content</w:t>
      </w:r>
    </w:p>
    <w:tbl>
      <w:tblPr>
        <w:tblW w:w="0" w:type="auto"/>
        <w:tblLayout w:type="fixed"/>
        <w:tblCellMar>
          <w:left w:w="62" w:type="dxa"/>
          <w:right w:w="62" w:type="dxa"/>
        </w:tblCellMar>
        <w:tblLook w:val="0000"/>
      </w:tblPr>
      <w:tblGrid>
        <w:gridCol w:w="2700"/>
        <w:gridCol w:w="5760"/>
      </w:tblGrid>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6)</w:t>
            </w:r>
            <w:r w:rsidRPr="00445B3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Performance Criteria describe the required performance needed to demonstrate achievement of the element. Assessment of performance is to be consistent with the Evidence Guide.</w:t>
            </w:r>
          </w:p>
        </w:tc>
      </w:tr>
    </w:tbl>
    <w:p w:rsidR="00000000" w:rsidRPr="00445B35" w:rsidP="00445B35">
      <w:pPr>
        <w:pStyle w:val="BodyText"/>
      </w:pPr>
    </w:p>
    <w:p w:rsidR="00000000" w:rsidRPr="00445B35" w:rsidP="00445B35">
      <w:pPr>
        <w:pStyle w:val="AllowPageBreak"/>
      </w:pPr>
    </w:p>
    <w:p w:rsidR="00000000" w:rsidRPr="00445B35" w:rsidP="00445B35">
      <w:pPr>
        <w:pStyle w:val="Heading1"/>
      </w:pPr>
      <w:bookmarkStart w:id="8" w:name="O_462690"/>
      <w:bookmarkEnd w:id="8"/>
      <w:r w:rsidRPr="00445B35">
        <w:t>Elements and Performance Criteria</w:t>
      </w:r>
    </w:p>
    <w:tbl>
      <w:tblPr>
        <w:tblW w:w="0" w:type="auto"/>
        <w:tblLayout w:type="fixed"/>
        <w:tblCellMar>
          <w:left w:w="62" w:type="dxa"/>
          <w:right w:w="62" w:type="dxa"/>
        </w:tblCellMar>
        <w:tblLook w:val="0000"/>
      </w:tblPr>
      <w:tblGrid>
        <w:gridCol w:w="412"/>
        <w:gridCol w:w="2288"/>
        <w:gridCol w:w="953"/>
        <w:gridCol w:w="4807"/>
      </w:tblGrid>
      <w:tr w:rsidTr="00652C5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PERFORMANCE CRITER</w:t>
            </w:r>
            <w:r w:rsidRPr="00445B35">
              <w:rPr>
                <w:rStyle w:val="SpecialBold"/>
              </w:rPr>
              <w:t>IA</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w:t>
            </w:r>
          </w:p>
        </w:tc>
        <w:tc>
          <w:tcPr>
            <w:tcW w:w="2288"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Prepare to perform visual checking and treatment of poles and structures</w:t>
            </w: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1.1</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 xml:space="preserve">Works schedule(s), including drawings, plans, requirements, established procedures, and material lists, are received, analysed and confirmed, </w:t>
            </w:r>
            <w:r w:rsidRPr="00445B35">
              <w:t>if necessary, by site inspection.</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1.2</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Relevant requirements and established procedures for the work are communicated to all personnel and identified for all work sites.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1.3</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OHS policies and procedures related to requirements and established procedure</w:t>
            </w:r>
            <w:r w:rsidRPr="00445B35">
              <w:t>s for the visual checking and treatment of poles and structures are obtained and confirmed for the purposes of the work to be performed and communicated.</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1.4</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Work is prioritised and sequenced following consultation with others for completion within acceptable timeframes and in accordance with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1.5</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Hazards are identified, OHS risks assessed and control measures are prioritised, implemen</w:t>
            </w:r>
            <w:r w:rsidRPr="00445B35">
              <w:t>ted and monitored including emergency exits kept clear according to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1.6</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Relevant work permits are obtained to access and perform work according to requirements and/or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1.7</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 xml:space="preserve">Resources including personnel, </w:t>
            </w:r>
            <w:r w:rsidRPr="00445B35">
              <w:t>equipment, tools and personal protective equipment required for the job are obtained and confirmed in working order.</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1.8</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Relevant personnel at worksite are confirmed current in First Aid, Rescue and other related work procedures according to requirements.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1.9</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Liaison and communication issues with other/authorised personnel, authorities, clients and land owners are resolve</w:t>
            </w:r>
            <w:r w:rsidRPr="00445B35">
              <w:t>d to carry out work where necessary.</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1.10</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Site is prepared according to the work schedule and to minimise risk and damage to property, commerce, and individuals in accordance with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1.11</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Personnel participating in the work, incl</w:t>
            </w:r>
            <w:r w:rsidRPr="00445B35">
              <w:t>uding plant operators and contractors, are fully briefed and respective responsibilities confirmed where applicable in accordance with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1.12</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Road signs, barriers and warning devices are positioned in accordance with requirements.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w:t>
            </w:r>
          </w:p>
        </w:tc>
        <w:tc>
          <w:tcPr>
            <w:tcW w:w="2288"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Carry out visual checking and treatment of poles and structures</w:t>
            </w: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2.1</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OHS and sustainable energy principles and practices to reduce the incidents of accidents and minimise waste are monitored and followed in accordance with requirements and/or established</w:t>
            </w:r>
            <w:r w:rsidRPr="00445B35">
              <w:t xml:space="preserve">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2.2</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Lifting, and use of power tools/equipment, techniques and practices are safely followed and, currency according to requirements confirmed.</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2.3</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Essential knowledge and associated kills are applied for the safe performance of visual ch</w:t>
            </w:r>
            <w:r w:rsidRPr="00445B35">
              <w:t>ecking and treatment of poles and structures to ensure completion in an agreed timeframe and, to quality standards with a minimum of waste according to requirements.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2.4</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 xml:space="preserve">Hazard warnings and safety signs are recognised and hazards and assessed OHS risks </w:t>
            </w:r>
            <w:r w:rsidRPr="00445B35">
              <w:t>are reported to the immediate authorised persons for directions according to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2.5</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 xml:space="preserve">Visual checking by testing or examining pole and/or structures from approximately eye level to below ground according is performed .to requirements </w:t>
            </w:r>
            <w:r w:rsidRPr="00445B35">
              <w:t>and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2.6</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Defective or suspect poles are identified according to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2.7</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Treatment of poles and/or structures is carried out, in accordance with the work schedule and requirements/established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w:t>
            </w:r>
            <w:r w:rsidRPr="00445B35">
              <w:t>.8</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Unplanned events during the visual checking and treatment of poles and structures are undertaken within the scope of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2.9</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Known solutions to a variety of problems are applied using acquired essential knowledge and associated skills.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2.10</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Ongoing checks of quality of the work are undertaken in accordance with instructions and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3</w:t>
            </w:r>
          </w:p>
        </w:tc>
        <w:tc>
          <w:tcPr>
            <w:tcW w:w="2288"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Complete the visual c</w:t>
            </w:r>
            <w:r w:rsidRPr="00445B35">
              <w:t>hecking and treatment of poles and structures</w:t>
            </w: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3.1</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Work undertaken is checked against works schedule for conformance with requirements and anomalies reported in accordance with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3.2</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Accidents and/or injuries are reported in accorda</w:t>
            </w:r>
            <w:r w:rsidRPr="00445B35">
              <w:t>nce with requirements/established procedures, where applicable.</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3.3</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Work site is rehabilitated, cleaned up and made safe in accordance with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3.4</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Tools, equipment and any surplus resources and materials are, where appropriate, cleaned, checked and returned to storage in accordance with established procedures.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3.5</w:t>
            </w:r>
          </w:p>
        </w:tc>
        <w:tc>
          <w:tcPr>
            <w:tcW w:w="4807"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 xml:space="preserve">Relevant work permit(s) are signed off and, of poles and structures are returned to </w:t>
            </w:r>
            <w:r w:rsidRPr="00445B35">
              <w:t>service in accordance with requirements.</w:t>
            </w:r>
          </w:p>
        </w:tc>
      </w:tr>
      <w:tr w:rsidTr="00652C55">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t>3.6</w:t>
            </w:r>
          </w:p>
        </w:tc>
        <w:tc>
          <w:tcPr>
            <w:tcW w:w="4807"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Works completion records, reports, as installed /modified drawing and/or documentation and information are finalised and processed and appropriate personnel notified.</w:t>
            </w:r>
          </w:p>
        </w:tc>
      </w:tr>
    </w:tbl>
    <w:p w:rsidR="00000000" w:rsidRPr="00445B35" w:rsidP="00445B35">
      <w:pPr>
        <w:pStyle w:val="BodyText"/>
      </w:pPr>
    </w:p>
    <w:p w:rsidR="00000000" w:rsidRPr="00445B35" w:rsidP="00445B35">
      <w:pPr>
        <w:pStyle w:val="AllowPageBreak"/>
      </w:pPr>
    </w:p>
    <w:p w:rsidR="00000000" w:rsidRPr="00445B35" w:rsidP="00445B35">
      <w:pPr>
        <w:pStyle w:val="Heading1"/>
      </w:pPr>
      <w:bookmarkStart w:id="9" w:name="O_462698"/>
      <w:bookmarkEnd w:id="9"/>
      <w:r w:rsidRPr="00445B35">
        <w:t>Required Skills and Kn</w:t>
      </w:r>
      <w:r w:rsidRPr="00445B35">
        <w:t>owledge</w:t>
      </w:r>
    </w:p>
    <w:tbl>
      <w:tblPr>
        <w:tblW w:w="0" w:type="auto"/>
        <w:tblLayout w:type="fixed"/>
        <w:tblCellMar>
          <w:left w:w="62" w:type="dxa"/>
          <w:right w:w="62" w:type="dxa"/>
        </w:tblCellMar>
        <w:tblLook w:val="0000"/>
      </w:tblPr>
      <w:tblGrid>
        <w:gridCol w:w="8460"/>
      </w:tblGrid>
      <w:tr w:rsidTr="00652C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REQUIRED SKILLS AND KNOWLEDGE</w:t>
            </w:r>
          </w:p>
        </w:tc>
      </w:tr>
      <w:tr w:rsidTr="00652C5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8)</w:t>
            </w:r>
            <w:r w:rsidRPr="00445B35">
              <w:t xml:space="preserve"> Essential Knowledge and Associated Skills (EKAS): This describes the essential skills and knowledge and their level, required for this unit.</w:t>
            </w:r>
          </w:p>
          <w:p w:rsidR="00000000" w:rsidRPr="00445B35" w:rsidP="00445B35">
            <w:pPr>
              <w:pStyle w:val="BodyText"/>
            </w:pPr>
            <w:r w:rsidRPr="00445B35">
              <w:t xml:space="preserve">Evidence shall show that knowledge has been acquired of conducting visual checking and treatment of poles and structures. </w:t>
            </w:r>
          </w:p>
          <w:p w:rsidR="00000000" w:rsidRPr="00445B35" w:rsidP="00445B35">
            <w:pPr>
              <w:pStyle w:val="BodyText"/>
            </w:pPr>
            <w:r w:rsidRPr="00445B35">
              <w:t>All knowledge and skills detailed in this unit should be contextualised to current industry practices and technologies.</w:t>
            </w:r>
          </w:p>
          <w:p w:rsidR="00000000" w:rsidRPr="00445B35" w:rsidP="00445B35">
            <w:pPr>
              <w:pStyle w:val="BodyText"/>
            </w:pPr>
            <w:r w:rsidRPr="00445B35">
              <w:t xml:space="preserve">KS01-TIS57A </w:t>
            </w:r>
            <w:r w:rsidRPr="00445B35">
              <w:tab/>
            </w:r>
            <w:r w:rsidRPr="00445B35">
              <w:t>Testing and treatment of poles and structures</w:t>
            </w:r>
          </w:p>
          <w:p w:rsidR="00000000" w:rsidRPr="00445B35" w:rsidP="00445B35">
            <w:pPr>
              <w:pStyle w:val="BodyText"/>
            </w:pPr>
            <w:r w:rsidRPr="00445B35">
              <w:t>Evidence shall show an understanding of the inspection of poles and overhead lines to an extent indicated by the following aspects:</w:t>
            </w:r>
          </w:p>
          <w:p w:rsidR="00000000" w:rsidRPr="00445B35" w:rsidP="00445B35">
            <w:pPr>
              <w:pStyle w:val="BodyText"/>
            </w:pPr>
            <w:r w:rsidRPr="00445B35">
              <w:t>T1</w:t>
            </w:r>
            <w:r w:rsidRPr="00445B35">
              <w:tab/>
              <w:t>Standards, codes, legislation, supply authority regulations and or enterpri</w:t>
            </w:r>
            <w:r w:rsidRPr="00445B35">
              <w:t xml:space="preserve">se requirements </w:t>
            </w:r>
          </w:p>
          <w:p w:rsidR="00000000" w:rsidRPr="00445B35" w:rsidP="00445B35">
            <w:pPr>
              <w:pStyle w:val="BodyText"/>
            </w:pPr>
            <w:r w:rsidRPr="00445B35">
              <w:t>T2</w:t>
            </w:r>
            <w:r w:rsidRPr="00445B35">
              <w:tab/>
              <w:t xml:space="preserve">Chemical treatment principles encompassing: </w:t>
            </w:r>
          </w:p>
          <w:p w:rsidR="00000000" w:rsidRPr="00445B35" w:rsidP="00445B35">
            <w:pPr>
              <w:pStyle w:val="ListBullet"/>
            </w:pPr>
            <w:r w:rsidRPr="00445B35">
              <w:t xml:space="preserve">Types of chemical used to treat timber </w:t>
            </w:r>
          </w:p>
          <w:p w:rsidR="00000000" w:rsidRPr="00445B35" w:rsidP="00445B35">
            <w:pPr>
              <w:pStyle w:val="ListBullet"/>
            </w:pPr>
            <w:r w:rsidRPr="00445B35">
              <w:t xml:space="preserve">Regulations and procedures in handling and transporting chemicals safely </w:t>
            </w:r>
          </w:p>
          <w:p w:rsidR="00000000" w:rsidRPr="00445B35" w:rsidP="00445B35">
            <w:pPr>
              <w:pStyle w:val="ListBullet"/>
            </w:pPr>
            <w:r w:rsidRPr="00445B35">
              <w:t xml:space="preserve">Application procedures of chemicals to wood </w:t>
            </w:r>
          </w:p>
          <w:p w:rsidR="00000000" w:rsidRPr="00445B35" w:rsidP="00445B35">
            <w:pPr>
              <w:pStyle w:val="BodyText"/>
            </w:pPr>
            <w:r w:rsidRPr="00445B35">
              <w:t>T3</w:t>
            </w:r>
            <w:r w:rsidRPr="00445B35">
              <w:tab/>
              <w:t>Deterioration prevention tech</w:t>
            </w:r>
            <w:r w:rsidRPr="00445B35">
              <w:t xml:space="preserve">niques encompassing: </w:t>
            </w:r>
          </w:p>
          <w:p w:rsidR="00000000" w:rsidRPr="00445B35" w:rsidP="00445B35">
            <w:pPr>
              <w:pStyle w:val="ListBullet"/>
            </w:pPr>
            <w:r w:rsidRPr="00445B35">
              <w:t xml:space="preserve">Relationship between steel, concrete and wood </w:t>
            </w:r>
          </w:p>
          <w:p w:rsidR="00000000" w:rsidRPr="00445B35" w:rsidP="00445B35">
            <w:pPr>
              <w:pStyle w:val="ListBullet"/>
            </w:pPr>
            <w:r w:rsidRPr="00445B35">
              <w:t xml:space="preserve">Inspection procedures for deterioration </w:t>
            </w:r>
          </w:p>
          <w:p w:rsidR="00000000" w:rsidRPr="00445B35" w:rsidP="00445B35">
            <w:pPr>
              <w:pStyle w:val="ListBullet"/>
            </w:pPr>
            <w:r w:rsidRPr="00445B35">
              <w:t xml:space="preserve">Deterioration prevention procedures in steel, concrete and wood </w:t>
            </w:r>
          </w:p>
          <w:p w:rsidR="00000000" w:rsidRPr="00445B35" w:rsidP="00445B35">
            <w:pPr>
              <w:pStyle w:val="ListBullet"/>
            </w:pPr>
            <w:r w:rsidRPr="00445B35">
              <w:t xml:space="preserve">Procedures for the repair of deterioration in steel, concrete and wood </w:t>
            </w:r>
          </w:p>
        </w:tc>
      </w:tr>
    </w:tbl>
    <w:p w:rsidR="00000000" w:rsidRPr="00445B35" w:rsidP="00445B35">
      <w:pPr>
        <w:pStyle w:val="BodyText"/>
      </w:pPr>
    </w:p>
    <w:p w:rsidR="00000000" w:rsidRPr="00445B35" w:rsidP="00445B35">
      <w:pPr>
        <w:pStyle w:val="AllowPageBreak"/>
      </w:pPr>
    </w:p>
    <w:p w:rsidR="00000000" w:rsidRPr="00445B35" w:rsidP="00445B35">
      <w:pPr>
        <w:pStyle w:val="Heading1"/>
      </w:pPr>
      <w:bookmarkStart w:id="10" w:name="O_462693"/>
      <w:bookmarkEnd w:id="10"/>
      <w:r w:rsidRPr="00445B35">
        <w:t>Evidence Guide</w:t>
      </w:r>
    </w:p>
    <w:tbl>
      <w:tblPr>
        <w:tblW w:w="0" w:type="auto"/>
        <w:tblLayout w:type="fixed"/>
        <w:tblCellMar>
          <w:left w:w="62" w:type="dxa"/>
          <w:right w:w="62" w:type="dxa"/>
        </w:tblCellMar>
        <w:tblLook w:val="0000"/>
      </w:tblPr>
      <w:tblGrid>
        <w:gridCol w:w="8460"/>
      </w:tblGrid>
      <w:tr w:rsidTr="00652C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EVIDENCE GUIDE</w:t>
            </w:r>
          </w:p>
        </w:tc>
      </w:tr>
      <w:tr w:rsidTr="00652C5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9)</w:t>
            </w:r>
            <w:r w:rsidRPr="00445B35">
              <w:t xml:space="preserve"> This provides essential advice for assessment of the unit of competency and must be read in conjunction with the Performance Criteria and the range statement of the unit of competency and the Training Packa</w:t>
            </w:r>
            <w:r w:rsidRPr="00445B35">
              <w:t>ge Assessment Guidelines.</w:t>
            </w:r>
          </w:p>
          <w:p w:rsidR="00000000" w:rsidRPr="00445B35" w:rsidP="00445B35">
            <w:pPr>
              <w:pStyle w:val="BodyText"/>
            </w:pPr>
            <w:r w:rsidRPr="00445B35">
              <w:t>The Evidence Guide forms an integral part of this Competency Standard Unit and shall be used in conjunction with all component parts of this unit and, performed in accordance with the Assessment Guidelines of this Training Package</w:t>
            </w:r>
            <w:r w:rsidRPr="00445B35">
              <w:t>.</w:t>
            </w:r>
          </w:p>
        </w:tc>
      </w:tr>
    </w:tbl>
    <w:p w:rsidR="00000000" w:rsidRPr="00445B35" w:rsidP="00445B35">
      <w:pPr>
        <w:pStyle w:val="BodyText"/>
      </w:pPr>
    </w:p>
    <w:tbl>
      <w:tblPr>
        <w:tblW w:w="0" w:type="auto"/>
        <w:tblLayout w:type="fixed"/>
        <w:tblCellMar>
          <w:left w:w="62" w:type="dxa"/>
          <w:right w:w="62" w:type="dxa"/>
        </w:tblCellMar>
        <w:tblLook w:val="0000"/>
      </w:tblPr>
      <w:tblGrid>
        <w:gridCol w:w="1890"/>
        <w:gridCol w:w="6570"/>
      </w:tblGrid>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9.1)</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 xml:space="preserve">Longitudinal competency development approaches to assessment, such as Profiling, require data to be reliably gathered in a form that can be </w:t>
            </w:r>
            <w:r w:rsidRPr="00445B35">
              <w:t>consistently interpreted over time. This approach is best utilised in Apprenticeship programs and reduces assessment intervention. It is the Industry’s preferred model for apprenticeships. However, where summative (or final) assessment is used it is to inc</w:t>
            </w:r>
            <w:r w:rsidRPr="00445B35">
              <w:t>lude the application of the competency in the normal work environment or, at a minimum, the application of the competency in a realistically simulated work environment. It is recognised that, in some circumstances, assessment in part or full can occur outs</w:t>
            </w:r>
            <w:r w:rsidRPr="00445B35">
              <w:t>ide the workplace. However, it must be in accord with Industry and, Regulatory policy in this regard.</w:t>
            </w:r>
          </w:p>
          <w:p w:rsidR="00000000" w:rsidRPr="00445B35" w:rsidP="00445B35">
            <w:pPr>
              <w:pStyle w:val="BodyText"/>
            </w:pPr>
            <w:r w:rsidRPr="00445B35">
              <w:t>Methods chosen for a particular assessment will be influenced by various factors. These include the extent of the assessment, the most effective locations</w:t>
            </w:r>
            <w:r w:rsidRPr="00445B35">
              <w:t xml:space="preserve"> for the assessment activities to take place, access to physical resources, additional safety measures that may be required and the critical nature of the competencies being assessed.</w:t>
            </w:r>
          </w:p>
          <w:p w:rsidR="00000000" w:rsidRPr="00445B35" w:rsidP="00445B35">
            <w:pPr>
              <w:pStyle w:val="BodyText"/>
            </w:pPr>
            <w:r w:rsidRPr="00445B35">
              <w:t>The critical safety nature of working with electricity, electrical equip</w:t>
            </w:r>
            <w:r w:rsidRPr="00445B35">
              <w:t>ment, gas or any other hazardous substance/material carries risk in deeming a person competent. Hence, sources of evidence need to be ‘rich’ in nature so as to minimise error in judgment.</w:t>
            </w:r>
          </w:p>
          <w:p w:rsidR="00000000" w:rsidRPr="00445B35" w:rsidP="00445B35">
            <w:pPr>
              <w:pStyle w:val="BodyText"/>
            </w:pPr>
            <w:r w:rsidRPr="00445B35">
              <w:t>Activities associated with normal every day work have a bearing on t</w:t>
            </w:r>
            <w:r w:rsidRPr="00445B35">
              <w:t>he decision as to how much and how detailed the data gathered will contribute to its ‘richness’. Some skills are more critical to safety and operational requirements while the same skills may be more or less frequently practiced. These points are raised fo</w:t>
            </w:r>
            <w:r w:rsidRPr="00445B35">
              <w:t>r the assessors to consider when choosing an assessment method and developing assessment instruments. Sample assessment instruments are included for Assessors in the Assessment Guidelines of this Training Package.</w:t>
            </w:r>
          </w:p>
        </w:tc>
      </w:tr>
    </w:tbl>
    <w:p w:rsidR="00000000" w:rsidRPr="00445B35" w:rsidP="00445B3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Critical aspects of evidence required to</w:t>
            </w:r>
            <w:r w:rsidRPr="00445B35">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9.2)</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Before the critical aspects of evidence are considered all prerequisites shall be met.</w:t>
            </w:r>
          </w:p>
          <w:p w:rsidR="00000000" w:rsidRPr="00445B35" w:rsidP="00445B35">
            <w:pPr>
              <w:pStyle w:val="BodyText"/>
            </w:pPr>
            <w:r w:rsidRPr="00445B35">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445B35" w:rsidP="00445B35">
            <w:pPr>
              <w:pStyle w:val="ListBullet"/>
            </w:pPr>
            <w:r w:rsidRPr="00445B35">
              <w:t xml:space="preserve">A </w:t>
            </w:r>
            <w:r w:rsidRPr="00445B35">
              <w:t>representative body of Performance Criteria demonstrated within the timeframes typically expected of the discipline, work function and industrial environment. In particular this shall incorporate evidence that shows a candidate is able to:</w:t>
            </w:r>
          </w:p>
          <w:p w:rsidR="00000000" w:rsidRPr="00445B35" w:rsidP="00445B35">
            <w:pPr>
              <w:pStyle w:val="ListBullet2"/>
            </w:pPr>
            <w:r w:rsidRPr="00445B35">
              <w:t>Implement Occup</w:t>
            </w:r>
            <w:r w:rsidRPr="00445B35">
              <w:t>ational Health and Safety workplace procedures and practices including the use of risk control measures as specified in the Performance Criteria and range; and</w:t>
            </w:r>
          </w:p>
          <w:p w:rsidR="00000000" w:rsidRPr="00445B35" w:rsidP="00445B35">
            <w:pPr>
              <w:pStyle w:val="ListBullet2"/>
            </w:pPr>
            <w:r w:rsidRPr="00445B35">
              <w:t>Apply sustainable energy principles and practices as specified in the Performance Criteria and r</w:t>
            </w:r>
            <w:r w:rsidRPr="00445B35">
              <w:t>ange; and</w:t>
            </w:r>
          </w:p>
          <w:p w:rsidR="00000000" w:rsidRPr="00445B35" w:rsidP="00445B35">
            <w:pPr>
              <w:pStyle w:val="ListBullet2"/>
            </w:pPr>
            <w:r w:rsidRPr="00445B35">
              <w:t>Demonstrate an understanding of the essential knowledge and associated skills as described in this unit to such an extent that the learner’s performance outcome is reported in accordance with the preferred approach; namely a percentile graded res</w:t>
            </w:r>
            <w:r w:rsidRPr="00445B35">
              <w:t>ult, where required by the regulated environment; and</w:t>
            </w:r>
          </w:p>
          <w:p w:rsidR="00000000" w:rsidRPr="00445B35" w:rsidP="00445B35">
            <w:pPr>
              <w:pStyle w:val="ListBullet2"/>
            </w:pPr>
            <w:r w:rsidRPr="00445B35">
              <w:t>Demonstrate an appropriate level of employability skills; and</w:t>
            </w:r>
          </w:p>
          <w:p w:rsidR="00000000" w:rsidRPr="00445B35" w:rsidP="00445B35">
            <w:pPr>
              <w:pStyle w:val="ListBullet"/>
            </w:pPr>
            <w:r w:rsidRPr="00445B35">
              <w:t>Conduct work observing the relevant Anti Discrimination legislation, regulations, policies and workplace procedures; and</w:t>
            </w:r>
          </w:p>
          <w:p w:rsidR="00000000" w:rsidP="00445B35">
            <w:pPr>
              <w:pStyle w:val="ListBullet2"/>
              <w:rPr>
                <w:lang w:val="en-NZ"/>
              </w:rPr>
            </w:pPr>
            <w:r w:rsidRPr="00445B35">
              <w:t>Demonstrated perfo</w:t>
            </w:r>
            <w:r w:rsidRPr="00445B35">
              <w:t>rmance across a representative range of contexts from the prescribed items below:</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45B3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rPr>
                <w:rStyle w:val="SpecialBold"/>
              </w:rPr>
              <w:t>Range of tools/equipment/materials/procedures/workplaces/other variables</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45B3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35" w:rsidP="00445B35">
            <w:pPr>
              <w:pStyle w:val="BodyText"/>
            </w:pPr>
            <w:r w:rsidRPr="00445B3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35" w:rsidP="00445B35">
            <w:pPr>
              <w:pStyle w:val="BodyText"/>
            </w:pPr>
            <w:r w:rsidRPr="00445B3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rPr>
                <w:rStyle w:val="SpecialBold"/>
              </w:rPr>
              <w:t>Item List</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35" w:rsidP="00445B35">
            <w:pPr>
              <w:pStyle w:val="BodyText"/>
            </w:pPr>
            <w:r w:rsidRPr="00445B35">
              <w:t>Wood</w:t>
            </w:r>
          </w:p>
          <w:p w:rsidR="00000000" w:rsidRPr="00445B35" w:rsidP="00445B35">
            <w:pPr>
              <w:pStyle w:val="BodyText"/>
            </w:pPr>
            <w:r w:rsidRPr="00445B35">
              <w:t>Steel</w:t>
            </w:r>
          </w:p>
          <w:p w:rsidR="00000000" w:rsidRPr="00445B35" w:rsidP="00445B35">
            <w:pPr>
              <w:pStyle w:val="BodyText"/>
            </w:pPr>
            <w:r w:rsidRPr="00445B35">
              <w:t>Concrete</w:t>
            </w:r>
          </w:p>
          <w:p w:rsidR="00000000" w:rsidP="00445B35">
            <w:pPr>
              <w:pStyle w:val="BodyText"/>
              <w:rPr>
                <w:lang w:val="en-NZ"/>
              </w:rPr>
            </w:pPr>
            <w:r w:rsidRPr="00445B35">
              <w:t>Composite</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35" w:rsidP="00445B35">
            <w:pPr>
              <w:pStyle w:val="BodyText"/>
            </w:pPr>
            <w:r w:rsidRPr="00445B35">
              <w:t>Stress tester</w:t>
            </w:r>
          </w:p>
          <w:p w:rsidR="00000000" w:rsidRPr="00445B35" w:rsidP="00445B35">
            <w:pPr>
              <w:pStyle w:val="BodyText"/>
            </w:pPr>
            <w:r w:rsidRPr="00445B35">
              <w:t>Drill test.</w:t>
            </w:r>
          </w:p>
          <w:p w:rsidR="00000000" w:rsidP="00445B35">
            <w:pPr>
              <w:pStyle w:val="BodyText"/>
              <w:rPr>
                <w:lang w:val="en-NZ"/>
              </w:rPr>
            </w:pPr>
            <w:r w:rsidRPr="00445B35">
              <w:t>Non intrusive test</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35" w:rsidP="00445B35">
            <w:pPr>
              <w:pStyle w:val="BodyText"/>
            </w:pPr>
            <w:r w:rsidRPr="00445B35">
              <w:t>Chemical treatment</w:t>
            </w:r>
          </w:p>
          <w:p w:rsidR="00000000" w:rsidRPr="00445B35" w:rsidP="00445B35">
            <w:pPr>
              <w:pStyle w:val="BodyText"/>
            </w:pPr>
            <w:r w:rsidRPr="00445B35">
              <w:t>Re-butting</w:t>
            </w:r>
          </w:p>
          <w:p w:rsidR="00000000" w:rsidRPr="00445B35" w:rsidP="00445B35">
            <w:pPr>
              <w:pStyle w:val="BodyText"/>
            </w:pPr>
            <w:r w:rsidRPr="00445B35">
              <w:t>Nailing</w:t>
            </w:r>
          </w:p>
          <w:p w:rsidR="00000000" w:rsidRPr="00445B35" w:rsidP="00445B35">
            <w:pPr>
              <w:pStyle w:val="BodyText"/>
            </w:pPr>
            <w:r w:rsidRPr="00445B35">
              <w:t>Welding</w:t>
            </w:r>
          </w:p>
          <w:p w:rsidR="00000000" w:rsidP="00445B35">
            <w:pPr>
              <w:pStyle w:val="BodyText"/>
              <w:rPr>
                <w:lang w:val="en-NZ"/>
              </w:rPr>
            </w:pPr>
            <w:r w:rsidRPr="00445B35">
              <w:t>Stays/guys</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35" w:rsidP="00445B35">
            <w:pPr>
              <w:pStyle w:val="BodyText"/>
            </w:pPr>
            <w:r w:rsidRPr="00445B35">
              <w:t>Recording</w:t>
            </w:r>
          </w:p>
          <w:p w:rsidR="00000000" w:rsidP="00445B35">
            <w:pPr>
              <w:pStyle w:val="BodyText"/>
              <w:rPr>
                <w:lang w:val="en-NZ"/>
              </w:rPr>
            </w:pPr>
            <w:r w:rsidRPr="00445B35">
              <w:t>Reporting</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35" w:rsidP="00445B35">
            <w:pPr>
              <w:pStyle w:val="BodyText"/>
            </w:pPr>
            <w:r w:rsidRPr="00445B35">
              <w:t>Cross-arms</w:t>
            </w:r>
          </w:p>
          <w:p w:rsidR="00000000" w:rsidRPr="00445B35" w:rsidP="00445B35">
            <w:pPr>
              <w:pStyle w:val="BodyText"/>
            </w:pPr>
            <w:r w:rsidRPr="00445B35">
              <w:t>Insulators</w:t>
            </w:r>
          </w:p>
          <w:p w:rsidR="00000000" w:rsidRPr="00445B35" w:rsidP="00445B35">
            <w:pPr>
              <w:pStyle w:val="BodyText"/>
            </w:pPr>
            <w:r w:rsidRPr="00445B35">
              <w:t>Surge arrestors</w:t>
            </w:r>
          </w:p>
          <w:p w:rsidR="00000000" w:rsidP="00445B35">
            <w:pPr>
              <w:pStyle w:val="BodyText"/>
              <w:rPr>
                <w:lang w:val="en-NZ"/>
              </w:rPr>
            </w:pPr>
            <w:r w:rsidRPr="00445B35">
              <w:t>Support brackets</w:t>
            </w:r>
          </w:p>
        </w:tc>
      </w:tr>
      <w:tr w:rsidTr="00652C55">
        <w:tblPrEx>
          <w:tblW w:w="0" w:type="auto"/>
          <w:tblLayout w:type="fixed"/>
          <w:tblCellMar>
            <w:left w:w="62" w:type="dxa"/>
            <w:right w:w="62" w:type="dxa"/>
          </w:tblCellMar>
          <w:tblLook w:val="0000"/>
        </w:tblPrEx>
        <w:trPr>
          <w:trHeight w:val="182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B35">
            <w:pPr>
              <w:pStyle w:val="BodyText"/>
              <w:rPr>
                <w:lang w:val="en-NZ"/>
              </w:rPr>
            </w:pPr>
            <w:r w:rsidRPr="00445B35">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B35" w:rsidP="00445B35">
            <w:pPr>
              <w:pStyle w:val="BodyText"/>
            </w:pPr>
            <w:r w:rsidRPr="00445B35">
              <w:t>Dealing with an unplanned event by drawing on essential knowle</w:t>
            </w:r>
            <w:r w:rsidRPr="00445B35">
              <w:t>dge and associated skills to provide appropriate solutions incorporated in the holistic assessment with the above listed items.</w:t>
            </w:r>
          </w:p>
        </w:tc>
      </w:tr>
    </w:tbl>
    <w:p w:rsidR="00000000" w:rsidRPr="00445B35" w:rsidP="00445B35">
      <w:pPr>
        <w:pStyle w:val="BodyText"/>
      </w:pPr>
    </w:p>
    <w:tbl>
      <w:tblPr>
        <w:tblW w:w="0" w:type="auto"/>
        <w:tblLayout w:type="fixed"/>
        <w:tblCellMar>
          <w:left w:w="62" w:type="dxa"/>
          <w:right w:w="62" w:type="dxa"/>
        </w:tblCellMar>
        <w:tblLook w:val="0000"/>
      </w:tblPr>
      <w:tblGrid>
        <w:gridCol w:w="1890"/>
        <w:gridCol w:w="6570"/>
      </w:tblGrid>
      <w:tr w:rsidTr="00652C5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9.3)</w:t>
            </w:r>
          </w:p>
        </w:tc>
      </w:tr>
      <w:tr w:rsidTr="00652C5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This unit should be assessed as it relates to normal work p</w:t>
            </w:r>
            <w:r w:rsidRPr="00445B35">
              <w:t>ractice using procedures, information and resources typical of a workplace. This should include:</w:t>
            </w:r>
          </w:p>
          <w:p w:rsidR="00000000" w:rsidRPr="00445B35" w:rsidP="00445B35">
            <w:pPr>
              <w:pStyle w:val="ListBullet"/>
            </w:pPr>
            <w:r w:rsidRPr="00445B35">
              <w:t>OHS policy and work procedures and instructions.</w:t>
            </w:r>
          </w:p>
          <w:p w:rsidR="00000000" w:rsidRPr="00445B35" w:rsidP="00445B35">
            <w:pPr>
              <w:pStyle w:val="ListBullet"/>
            </w:pPr>
            <w:r w:rsidRPr="00445B35">
              <w:t>Suitable work environment, facilities, equipment and materials to undertake actual visual checking and treatme</w:t>
            </w:r>
            <w:r w:rsidRPr="00445B35">
              <w:t xml:space="preserve">nt of poles and structures. </w:t>
            </w:r>
          </w:p>
          <w:p w:rsidR="00000000" w:rsidRPr="00445B35" w:rsidP="00445B35">
            <w:pPr>
              <w:pStyle w:val="BodyText"/>
            </w:pPr>
            <w:r w:rsidRPr="00445B35">
              <w:t xml:space="preserve">In addition to the resources listed above, in Context of and specific resources for assessment, evidence should show demonstrated competency working below ground, in limited spaces, with different structural/construction types </w:t>
            </w:r>
            <w:r w:rsidRPr="00445B35">
              <w:t>and method and in a variety of environments.</w:t>
            </w:r>
          </w:p>
        </w:tc>
      </w:tr>
    </w:tbl>
    <w:p w:rsidR="00000000" w:rsidRPr="00445B35" w:rsidP="00445B35">
      <w:pPr>
        <w:pStyle w:val="BodyText"/>
      </w:pPr>
    </w:p>
    <w:tbl>
      <w:tblPr>
        <w:tblW w:w="0" w:type="auto"/>
        <w:tblLayout w:type="fixed"/>
        <w:tblCellMar>
          <w:left w:w="62" w:type="dxa"/>
          <w:right w:w="62" w:type="dxa"/>
        </w:tblCellMar>
        <w:tblLook w:val="0000"/>
      </w:tblPr>
      <w:tblGrid>
        <w:gridCol w:w="1890"/>
        <w:gridCol w:w="6570"/>
      </w:tblGrid>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9.4)</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This Competency Standard Unit shall be assessed by methods given in Volume 1, Part 3 “Assessment Guidelines”.</w:t>
            </w:r>
          </w:p>
          <w:p w:rsidR="00000000" w:rsidRPr="00445B35" w:rsidP="00445B35">
            <w:pPr>
              <w:pStyle w:val="BodyText"/>
            </w:pPr>
            <w:r w:rsidRPr="00445B35">
              <w:t>Note:</w:t>
            </w:r>
          </w:p>
          <w:p w:rsidR="00000000" w:rsidRPr="00445B35" w:rsidP="00445B35">
            <w:pPr>
              <w:pStyle w:val="BodyText"/>
            </w:pPr>
            <w:r w:rsidRPr="00445B35">
              <w:t>Competent performance with inherent safe working practices is expected in the Industry to which this Competency Standard Unit applies. This requires that the specified essential knowledge and associated skills are assessed in a structured environment which</w:t>
            </w:r>
            <w:r w:rsidRPr="00445B35">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445B35" w:rsidP="00445B35">
      <w:pPr>
        <w:pStyle w:val="BodyText"/>
      </w:pPr>
    </w:p>
    <w:tbl>
      <w:tblPr>
        <w:tblW w:w="0" w:type="auto"/>
        <w:tblLayout w:type="fixed"/>
        <w:tblCellMar>
          <w:left w:w="62" w:type="dxa"/>
          <w:right w:w="62" w:type="dxa"/>
        </w:tblCellMar>
        <w:tblLook w:val="0000"/>
      </w:tblPr>
      <w:tblGrid>
        <w:gridCol w:w="1890"/>
        <w:gridCol w:w="6570"/>
      </w:tblGrid>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Concurrent assessment and relationship wi</w:t>
            </w:r>
            <w:r w:rsidRPr="00445B35">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9.5)</w:t>
            </w:r>
          </w:p>
        </w:tc>
      </w:tr>
      <w:tr w:rsidTr="00652C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There are no concurrent assessment recommendations for this unit.</w:t>
            </w:r>
          </w:p>
        </w:tc>
      </w:tr>
    </w:tbl>
    <w:p w:rsidR="00000000" w:rsidRPr="00445B35" w:rsidP="00445B35">
      <w:pPr>
        <w:pStyle w:val="BodyText"/>
      </w:pPr>
    </w:p>
    <w:p w:rsidR="00000000" w:rsidRPr="00445B35" w:rsidP="00445B35">
      <w:pPr>
        <w:pStyle w:val="AllowPageBreak"/>
      </w:pPr>
    </w:p>
    <w:p w:rsidR="00000000" w:rsidRPr="00445B35" w:rsidP="00445B35">
      <w:pPr>
        <w:pStyle w:val="Heading1"/>
      </w:pPr>
      <w:bookmarkStart w:id="11" w:name="O_462697"/>
      <w:bookmarkEnd w:id="11"/>
      <w:r w:rsidRPr="00445B35">
        <w:t>Range Statement</w:t>
      </w:r>
    </w:p>
    <w:tbl>
      <w:tblPr>
        <w:tblW w:w="0" w:type="auto"/>
        <w:tblLayout w:type="fixed"/>
        <w:tblCellMar>
          <w:left w:w="62" w:type="dxa"/>
          <w:right w:w="62" w:type="dxa"/>
        </w:tblCellMar>
        <w:tblLook w:val="0000"/>
      </w:tblPr>
      <w:tblGrid>
        <w:gridCol w:w="8460"/>
      </w:tblGrid>
      <w:tr w:rsidTr="00652C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RANGE STATEMENT</w:t>
            </w:r>
          </w:p>
        </w:tc>
      </w:tr>
      <w:tr w:rsidTr="00652C5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10)</w:t>
            </w:r>
            <w:r w:rsidRPr="00445B35">
              <w:t xml:space="preserve"> This relates to the unit of competency as a whole providing the range of contexts and conditions </w:t>
            </w:r>
            <w:r w:rsidRPr="00445B35">
              <w:t>to which the Performance Criteria apply. It allows for different work environments and situations that will affect performance.</w:t>
            </w:r>
          </w:p>
          <w:p w:rsidR="00000000" w:rsidRPr="00445B35" w:rsidP="00445B35">
            <w:pPr>
              <w:pStyle w:val="BodyText"/>
            </w:pPr>
            <w:r w:rsidRPr="00445B35">
              <w:t>This Competency Standard Unit shall be demonstrated in relation to the conducting of ground line inspection and treatment, inclu</w:t>
            </w:r>
            <w:r w:rsidRPr="00445B35">
              <w:t xml:space="preserve">ding testing or examining of to determine the integrity of the poles and structures. </w:t>
            </w:r>
          </w:p>
          <w:p w:rsidR="00000000" w:rsidRPr="00445B35" w:rsidP="00445B35">
            <w:pPr>
              <w:pStyle w:val="BodyText"/>
            </w:pPr>
            <w:r w:rsidRPr="00445B35">
              <w:t>Poles and structure types include wood, steel, concrete and composite.</w:t>
            </w:r>
          </w:p>
          <w:p w:rsidR="00000000" w:rsidRPr="00445B35" w:rsidP="00445B35">
            <w:pPr>
              <w:pStyle w:val="BodyText"/>
            </w:pPr>
            <w:r w:rsidRPr="00445B35">
              <w:t>Hardware attached to poles/structures include crossarms, insulators, surge arrestors and support br</w:t>
            </w:r>
            <w:r w:rsidRPr="00445B35">
              <w:t>ackets.</w:t>
            </w:r>
          </w:p>
          <w:p w:rsidR="00000000" w:rsidRPr="00445B35" w:rsidP="00445B35">
            <w:pPr>
              <w:pStyle w:val="BodyText"/>
            </w:pPr>
            <w:r w:rsidRPr="00445B35">
              <w:t>Inspection/testing devices may include electronic data capture devices, computers, sonic testing devices, stress tester, binoculars and drilling tests.</w:t>
            </w:r>
          </w:p>
          <w:p w:rsidR="00000000" w:rsidRPr="00445B35" w:rsidP="00445B35">
            <w:pPr>
              <w:pStyle w:val="BodyText"/>
            </w:pPr>
            <w:r w:rsidRPr="00445B35">
              <w:t>Maintenance may include chemical treatment, emergency repair or welding, or life extension by re</w:t>
            </w:r>
            <w:r w:rsidRPr="00445B35">
              <w:t>-butting or nailing.</w:t>
            </w:r>
          </w:p>
          <w:p w:rsidR="00000000" w:rsidRPr="00445B35" w:rsidP="00445B35">
            <w:pPr>
              <w:pStyle w:val="BodyText"/>
            </w:pPr>
            <w:r w:rsidRPr="00445B35">
              <w:t>Recording and reporting systems</w:t>
            </w:r>
          </w:p>
          <w:p w:rsidR="00000000" w:rsidRPr="00445B35" w:rsidP="00445B35">
            <w:pPr>
              <w:pStyle w:val="BodyText"/>
            </w:pPr>
            <w:r w:rsidRPr="00445B35">
              <w:t>The following constants and variables included in the element/Performance Criteria in this unit are fully described in the Definitions Section 1 of this volume and form an integral part of the Range Stat</w:t>
            </w:r>
            <w:r w:rsidRPr="00445B35">
              <w:t>ement of this unit:</w:t>
            </w:r>
          </w:p>
          <w:p w:rsidR="00000000" w:rsidRPr="00445B35" w:rsidP="00445B35">
            <w:pPr>
              <w:pStyle w:val="ListBullet3"/>
            </w:pPr>
            <w:r w:rsidRPr="00445B35">
              <w:t>Appropriate and relevant persons (see Personnel)</w:t>
            </w:r>
          </w:p>
          <w:p w:rsidR="00000000" w:rsidRPr="00445B35" w:rsidP="00445B35">
            <w:pPr>
              <w:pStyle w:val="ListBullet3"/>
            </w:pPr>
            <w:r w:rsidRPr="00445B35">
              <w:t>Appropriate authorities</w:t>
            </w:r>
          </w:p>
          <w:p w:rsidR="00000000" w:rsidRPr="00445B35" w:rsidP="00445B35">
            <w:pPr>
              <w:pStyle w:val="ListBullet3"/>
            </w:pPr>
            <w:r w:rsidRPr="00445B35">
              <w:t>Appropriate work platform</w:t>
            </w:r>
          </w:p>
          <w:p w:rsidR="00000000" w:rsidRPr="00445B35" w:rsidP="00445B35">
            <w:pPr>
              <w:pStyle w:val="ListBullet3"/>
            </w:pPr>
            <w:r w:rsidRPr="00445B35">
              <w:t>Assessing risk</w:t>
            </w:r>
          </w:p>
          <w:p w:rsidR="00000000" w:rsidRPr="00445B35" w:rsidP="00445B35">
            <w:pPr>
              <w:pStyle w:val="ListBullet3"/>
            </w:pPr>
            <w:r w:rsidRPr="00445B35">
              <w:t>Assessment</w:t>
            </w:r>
          </w:p>
          <w:p w:rsidR="00000000" w:rsidRPr="00445B35" w:rsidP="00445B35">
            <w:pPr>
              <w:pStyle w:val="ListBullet3"/>
            </w:pPr>
            <w:r w:rsidRPr="00445B35">
              <w:t>Authorisation</w:t>
            </w:r>
          </w:p>
          <w:p w:rsidR="00000000" w:rsidRPr="00445B35" w:rsidP="00445B35">
            <w:pPr>
              <w:pStyle w:val="ListBullet3"/>
            </w:pPr>
            <w:r w:rsidRPr="00445B35">
              <w:t>Confined space</w:t>
            </w:r>
          </w:p>
          <w:p w:rsidR="00000000" w:rsidRPr="00445B35" w:rsidP="00445B35">
            <w:pPr>
              <w:pStyle w:val="ListBullet3"/>
            </w:pPr>
            <w:r w:rsidRPr="00445B35">
              <w:t>Diagnostic, testing and restoration</w:t>
            </w:r>
          </w:p>
          <w:p w:rsidR="00000000" w:rsidRPr="00445B35" w:rsidP="00445B35">
            <w:pPr>
              <w:pStyle w:val="ListBullet3"/>
            </w:pPr>
            <w:r w:rsidRPr="00445B35">
              <w:t>Documenting detail work events, record keeping and or storage of information</w:t>
            </w:r>
          </w:p>
          <w:p w:rsidR="00000000" w:rsidRPr="00445B35" w:rsidP="00445B35">
            <w:pPr>
              <w:pStyle w:val="ListBullet3"/>
            </w:pPr>
            <w:r w:rsidRPr="00445B35">
              <w:t>Drawings and specifications</w:t>
            </w:r>
          </w:p>
          <w:p w:rsidR="00000000" w:rsidRPr="00445B35" w:rsidP="00445B35">
            <w:pPr>
              <w:pStyle w:val="ListBullet3"/>
            </w:pPr>
            <w:r w:rsidRPr="00445B35">
              <w:t>Emergency</w:t>
            </w:r>
          </w:p>
          <w:p w:rsidR="00000000" w:rsidRPr="00445B35" w:rsidP="00445B35">
            <w:pPr>
              <w:pStyle w:val="ListBullet3"/>
            </w:pPr>
            <w:r w:rsidRPr="00445B35">
              <w:t>Environmental and sustainable energy procedures</w:t>
            </w:r>
          </w:p>
          <w:p w:rsidR="00000000" w:rsidRPr="00445B35" w:rsidP="00445B35">
            <w:pPr>
              <w:pStyle w:val="ListBullet3"/>
            </w:pPr>
            <w:r w:rsidRPr="00445B35">
              <w:t>Environmental legislation</w:t>
            </w:r>
          </w:p>
          <w:p w:rsidR="00000000" w:rsidRPr="00445B35" w:rsidP="00445B35">
            <w:pPr>
              <w:pStyle w:val="ListBullet3"/>
            </w:pPr>
            <w:r w:rsidRPr="00445B35">
              <w:t>Environmental management documentation</w:t>
            </w:r>
          </w:p>
          <w:p w:rsidR="00000000" w:rsidRPr="00445B35" w:rsidP="00445B35">
            <w:pPr>
              <w:pStyle w:val="ListBullet3"/>
            </w:pPr>
            <w:r w:rsidRPr="00445B35">
              <w:t>Established procedures</w:t>
            </w:r>
          </w:p>
          <w:p w:rsidR="00000000" w:rsidRPr="00445B35" w:rsidP="00445B35">
            <w:pPr>
              <w:pStyle w:val="ListBullet3"/>
            </w:pPr>
            <w:r w:rsidRPr="00445B35">
              <w:t xml:space="preserve">Fall </w:t>
            </w:r>
            <w:r w:rsidRPr="00445B35">
              <w:t>prevention</w:t>
            </w:r>
          </w:p>
          <w:p w:rsidR="00000000" w:rsidRPr="00445B35" w:rsidP="00445B35">
            <w:pPr>
              <w:pStyle w:val="ListBullet3"/>
            </w:pPr>
            <w:r w:rsidRPr="00445B35">
              <w:t>Hazards</w:t>
            </w:r>
          </w:p>
          <w:p w:rsidR="00000000" w:rsidRPr="00445B35" w:rsidP="00445B35">
            <w:pPr>
              <w:pStyle w:val="ListBullet3"/>
            </w:pPr>
            <w:r w:rsidRPr="00445B35">
              <w:t>Identifying hazards</w:t>
            </w:r>
          </w:p>
          <w:p w:rsidR="00000000" w:rsidRPr="00445B35" w:rsidP="00445B35">
            <w:pPr>
              <w:pStyle w:val="ListBullet3"/>
            </w:pPr>
            <w:r w:rsidRPr="00445B35">
              <w:t>Inspect</w:t>
            </w:r>
          </w:p>
          <w:p w:rsidR="00000000" w:rsidRPr="00445B35" w:rsidP="00445B35">
            <w:pPr>
              <w:pStyle w:val="ListBullet3"/>
            </w:pPr>
            <w:r w:rsidRPr="00445B35">
              <w:t>Legislation</w:t>
            </w:r>
          </w:p>
          <w:p w:rsidR="00000000" w:rsidRPr="00445B35" w:rsidP="00445B35">
            <w:pPr>
              <w:pStyle w:val="ListBullet3"/>
            </w:pPr>
            <w:r w:rsidRPr="00445B35">
              <w:t>MSDS</w:t>
            </w:r>
          </w:p>
          <w:p w:rsidR="00000000" w:rsidRPr="00445B35" w:rsidP="00445B35">
            <w:pPr>
              <w:pStyle w:val="ListBullet3"/>
            </w:pPr>
            <w:r w:rsidRPr="00445B35">
              <w:t>Notification.</w:t>
            </w:r>
          </w:p>
          <w:p w:rsidR="00000000" w:rsidRPr="00445B35" w:rsidP="00445B35">
            <w:pPr>
              <w:pStyle w:val="ListBullet3"/>
            </w:pPr>
            <w:r w:rsidRPr="00445B35">
              <w:t>OHS practices</w:t>
            </w:r>
          </w:p>
          <w:p w:rsidR="00000000" w:rsidRPr="00445B35" w:rsidP="00445B35">
            <w:pPr>
              <w:pStyle w:val="ListBullet3"/>
            </w:pPr>
            <w:r w:rsidRPr="00445B35">
              <w:t>OHS issues</w:t>
            </w:r>
          </w:p>
          <w:p w:rsidR="00000000" w:rsidRPr="00445B35" w:rsidP="00445B35">
            <w:pPr>
              <w:pStyle w:val="ListBullet3"/>
            </w:pPr>
            <w:r w:rsidRPr="00445B35">
              <w:t>Permits and/or permits to work</w:t>
            </w:r>
          </w:p>
          <w:p w:rsidR="00000000" w:rsidRPr="00445B35" w:rsidP="00445B35">
            <w:pPr>
              <w:pStyle w:val="ListBullet3"/>
            </w:pPr>
            <w:r w:rsidRPr="00445B35">
              <w:t>Personnel</w:t>
            </w:r>
          </w:p>
          <w:p w:rsidR="00000000" w:rsidRPr="00445B35" w:rsidP="00445B35">
            <w:pPr>
              <w:pStyle w:val="ListBullet3"/>
            </w:pPr>
            <w:r w:rsidRPr="00445B35">
              <w:t>Quality assurance systems</w:t>
            </w:r>
          </w:p>
          <w:p w:rsidR="00000000" w:rsidRPr="00445B35" w:rsidP="00445B35">
            <w:pPr>
              <w:pStyle w:val="ListBullet3"/>
            </w:pPr>
            <w:r w:rsidRPr="00445B35">
              <w:t>Requirements</w:t>
            </w:r>
          </w:p>
          <w:p w:rsidR="00000000" w:rsidRPr="00445B35" w:rsidP="00445B35">
            <w:pPr>
              <w:pStyle w:val="ListBullet3"/>
            </w:pPr>
            <w:r w:rsidRPr="00445B35">
              <w:t>Testing procedures</w:t>
            </w:r>
          </w:p>
          <w:p w:rsidR="00000000" w:rsidRPr="00445B35" w:rsidP="00445B35">
            <w:pPr>
              <w:pStyle w:val="ListBullet3"/>
            </w:pPr>
            <w:r w:rsidRPr="00445B35">
              <w:t>Work clearance systems</w:t>
            </w:r>
          </w:p>
        </w:tc>
      </w:tr>
    </w:tbl>
    <w:p w:rsidR="00000000" w:rsidRPr="00445B35" w:rsidP="00445B35">
      <w:pPr>
        <w:pStyle w:val="BodyText"/>
      </w:pPr>
    </w:p>
    <w:p w:rsidR="00000000" w:rsidRPr="00445B35" w:rsidP="00445B35">
      <w:pPr>
        <w:pStyle w:val="AllowPageBreak"/>
      </w:pPr>
    </w:p>
    <w:p w:rsidR="00000000" w:rsidRPr="00445B35" w:rsidP="00445B35">
      <w:pPr>
        <w:pStyle w:val="Heading1"/>
      </w:pPr>
      <w:bookmarkStart w:id="12" w:name="O_462700"/>
      <w:bookmarkEnd w:id="12"/>
      <w:r w:rsidRPr="00445B35">
        <w:t>Unit Sector(s)</w:t>
      </w:r>
    </w:p>
    <w:p w:rsidR="00000000" w:rsidRPr="00445B35" w:rsidP="00445B35">
      <w:pPr>
        <w:pStyle w:val="BodyText"/>
      </w:pPr>
      <w:r w:rsidRPr="00445B35">
        <w:t>Not applicable.</w:t>
      </w:r>
    </w:p>
    <w:p w:rsidR="00000000" w:rsidRPr="00445B35" w:rsidP="00445B35">
      <w:pPr>
        <w:pStyle w:val="AllowPageBreak"/>
      </w:pPr>
    </w:p>
    <w:p w:rsidR="00000000" w:rsidRPr="00445B35" w:rsidP="00445B35">
      <w:pPr>
        <w:pStyle w:val="Heading1"/>
      </w:pPr>
      <w:bookmarkStart w:id="13" w:name="O_462689"/>
      <w:bookmarkEnd w:id="13"/>
      <w:r w:rsidRPr="00445B35">
        <w:t>Competency Field</w:t>
      </w:r>
    </w:p>
    <w:tbl>
      <w:tblPr>
        <w:tblW w:w="0" w:type="auto"/>
        <w:tblLayout w:type="fixed"/>
        <w:tblCellMar>
          <w:left w:w="62" w:type="dxa"/>
          <w:right w:w="62" w:type="dxa"/>
        </w:tblCellMar>
        <w:tblLook w:val="0000"/>
      </w:tblPr>
      <w:tblGrid>
        <w:gridCol w:w="2700"/>
        <w:gridCol w:w="5760"/>
      </w:tblGrid>
      <w:tr w:rsidTr="00652C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45B35">
            <w:pPr>
              <w:pStyle w:val="BodyText"/>
              <w:rPr>
                <w:lang w:val="en-NZ"/>
              </w:rPr>
            </w:pPr>
            <w:r w:rsidRPr="00445B35">
              <w:rPr>
                <w:rStyle w:val="SpecialBold"/>
              </w:rPr>
              <w:t xml:space="preserve">11) </w:t>
            </w:r>
          </w:p>
        </w:tc>
      </w:tr>
      <w:tr w:rsidTr="00652C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5B35" w:rsidP="00445B35">
            <w:pPr>
              <w:pStyle w:val="BodyText"/>
            </w:pPr>
            <w:r w:rsidRPr="00445B35">
              <w:t>Industry Specific Cross-Discipline Units</w:t>
            </w:r>
          </w:p>
        </w:tc>
      </w:tr>
    </w:tbl>
    <w:p w:rsidR="00000000" w:rsidRPr="00445B35" w:rsidP="00445B35">
      <w:pPr>
        <w:pStyle w:val="BodyText"/>
      </w:pPr>
    </w:p>
    <w:p w:rsidR="00000000" w:rsidRPr="00445B35" w:rsidP="00445B35"/>
    <w:sectPr w:rsidSect="00445B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C55" w:rsidP="00652C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55" w:rsidP="00445B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652C55" w:rsidP="00445B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52C55" w:rsidP="00445B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35" w:rsidRPr="00652C55" w:rsidP="00652C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55" w:rsidRPr="002D2AF8" w:rsidP="00445B35">
    <w:pPr>
      <w:pStyle w:val="Header"/>
      <w:framePr w:wrap="around"/>
    </w:pPr>
    <w:r>
      <w:fldChar w:fldCharType="begin"/>
    </w:r>
    <w:r>
      <w:instrText xml:space="preserve"> TITLE   \* MERGEFORMAT </w:instrText>
    </w:r>
    <w:r>
      <w:fldChar w:fldCharType="separate"/>
    </w:r>
    <w:r>
      <w:t>UETTDRIS57A Conduct visual checking and treatment of power system poles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52C55" w:rsidP="00445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6E7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FA4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A23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B35"/>
    <w:pPr>
      <w:spacing w:before="360" w:after="60"/>
      <w:outlineLvl w:val="0"/>
    </w:pPr>
    <w:rPr>
      <w:sz w:val="32"/>
    </w:rPr>
  </w:style>
  <w:style w:type="paragraph" w:styleId="Heading2">
    <w:name w:val="heading 2"/>
    <w:basedOn w:val="HeadingBase"/>
    <w:next w:val="BodyText"/>
    <w:link w:val="Heading2Char"/>
    <w:qFormat/>
    <w:rsid w:val="00445B35"/>
    <w:pPr>
      <w:keepLines/>
      <w:spacing w:before="240" w:after="120"/>
      <w:outlineLvl w:val="1"/>
    </w:pPr>
    <w:rPr>
      <w:sz w:val="28"/>
      <w:szCs w:val="40"/>
    </w:rPr>
  </w:style>
  <w:style w:type="paragraph" w:styleId="Heading3">
    <w:name w:val="heading 3"/>
    <w:basedOn w:val="HeadingBase"/>
    <w:next w:val="BodyText"/>
    <w:link w:val="Heading3Char"/>
    <w:qFormat/>
    <w:rsid w:val="00445B35"/>
    <w:pPr>
      <w:spacing w:before="180" w:after="120"/>
      <w:outlineLvl w:val="2"/>
    </w:pPr>
    <w:rPr>
      <w:spacing w:val="-10"/>
      <w:kern w:val="32"/>
    </w:rPr>
  </w:style>
  <w:style w:type="paragraph" w:styleId="Heading4">
    <w:name w:val="heading 4"/>
    <w:basedOn w:val="HeadingBase"/>
    <w:next w:val="BodyText"/>
    <w:link w:val="Heading4Char"/>
    <w:qFormat/>
    <w:rsid w:val="00445B35"/>
    <w:pPr>
      <w:spacing w:before="160" w:after="120"/>
      <w:outlineLvl w:val="3"/>
    </w:pPr>
    <w:rPr>
      <w:sz w:val="22"/>
    </w:rPr>
  </w:style>
  <w:style w:type="paragraph" w:styleId="Heading5">
    <w:name w:val="heading 5"/>
    <w:basedOn w:val="HeadingBase"/>
    <w:next w:val="Normal"/>
    <w:link w:val="Heading5Char"/>
    <w:qFormat/>
    <w:rsid w:val="00445B35"/>
    <w:pPr>
      <w:spacing w:before="80"/>
      <w:outlineLvl w:val="4"/>
    </w:pPr>
    <w:rPr>
      <w:color w:val="918585"/>
      <w:sz w:val="20"/>
    </w:rPr>
  </w:style>
  <w:style w:type="paragraph" w:styleId="Heading6">
    <w:name w:val="heading 6"/>
    <w:basedOn w:val="HeadingBase"/>
    <w:next w:val="Normal"/>
    <w:link w:val="Heading6Char"/>
    <w:qFormat/>
    <w:rsid w:val="00445B35"/>
    <w:pPr>
      <w:spacing w:before="60"/>
      <w:outlineLvl w:val="5"/>
    </w:pPr>
    <w:rPr>
      <w:color w:val="918585"/>
      <w:sz w:val="20"/>
    </w:rPr>
  </w:style>
  <w:style w:type="paragraph" w:styleId="Heading7">
    <w:name w:val="heading 7"/>
    <w:basedOn w:val="Normal"/>
    <w:next w:val="Normal"/>
    <w:link w:val="Heading7Char"/>
    <w:qFormat/>
    <w:rsid w:val="00445B35"/>
    <w:pPr>
      <w:ind w:left="720"/>
      <w:outlineLvl w:val="6"/>
    </w:pPr>
    <w:rPr>
      <w:i/>
    </w:rPr>
  </w:style>
  <w:style w:type="paragraph" w:styleId="Heading8">
    <w:name w:val="heading 8"/>
    <w:basedOn w:val="Normal"/>
    <w:next w:val="Normal"/>
    <w:link w:val="Heading8Char"/>
    <w:qFormat/>
    <w:rsid w:val="00445B35"/>
    <w:pPr>
      <w:ind w:left="720"/>
      <w:outlineLvl w:val="7"/>
    </w:pPr>
    <w:rPr>
      <w:i/>
    </w:rPr>
  </w:style>
  <w:style w:type="paragraph" w:styleId="Heading9">
    <w:name w:val="heading 9"/>
    <w:basedOn w:val="Normal"/>
    <w:next w:val="Normal"/>
    <w:link w:val="Heading9Char"/>
    <w:qFormat/>
    <w:rsid w:val="00445B35"/>
    <w:pPr>
      <w:ind w:left="720"/>
      <w:outlineLvl w:val="8"/>
    </w:pPr>
    <w:rPr>
      <w:i/>
    </w:rPr>
  </w:style>
  <w:style w:type="character" w:default="1" w:styleId="DefaultParagraphFont">
    <w:name w:val="Default Paragraph Font"/>
    <w:uiPriority w:val="1"/>
    <w:unhideWhenUsed/>
    <w:rsid w:val="00445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B35"/>
  </w:style>
  <w:style w:type="character" w:customStyle="1" w:styleId="Heading1Char">
    <w:name w:val="Heading 1 Char"/>
    <w:basedOn w:val="DefaultParagraphFont"/>
    <w:link w:val="Heading1"/>
    <w:rsid w:val="00445B35"/>
    <w:rPr>
      <w:rFonts w:ascii="Times New Roman" w:eastAsia="Times New Roman" w:hAnsi="Times New Roman" w:cs="Times New Roman"/>
      <w:b/>
      <w:sz w:val="32"/>
      <w:szCs w:val="20"/>
      <w:lang w:eastAsia="en-US"/>
    </w:rPr>
  </w:style>
  <w:style w:type="paragraph" w:styleId="BodyText">
    <w:name w:val="Body Text"/>
    <w:basedOn w:val="Normal"/>
    <w:link w:val="BodyTextChar"/>
    <w:rsid w:val="00445B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5B35"/>
    <w:rPr>
      <w:rFonts w:ascii="Times New Roman" w:eastAsia="Times New Roman" w:hAnsi="Times New Roman" w:cs="Times New Roman"/>
      <w:sz w:val="24"/>
      <w:lang w:eastAsia="en-US"/>
    </w:rPr>
  </w:style>
  <w:style w:type="paragraph" w:styleId="Footer">
    <w:name w:val="footer"/>
    <w:basedOn w:val="Normal"/>
    <w:link w:val="FooterChar"/>
    <w:rsid w:val="00445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B35"/>
    <w:rPr>
      <w:rFonts w:ascii="Times New Roman" w:eastAsia="Times New Roman" w:hAnsi="Times New Roman" w:cs="Times New Roman"/>
      <w:sz w:val="16"/>
      <w:lang w:eastAsia="en-US"/>
    </w:rPr>
  </w:style>
  <w:style w:type="paragraph" w:styleId="ListBullet">
    <w:name w:val="List Bullet"/>
    <w:basedOn w:val="List"/>
    <w:rsid w:val="00445B35"/>
    <w:pPr>
      <w:numPr>
        <w:numId w:val="14"/>
      </w:numPr>
      <w:tabs>
        <w:tab w:val="clear" w:pos="340"/>
      </w:tabs>
      <w:spacing w:before="40" w:after="40"/>
    </w:pPr>
  </w:style>
  <w:style w:type="character" w:customStyle="1" w:styleId="SpecialBold">
    <w:name w:val="Special Bold"/>
    <w:basedOn w:val="DefaultParagraphFont"/>
    <w:rsid w:val="00445B35"/>
    <w:rPr>
      <w:b/>
      <w:spacing w:val="0"/>
    </w:rPr>
  </w:style>
  <w:style w:type="paragraph" w:styleId="ListBullet2">
    <w:name w:val="List Bullet 2"/>
    <w:basedOn w:val="List2"/>
    <w:rsid w:val="00445B35"/>
    <w:pPr>
      <w:numPr>
        <w:numId w:val="15"/>
      </w:numPr>
      <w:tabs>
        <w:tab w:val="clear" w:pos="680"/>
      </w:tabs>
    </w:pPr>
  </w:style>
  <w:style w:type="paragraph" w:customStyle="1" w:styleId="SuperHeading">
    <w:name w:val="SuperHeading"/>
    <w:basedOn w:val="Normal"/>
    <w:rsid w:val="00445B35"/>
    <w:pPr>
      <w:spacing w:before="240" w:after="120"/>
      <w:outlineLvl w:val="0"/>
    </w:pPr>
    <w:rPr>
      <w:rFonts w:ascii="Times New Roman" w:hAnsi="Times New Roman"/>
      <w:b/>
      <w:sz w:val="28"/>
    </w:rPr>
  </w:style>
  <w:style w:type="paragraph" w:customStyle="1" w:styleId="AllowPageBreak">
    <w:name w:val="AllowPageBreak"/>
    <w:rsid w:val="00445B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5B35"/>
    <w:pPr>
      <w:numPr>
        <w:numId w:val="3"/>
      </w:numPr>
      <w:tabs>
        <w:tab w:val="clear" w:pos="1021"/>
      </w:tabs>
      <w:ind w:left="1037" w:hanging="357"/>
    </w:pPr>
  </w:style>
  <w:style w:type="character" w:customStyle="1" w:styleId="Heading2Char">
    <w:name w:val="Heading 2 Char"/>
    <w:basedOn w:val="DefaultParagraphFont"/>
    <w:link w:val="Heading2"/>
    <w:rsid w:val="00445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B35"/>
    <w:rPr>
      <w:rFonts w:ascii="Courier New" w:eastAsia="Times New Roman" w:hAnsi="Courier New" w:cs="Times New Roman"/>
      <w:i/>
      <w:szCs w:val="20"/>
      <w:lang w:eastAsia="en-US"/>
    </w:rPr>
  </w:style>
  <w:style w:type="paragraph" w:customStyle="1" w:styleId="HeadingBase">
    <w:name w:val="Heading Base"/>
    <w:rsid w:val="00445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B35"/>
    <w:pPr>
      <w:tabs>
        <w:tab w:val="right" w:leader="dot" w:pos="9072"/>
      </w:tabs>
      <w:ind w:left="567"/>
    </w:pPr>
    <w:rPr>
      <w:szCs w:val="22"/>
    </w:rPr>
  </w:style>
  <w:style w:type="paragraph" w:customStyle="1" w:styleId="TOCBase">
    <w:name w:val="TOC Base"/>
    <w:rsid w:val="00445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B35"/>
    <w:pPr>
      <w:tabs>
        <w:tab w:val="right" w:leader="dot" w:pos="9072"/>
      </w:tabs>
      <w:spacing w:before="40" w:after="40"/>
      <w:ind w:left="284"/>
    </w:pPr>
    <w:rPr>
      <w:rFonts w:ascii="Times New Roman" w:hAnsi="Times New Roman"/>
    </w:rPr>
  </w:style>
  <w:style w:type="paragraph" w:styleId="TOC1">
    <w:name w:val="toc 1"/>
    <w:basedOn w:val="TOCBase"/>
    <w:next w:val="Normal"/>
    <w:rsid w:val="00445B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5B35"/>
    <w:pPr>
      <w:spacing w:before="5040"/>
      <w:jc w:val="center"/>
    </w:pPr>
    <w:rPr>
      <w:sz w:val="48"/>
      <w:szCs w:val="72"/>
      <w:lang w:val="en-US"/>
    </w:rPr>
  </w:style>
  <w:style w:type="character" w:customStyle="1" w:styleId="TitleChar">
    <w:name w:val="Title Char"/>
    <w:basedOn w:val="DefaultParagraphFont"/>
    <w:link w:val="Title"/>
    <w:rsid w:val="00445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B35"/>
    <w:pPr>
      <w:tabs>
        <w:tab w:val="left" w:pos="3600"/>
        <w:tab w:val="left" w:pos="3958"/>
      </w:tabs>
    </w:pPr>
  </w:style>
  <w:style w:type="paragraph" w:styleId="List">
    <w:name w:val="List"/>
    <w:basedOn w:val="BodyText"/>
    <w:next w:val="BodyText"/>
    <w:rsid w:val="00445B35"/>
    <w:pPr>
      <w:tabs>
        <w:tab w:val="left" w:pos="340"/>
      </w:tabs>
      <w:spacing w:before="60" w:after="60"/>
      <w:ind w:left="340" w:hanging="340"/>
    </w:pPr>
  </w:style>
  <w:style w:type="paragraph" w:customStyle="1" w:styleId="Note">
    <w:name w:val="Note"/>
    <w:basedOn w:val="BodyText"/>
    <w:rsid w:val="00445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B35"/>
    <w:pPr>
      <w:framePr w:wrap="auto" w:hAnchor="text" w:y="6049"/>
    </w:pPr>
    <w:rPr>
      <w:color w:val="000000"/>
      <w:sz w:val="40"/>
    </w:rPr>
  </w:style>
  <w:style w:type="paragraph" w:customStyle="1" w:styleId="TOCTitle">
    <w:name w:val="TOCTitle"/>
    <w:basedOn w:val="Heading1"/>
    <w:rsid w:val="00445B35"/>
    <w:pPr>
      <w:spacing w:after="240"/>
      <w:jc w:val="center"/>
      <w:outlineLvl w:val="9"/>
    </w:pPr>
    <w:rPr>
      <w:caps/>
    </w:rPr>
  </w:style>
  <w:style w:type="paragraph" w:customStyle="1" w:styleId="Version">
    <w:name w:val="Version"/>
    <w:rsid w:val="00445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B35"/>
    <w:pPr>
      <w:keepNext w:val="0"/>
      <w:tabs>
        <w:tab w:val="right" w:pos="4176"/>
      </w:tabs>
      <w:ind w:left="198" w:hanging="198"/>
    </w:pPr>
    <w:rPr>
      <w:rFonts w:ascii="Garamond" w:hAnsi="Garamond"/>
    </w:rPr>
  </w:style>
  <w:style w:type="paragraph" w:styleId="IndexHeading">
    <w:name w:val="index heading"/>
    <w:basedOn w:val="Normal"/>
    <w:next w:val="Index1"/>
    <w:semiHidden/>
    <w:rsid w:val="00445B35"/>
    <w:pPr>
      <w:spacing w:before="120" w:after="120"/>
    </w:pPr>
    <w:rPr>
      <w:rFonts w:ascii="Arial" w:hAnsi="Arial"/>
      <w:b/>
      <w:color w:val="918585"/>
      <w:sz w:val="24"/>
    </w:rPr>
  </w:style>
  <w:style w:type="paragraph" w:styleId="Header">
    <w:name w:val="header"/>
    <w:basedOn w:val="Normal"/>
    <w:link w:val="HeaderChar"/>
    <w:rsid w:val="00445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B35"/>
    <w:rPr>
      <w:rFonts w:ascii="Times New Roman" w:eastAsia="Times New Roman" w:hAnsi="Times New Roman" w:cs="Times New Roman"/>
      <w:sz w:val="16"/>
      <w:szCs w:val="20"/>
      <w:lang w:val="en-GB" w:eastAsia="en-US"/>
    </w:rPr>
  </w:style>
  <w:style w:type="paragraph" w:customStyle="1" w:styleId="Chapter">
    <w:name w:val="Chapter"/>
    <w:basedOn w:val="Normal"/>
    <w:rsid w:val="00445B35"/>
    <w:pPr>
      <w:spacing w:before="240"/>
    </w:pPr>
    <w:rPr>
      <w:rFonts w:ascii="Times New Roman" w:hAnsi="Times New Roman"/>
      <w:smallCaps/>
      <w:spacing w:val="80"/>
      <w:sz w:val="28"/>
    </w:rPr>
  </w:style>
  <w:style w:type="paragraph" w:customStyle="1" w:styleId="InChapter">
    <w:name w:val="InChapter"/>
    <w:basedOn w:val="Heading3"/>
    <w:rsid w:val="00445B35"/>
    <w:pPr>
      <w:spacing w:after="240"/>
      <w:outlineLvl w:val="9"/>
    </w:pPr>
    <w:rPr>
      <w:noProof/>
    </w:rPr>
  </w:style>
  <w:style w:type="paragraph" w:styleId="Index2">
    <w:name w:val="index 2"/>
    <w:basedOn w:val="Normal"/>
    <w:next w:val="Normal"/>
    <w:semiHidden/>
    <w:rsid w:val="00445B35"/>
    <w:pPr>
      <w:tabs>
        <w:tab w:val="right" w:pos="4176"/>
      </w:tabs>
      <w:ind w:left="568" w:hanging="284"/>
    </w:pPr>
    <w:rPr>
      <w:rFonts w:ascii="Garamond" w:hAnsi="Garamond"/>
    </w:rPr>
  </w:style>
  <w:style w:type="paragraph" w:customStyle="1" w:styleId="Byline">
    <w:name w:val="Byline"/>
    <w:rsid w:val="00445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B35"/>
    <w:pPr>
      <w:tabs>
        <w:tab w:val="clear" w:pos="3600"/>
        <w:tab w:val="clear" w:pos="3958"/>
      </w:tabs>
      <w:jc w:val="right"/>
    </w:pPr>
  </w:style>
  <w:style w:type="character" w:styleId="Emphasis">
    <w:name w:val="Emphasis"/>
    <w:basedOn w:val="DefaultParagraphFont"/>
    <w:qFormat/>
    <w:rsid w:val="00445B35"/>
    <w:rPr>
      <w:i/>
    </w:rPr>
  </w:style>
  <w:style w:type="paragraph" w:styleId="Caption">
    <w:name w:val="caption"/>
    <w:basedOn w:val="BodyText"/>
    <w:next w:val="Normal"/>
    <w:qFormat/>
    <w:rsid w:val="00445B35"/>
    <w:pPr>
      <w:framePr w:w="2268" w:hSpace="181" w:vSpace="181" w:wrap="around" w:vAnchor="text" w:hAnchor="page" w:x="1135" w:y="285" w:anchorLock="1"/>
    </w:pPr>
    <w:rPr>
      <w:i/>
    </w:rPr>
  </w:style>
  <w:style w:type="paragraph" w:customStyle="1" w:styleId="MiniTOCTitle">
    <w:name w:val="MiniTOCTitle"/>
    <w:basedOn w:val="Heading4"/>
    <w:rsid w:val="00445B35"/>
    <w:pPr>
      <w:spacing w:before="240"/>
      <w:outlineLvl w:val="9"/>
    </w:pPr>
    <w:rPr>
      <w:noProof/>
      <w:sz w:val="24"/>
    </w:rPr>
  </w:style>
  <w:style w:type="paragraph" w:customStyle="1" w:styleId="MiniTOCItem">
    <w:name w:val="MiniTOCItem"/>
    <w:basedOn w:val="ListBullet"/>
    <w:rsid w:val="00445B35"/>
    <w:pPr>
      <w:numPr>
        <w:numId w:val="0"/>
      </w:numPr>
      <w:tabs>
        <w:tab w:val="right" w:leader="dot" w:pos="6521"/>
      </w:tabs>
      <w:spacing w:before="0" w:after="0"/>
    </w:pPr>
  </w:style>
  <w:style w:type="paragraph" w:customStyle="1" w:styleId="TOFTitle">
    <w:name w:val="TOFTitle"/>
    <w:basedOn w:val="TOCTitle"/>
    <w:rsid w:val="00445B35"/>
  </w:style>
  <w:style w:type="paragraph" w:styleId="TableofFigures">
    <w:name w:val="table of figures"/>
    <w:basedOn w:val="Normal"/>
    <w:next w:val="Normal"/>
    <w:semiHidden/>
    <w:rsid w:val="00445B35"/>
    <w:pPr>
      <w:tabs>
        <w:tab w:val="right" w:leader="dot" w:pos="9072"/>
      </w:tabs>
      <w:ind w:left="970" w:hanging="403"/>
    </w:pPr>
    <w:rPr>
      <w:rFonts w:ascii="Times New Roman" w:hAnsi="Times New Roman"/>
      <w:b/>
    </w:rPr>
  </w:style>
  <w:style w:type="paragraph" w:styleId="ListNumber">
    <w:name w:val="List Number"/>
    <w:basedOn w:val="List"/>
    <w:rsid w:val="00445B35"/>
    <w:pPr>
      <w:numPr>
        <w:numId w:val="12"/>
      </w:numPr>
    </w:pPr>
  </w:style>
  <w:style w:type="character" w:customStyle="1" w:styleId="WingdingSymbols">
    <w:name w:val="Wingding Symbols"/>
    <w:rsid w:val="00445B35"/>
    <w:rPr>
      <w:rFonts w:ascii="Wingdings" w:hAnsi="Wingdings"/>
    </w:rPr>
  </w:style>
  <w:style w:type="paragraph" w:customStyle="1" w:styleId="TableHeading">
    <w:name w:val="Table Heading"/>
    <w:basedOn w:val="HeadingBase"/>
    <w:rsid w:val="00445B35"/>
    <w:pPr>
      <w:keepLines/>
      <w:pBdr>
        <w:bottom w:val="single" w:sz="6" w:space="1" w:color="918585"/>
      </w:pBdr>
      <w:spacing w:before="240"/>
    </w:pPr>
  </w:style>
  <w:style w:type="character" w:customStyle="1" w:styleId="HotSpot">
    <w:name w:val="HotSpot"/>
    <w:rsid w:val="00445B35"/>
    <w:rPr>
      <w:color w:val="0033CC"/>
      <w:u w:val="none"/>
    </w:rPr>
  </w:style>
  <w:style w:type="paragraph" w:customStyle="1" w:styleId="BodyTextRight">
    <w:name w:val="Body Text Right"/>
    <w:basedOn w:val="BodyText"/>
    <w:rsid w:val="00445B35"/>
    <w:pPr>
      <w:spacing w:before="0" w:after="0"/>
      <w:jc w:val="right"/>
    </w:pPr>
  </w:style>
  <w:style w:type="paragraph" w:styleId="Index3">
    <w:name w:val="index 3"/>
    <w:basedOn w:val="ListNumber2"/>
    <w:next w:val="Normal"/>
    <w:semiHidden/>
    <w:rsid w:val="00445B35"/>
    <w:pPr>
      <w:numPr>
        <w:numId w:val="0"/>
      </w:numPr>
      <w:tabs>
        <w:tab w:val="right" w:leader="dot" w:pos="4176"/>
      </w:tabs>
    </w:pPr>
  </w:style>
  <w:style w:type="paragraph" w:styleId="ListNumber2">
    <w:name w:val="List Number 2"/>
    <w:basedOn w:val="List2"/>
    <w:rsid w:val="00445B35"/>
    <w:pPr>
      <w:numPr>
        <w:numId w:val="11"/>
      </w:numPr>
      <w:tabs>
        <w:tab w:val="clear" w:pos="1060"/>
      </w:tabs>
    </w:pPr>
  </w:style>
  <w:style w:type="paragraph" w:customStyle="1" w:styleId="MarginNote">
    <w:name w:val="Margin Note"/>
    <w:basedOn w:val="BodyText"/>
    <w:rsid w:val="00445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B35"/>
    <w:rPr>
      <w:sz w:val="32"/>
    </w:rPr>
  </w:style>
  <w:style w:type="paragraph" w:customStyle="1" w:styleId="HeadingProcedure">
    <w:name w:val="Heading Procedure"/>
    <w:basedOn w:val="HeadingBase"/>
    <w:next w:val="Normal"/>
    <w:rsid w:val="00445B35"/>
    <w:pPr>
      <w:tabs>
        <w:tab w:val="left" w:pos="0"/>
      </w:tabs>
      <w:spacing w:before="120" w:after="60"/>
    </w:pPr>
    <w:rPr>
      <w:i/>
      <w:color w:val="918585"/>
      <w:sz w:val="22"/>
    </w:rPr>
  </w:style>
  <w:style w:type="paragraph" w:customStyle="1" w:styleId="TableBodyText">
    <w:name w:val="Table Body Text"/>
    <w:basedOn w:val="BodyText"/>
    <w:rsid w:val="00445B35"/>
    <w:pPr>
      <w:spacing w:before="60" w:after="60"/>
    </w:pPr>
  </w:style>
  <w:style w:type="paragraph" w:styleId="ListContinue">
    <w:name w:val="List Continue"/>
    <w:basedOn w:val="List"/>
    <w:rsid w:val="00445B35"/>
    <w:pPr>
      <w:ind w:firstLine="0"/>
    </w:pPr>
  </w:style>
  <w:style w:type="paragraph" w:customStyle="1" w:styleId="ListNote">
    <w:name w:val="List Note"/>
    <w:basedOn w:val="List"/>
    <w:rsid w:val="00445B35"/>
    <w:pPr>
      <w:pBdr>
        <w:top w:val="single" w:sz="6" w:space="2" w:color="918585"/>
        <w:bottom w:val="single" w:sz="6" w:space="2" w:color="918585"/>
      </w:pBdr>
      <w:tabs>
        <w:tab w:val="left" w:pos="1021"/>
      </w:tabs>
      <w:ind w:firstLine="0"/>
    </w:pPr>
  </w:style>
  <w:style w:type="paragraph" w:customStyle="1" w:styleId="Warning">
    <w:name w:val="Warning"/>
    <w:basedOn w:val="BodyText"/>
    <w:rsid w:val="00445B35"/>
    <w:pPr>
      <w:shd w:val="clear" w:color="auto" w:fill="D9D9D9"/>
      <w:tabs>
        <w:tab w:val="left" w:pos="992"/>
      </w:tabs>
      <w:ind w:left="119" w:right="119"/>
    </w:pPr>
    <w:rPr>
      <w:sz w:val="20"/>
    </w:rPr>
  </w:style>
  <w:style w:type="paragraph" w:customStyle="1" w:styleId="MarginIcons">
    <w:name w:val="Margin Icons"/>
    <w:basedOn w:val="BodyText"/>
    <w:rsid w:val="00445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B35"/>
    <w:rPr>
      <w:rFonts w:ascii="Courier New" w:hAnsi="Courier New"/>
    </w:rPr>
  </w:style>
  <w:style w:type="paragraph" w:customStyle="1" w:styleId="NoteBullet">
    <w:name w:val="Note Bullet"/>
    <w:basedOn w:val="Note"/>
    <w:rsid w:val="00445B35"/>
    <w:pPr>
      <w:tabs>
        <w:tab w:val="clear" w:pos="680"/>
      </w:tabs>
      <w:spacing w:before="60" w:after="60"/>
    </w:pPr>
  </w:style>
  <w:style w:type="paragraph" w:customStyle="1" w:styleId="SubHeading2">
    <w:name w:val="SubHeading2"/>
    <w:basedOn w:val="HeadingBase"/>
    <w:rsid w:val="00445B35"/>
    <w:pPr>
      <w:spacing w:before="240" w:after="60"/>
    </w:pPr>
    <w:rPr>
      <w:sz w:val="20"/>
    </w:rPr>
  </w:style>
  <w:style w:type="paragraph" w:customStyle="1" w:styleId="SubHeading1">
    <w:name w:val="SubHeading1"/>
    <w:basedOn w:val="HeadingBase"/>
    <w:rsid w:val="00445B35"/>
    <w:pPr>
      <w:spacing w:before="240" w:after="60"/>
    </w:pPr>
    <w:rPr>
      <w:color w:val="918585"/>
      <w:sz w:val="22"/>
    </w:rPr>
  </w:style>
  <w:style w:type="paragraph" w:customStyle="1" w:styleId="SideHeading">
    <w:name w:val="Side Heading"/>
    <w:basedOn w:val="HeadingBase"/>
    <w:rsid w:val="00445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B35"/>
    <w:pPr>
      <w:numPr>
        <w:numId w:val="13"/>
      </w:numPr>
    </w:pPr>
  </w:style>
  <w:style w:type="paragraph" w:styleId="PlainText">
    <w:name w:val="Plain Text"/>
    <w:basedOn w:val="Normal"/>
    <w:link w:val="PlainTextChar"/>
    <w:rsid w:val="00445B35"/>
    <w:rPr>
      <w:sz w:val="20"/>
    </w:rPr>
  </w:style>
  <w:style w:type="character" w:customStyle="1" w:styleId="PlainTextChar">
    <w:name w:val="Plain Text Char"/>
    <w:basedOn w:val="DefaultParagraphFont"/>
    <w:link w:val="PlainText"/>
    <w:rsid w:val="00445B35"/>
    <w:rPr>
      <w:rFonts w:ascii="Courier New" w:eastAsia="Times New Roman" w:hAnsi="Courier New" w:cs="Times New Roman"/>
      <w:sz w:val="20"/>
      <w:szCs w:val="20"/>
      <w:lang w:eastAsia="en-US"/>
    </w:rPr>
  </w:style>
  <w:style w:type="character" w:customStyle="1" w:styleId="MenuOption">
    <w:name w:val="Menu Option"/>
    <w:basedOn w:val="DefaultParagraphFont"/>
    <w:rsid w:val="00445B35"/>
    <w:rPr>
      <w:b/>
      <w:smallCaps/>
    </w:rPr>
  </w:style>
  <w:style w:type="paragraph" w:customStyle="1" w:styleId="TableListNumber">
    <w:name w:val="Table List Number"/>
    <w:basedOn w:val="ListNumber"/>
    <w:rsid w:val="00445B35"/>
    <w:pPr>
      <w:numPr>
        <w:numId w:val="0"/>
      </w:numPr>
    </w:pPr>
  </w:style>
  <w:style w:type="paragraph" w:styleId="TOC4">
    <w:name w:val="toc 4"/>
    <w:basedOn w:val="TOCBase"/>
    <w:next w:val="Normal"/>
    <w:semiHidden/>
    <w:rsid w:val="00445B35"/>
    <w:pPr>
      <w:tabs>
        <w:tab w:val="right" w:leader="dot" w:pos="9071"/>
      </w:tabs>
      <w:ind w:left="1701"/>
    </w:pPr>
  </w:style>
  <w:style w:type="paragraph" w:customStyle="1" w:styleId="ListAlpha">
    <w:name w:val="List Alpha"/>
    <w:basedOn w:val="List"/>
    <w:rsid w:val="00445B35"/>
    <w:pPr>
      <w:numPr>
        <w:numId w:val="10"/>
      </w:numPr>
    </w:pPr>
  </w:style>
  <w:style w:type="paragraph" w:customStyle="1" w:styleId="ListAlpha2">
    <w:name w:val="List Alpha 2"/>
    <w:basedOn w:val="List2"/>
    <w:rsid w:val="00445B35"/>
    <w:pPr>
      <w:numPr>
        <w:numId w:val="9"/>
      </w:numPr>
    </w:pPr>
  </w:style>
  <w:style w:type="paragraph" w:styleId="List2">
    <w:name w:val="List 2"/>
    <w:basedOn w:val="BodyText"/>
    <w:rsid w:val="00445B35"/>
    <w:pPr>
      <w:tabs>
        <w:tab w:val="left" w:pos="680"/>
      </w:tabs>
      <w:spacing w:before="60" w:after="60"/>
      <w:ind w:left="680" w:hanging="340"/>
    </w:pPr>
  </w:style>
  <w:style w:type="paragraph" w:styleId="List3">
    <w:name w:val="List 3"/>
    <w:basedOn w:val="BodyText"/>
    <w:rsid w:val="00445B35"/>
    <w:pPr>
      <w:tabs>
        <w:tab w:val="left" w:pos="1021"/>
      </w:tabs>
      <w:spacing w:before="60" w:after="60"/>
      <w:ind w:left="1020" w:hanging="340"/>
    </w:pPr>
  </w:style>
  <w:style w:type="paragraph" w:styleId="List4">
    <w:name w:val="List 4"/>
    <w:basedOn w:val="BodyText"/>
    <w:rsid w:val="00445B35"/>
    <w:pPr>
      <w:tabs>
        <w:tab w:val="left" w:pos="1361"/>
      </w:tabs>
      <w:spacing w:before="60" w:after="60"/>
      <w:ind w:left="1361" w:hanging="340"/>
    </w:pPr>
  </w:style>
  <w:style w:type="paragraph" w:styleId="List5">
    <w:name w:val="List 5"/>
    <w:basedOn w:val="BodyText"/>
    <w:rsid w:val="00445B35"/>
    <w:pPr>
      <w:tabs>
        <w:tab w:val="left" w:pos="1701"/>
      </w:tabs>
      <w:spacing w:before="60" w:after="60"/>
      <w:ind w:left="1701" w:hanging="340"/>
    </w:pPr>
  </w:style>
  <w:style w:type="paragraph" w:styleId="ListBullet4">
    <w:name w:val="List Bullet 4"/>
    <w:basedOn w:val="List4"/>
    <w:rsid w:val="00445B35"/>
    <w:pPr>
      <w:numPr>
        <w:numId w:val="4"/>
      </w:numPr>
    </w:pPr>
  </w:style>
  <w:style w:type="paragraph" w:styleId="ListBullet5">
    <w:name w:val="List Bullet 5"/>
    <w:basedOn w:val="List5"/>
    <w:rsid w:val="00445B35"/>
    <w:pPr>
      <w:numPr>
        <w:numId w:val="5"/>
      </w:numPr>
    </w:pPr>
  </w:style>
  <w:style w:type="paragraph" w:styleId="ListContinue2">
    <w:name w:val="List Continue 2"/>
    <w:basedOn w:val="List2"/>
    <w:rsid w:val="00445B35"/>
    <w:pPr>
      <w:ind w:firstLine="0"/>
    </w:pPr>
  </w:style>
  <w:style w:type="paragraph" w:styleId="ListContinue3">
    <w:name w:val="List Continue 3"/>
    <w:basedOn w:val="List3"/>
    <w:rsid w:val="00445B35"/>
    <w:pPr>
      <w:ind w:left="1021" w:firstLine="0"/>
    </w:pPr>
  </w:style>
  <w:style w:type="paragraph" w:styleId="ListContinue4">
    <w:name w:val="List Continue 4"/>
    <w:basedOn w:val="List4"/>
    <w:rsid w:val="00445B35"/>
    <w:pPr>
      <w:ind w:firstLine="0"/>
    </w:pPr>
  </w:style>
  <w:style w:type="paragraph" w:styleId="ListContinue5">
    <w:name w:val="List Continue 5"/>
    <w:basedOn w:val="List5"/>
    <w:rsid w:val="00445B35"/>
    <w:pPr>
      <w:ind w:firstLine="0"/>
    </w:pPr>
  </w:style>
  <w:style w:type="paragraph" w:styleId="ListNumber3">
    <w:name w:val="List Number 3"/>
    <w:basedOn w:val="List3"/>
    <w:rsid w:val="00445B35"/>
    <w:pPr>
      <w:numPr>
        <w:numId w:val="6"/>
      </w:numPr>
    </w:pPr>
  </w:style>
  <w:style w:type="paragraph" w:styleId="ListNumber4">
    <w:name w:val="List Number 4"/>
    <w:basedOn w:val="List4"/>
    <w:rsid w:val="00445B35"/>
    <w:pPr>
      <w:numPr>
        <w:numId w:val="7"/>
      </w:numPr>
    </w:pPr>
  </w:style>
  <w:style w:type="paragraph" w:styleId="ListNumber5">
    <w:name w:val="List Number 5"/>
    <w:basedOn w:val="List5"/>
    <w:rsid w:val="00445B35"/>
    <w:pPr>
      <w:numPr>
        <w:numId w:val="8"/>
      </w:numPr>
    </w:pPr>
  </w:style>
  <w:style w:type="paragraph" w:styleId="BlockText">
    <w:name w:val="Block Text"/>
    <w:basedOn w:val="Normal"/>
    <w:rsid w:val="00445B35"/>
    <w:pPr>
      <w:spacing w:after="120"/>
      <w:ind w:left="1440" w:right="1440"/>
    </w:pPr>
  </w:style>
  <w:style w:type="character" w:customStyle="1" w:styleId="Subscript">
    <w:name w:val="Subscript"/>
    <w:basedOn w:val="DefaultParagraphFont"/>
    <w:rsid w:val="00445B35"/>
    <w:rPr>
      <w:sz w:val="16"/>
      <w:vertAlign w:val="subscript"/>
    </w:rPr>
  </w:style>
  <w:style w:type="character" w:customStyle="1" w:styleId="Superscript">
    <w:name w:val="Superscript"/>
    <w:basedOn w:val="DefaultParagraphFont"/>
    <w:rsid w:val="00445B35"/>
    <w:rPr>
      <w:sz w:val="16"/>
      <w:vertAlign w:val="superscript"/>
    </w:rPr>
  </w:style>
  <w:style w:type="character" w:customStyle="1" w:styleId="Symbols">
    <w:name w:val="Symbols"/>
    <w:basedOn w:val="DefaultParagraphFont"/>
    <w:rsid w:val="00445B35"/>
    <w:rPr>
      <w:rFonts w:ascii="Symbol" w:hAnsi="Symbol"/>
    </w:rPr>
  </w:style>
  <w:style w:type="character" w:customStyle="1" w:styleId="MenuOptions">
    <w:name w:val="Menu Options"/>
    <w:basedOn w:val="DefaultParagraphFont"/>
    <w:rsid w:val="00445B35"/>
    <w:rPr>
      <w:rFonts w:ascii="Arial Narrow" w:hAnsi="Arial Narrow"/>
      <w:smallCaps/>
    </w:rPr>
  </w:style>
  <w:style w:type="character" w:customStyle="1" w:styleId="Buttons">
    <w:name w:val="Buttons"/>
    <w:basedOn w:val="DefaultParagraphFont"/>
    <w:rsid w:val="00445B35"/>
    <w:rPr>
      <w:b/>
    </w:rPr>
  </w:style>
  <w:style w:type="character" w:customStyle="1" w:styleId="Underlined">
    <w:name w:val="Underlined"/>
    <w:basedOn w:val="DefaultParagraphFont"/>
    <w:rsid w:val="00445B35"/>
    <w:rPr>
      <w:u w:val="single"/>
    </w:rPr>
  </w:style>
  <w:style w:type="paragraph" w:customStyle="1" w:styleId="TableBodyTextRight">
    <w:name w:val="Table Body Text Right"/>
    <w:basedOn w:val="TableBodyText"/>
    <w:rsid w:val="00445B35"/>
    <w:pPr>
      <w:widowControl w:val="0"/>
      <w:autoSpaceDE w:val="0"/>
      <w:autoSpaceDN w:val="0"/>
      <w:adjustRightInd w:val="0"/>
      <w:jc w:val="right"/>
    </w:pPr>
    <w:rPr>
      <w:rFonts w:cs="Arial"/>
      <w:szCs w:val="18"/>
    </w:rPr>
  </w:style>
  <w:style w:type="paragraph" w:customStyle="1" w:styleId="CopyrightText">
    <w:name w:val="Copyright Text"/>
    <w:basedOn w:val="BodyText"/>
    <w:rsid w:val="00445B35"/>
    <w:rPr>
      <w:sz w:val="18"/>
    </w:rPr>
  </w:style>
  <w:style w:type="paragraph" w:customStyle="1" w:styleId="BodySmallRight">
    <w:name w:val="Body Small Right"/>
    <w:basedOn w:val="BodyTextRight"/>
    <w:rsid w:val="00445B35"/>
    <w:rPr>
      <w:sz w:val="18"/>
      <w:szCs w:val="18"/>
    </w:rPr>
  </w:style>
  <w:style w:type="paragraph" w:customStyle="1" w:styleId="MarginEdition">
    <w:name w:val="Margin Edition"/>
    <w:basedOn w:val="MarginNote"/>
    <w:rsid w:val="00445B35"/>
    <w:pPr>
      <w:spacing w:before="0" w:after="0"/>
    </w:pPr>
    <w:rPr>
      <w:rFonts w:ascii="Times New Roman" w:hAnsi="Times New Roman"/>
      <w:color w:val="999999"/>
    </w:rPr>
  </w:style>
  <w:style w:type="paragraph" w:customStyle="1" w:styleId="Spacer">
    <w:name w:val="Spacer"/>
    <w:basedOn w:val="Normal"/>
    <w:rsid w:val="00445B35"/>
    <w:rPr>
      <w:sz w:val="2"/>
      <w:szCs w:val="2"/>
    </w:rPr>
  </w:style>
  <w:style w:type="character" w:customStyle="1" w:styleId="Small">
    <w:name w:val="Small"/>
    <w:basedOn w:val="DefaultParagraphFont"/>
    <w:rsid w:val="00445B35"/>
    <w:rPr>
      <w:sz w:val="16"/>
    </w:rPr>
  </w:style>
  <w:style w:type="paragraph" w:customStyle="1" w:styleId="WideTable">
    <w:name w:val="Wide Table"/>
    <w:basedOn w:val="Normal"/>
    <w:rsid w:val="00445B35"/>
    <w:pPr>
      <w:ind w:left="-1418"/>
    </w:pPr>
    <w:rPr>
      <w:sz w:val="2"/>
      <w:szCs w:val="2"/>
    </w:rPr>
  </w:style>
  <w:style w:type="character" w:styleId="PageNumber">
    <w:name w:val="page number"/>
    <w:basedOn w:val="DefaultParagraphFont"/>
    <w:rsid w:val="00445B35"/>
  </w:style>
  <w:style w:type="paragraph" w:styleId="Quote">
    <w:name w:val="Quote"/>
    <w:basedOn w:val="Heading1"/>
    <w:link w:val="QuoteChar"/>
    <w:qFormat/>
    <w:rsid w:val="00445B35"/>
    <w:rPr>
      <w:b w:val="0"/>
      <w:sz w:val="72"/>
      <w:szCs w:val="72"/>
      <w:lang w:val="en-NZ"/>
    </w:rPr>
  </w:style>
  <w:style w:type="character" w:customStyle="1" w:styleId="QuoteChar">
    <w:name w:val="Quote Char"/>
    <w:basedOn w:val="DefaultParagraphFont"/>
    <w:link w:val="Quote"/>
    <w:rsid w:val="00445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B35"/>
    <w:pPr>
      <w:pageBreakBefore/>
    </w:pPr>
  </w:style>
  <w:style w:type="paragraph" w:customStyle="1" w:styleId="Border">
    <w:name w:val="Border"/>
    <w:basedOn w:val="Normal"/>
    <w:qFormat/>
    <w:rsid w:val="00445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B35"/>
    <w:rPr>
      <w:b/>
      <w:bCs/>
      <w:i/>
      <w:iCs/>
      <w:color w:val="auto"/>
    </w:rPr>
  </w:style>
  <w:style w:type="paragraph" w:styleId="IntenseQuote">
    <w:name w:val="Intense Quote"/>
    <w:basedOn w:val="Normal"/>
    <w:next w:val="Normal"/>
    <w:link w:val="IntenseQuoteChar"/>
    <w:uiPriority w:val="30"/>
    <w:qFormat/>
    <w:rsid w:val="00445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B35"/>
    <w:rPr>
      <w:smallCaps/>
      <w:color w:val="auto"/>
      <w:u w:val="single"/>
    </w:rPr>
  </w:style>
  <w:style w:type="character" w:styleId="IntenseReference">
    <w:name w:val="Intense Reference"/>
    <w:basedOn w:val="DefaultParagraphFont"/>
    <w:uiPriority w:val="32"/>
    <w:qFormat/>
    <w:rsid w:val="00445B35"/>
    <w:rPr>
      <w:b/>
      <w:bCs/>
      <w:smallCaps/>
      <w:color w:val="auto"/>
      <w:spacing w:val="5"/>
      <w:u w:val="single"/>
    </w:rPr>
  </w:style>
  <w:style w:type="paragraph" w:customStyle="1" w:styleId="2ColumnHeading">
    <w:name w:val="2Column Heading"/>
    <w:basedOn w:val="BodyText"/>
    <w:qFormat/>
    <w:rsid w:val="00445B35"/>
    <w:pPr>
      <w:spacing w:after="60"/>
      <w:ind w:left="-2268"/>
    </w:pPr>
    <w:rPr>
      <w:b/>
    </w:rPr>
  </w:style>
  <w:style w:type="paragraph" w:customStyle="1" w:styleId="Heading1TOC">
    <w:name w:val="Heading1 TOC"/>
    <w:basedOn w:val="Normal"/>
    <w:qFormat/>
    <w:rsid w:val="00445B35"/>
    <w:pPr>
      <w:spacing w:before="240" w:after="120"/>
    </w:pPr>
    <w:rPr>
      <w:rFonts w:ascii="Times New Roman" w:hAnsi="Times New Roman"/>
      <w:b/>
      <w:sz w:val="32"/>
    </w:rPr>
  </w:style>
  <w:style w:type="paragraph" w:customStyle="1" w:styleId="Heading2TOC">
    <w:name w:val="Heading2 TOC"/>
    <w:basedOn w:val="Normal"/>
    <w:qFormat/>
    <w:rsid w:val="00445B35"/>
    <w:pPr>
      <w:spacing w:before="240" w:after="60"/>
    </w:pPr>
    <w:rPr>
      <w:rFonts w:ascii="Times New Roman" w:hAnsi="Times New Roman"/>
      <w:b/>
      <w:sz w:val="28"/>
    </w:rPr>
  </w:style>
  <w:style w:type="character" w:customStyle="1" w:styleId="Underline">
    <w:name w:val="Underline"/>
    <w:basedOn w:val="DefaultParagraphFont"/>
    <w:qFormat/>
    <w:rsid w:val="00445B35"/>
    <w:rPr>
      <w:u w:val="single"/>
    </w:rPr>
  </w:style>
  <w:style w:type="character" w:customStyle="1" w:styleId="BoldandItalics">
    <w:name w:val="Bold and Italics"/>
    <w:qFormat/>
    <w:rsid w:val="00445B35"/>
    <w:rPr>
      <w:b/>
      <w:i/>
      <w:u w:val="none"/>
    </w:rPr>
  </w:style>
  <w:style w:type="paragraph" w:styleId="BalloonText">
    <w:name w:val="Balloon Text"/>
    <w:basedOn w:val="Normal"/>
    <w:link w:val="BalloonTextChar"/>
    <w:rsid w:val="00445B35"/>
    <w:rPr>
      <w:rFonts w:ascii="Tahoma" w:hAnsi="Tahoma" w:cs="Tahoma"/>
      <w:sz w:val="16"/>
      <w:szCs w:val="16"/>
    </w:rPr>
  </w:style>
  <w:style w:type="character" w:customStyle="1" w:styleId="BalloonTextChar">
    <w:name w:val="Balloon Text Char"/>
    <w:basedOn w:val="DefaultParagraphFont"/>
    <w:link w:val="BalloonText"/>
    <w:rsid w:val="00445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B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5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B35"/>
    <w:rPr>
      <w:b/>
      <w:color w:val="660033"/>
      <w:spacing w:val="0"/>
    </w:rPr>
  </w:style>
  <w:style w:type="paragraph" w:customStyle="1" w:styleId="Nameditemlist">
    <w:name w:val="Named item list"/>
    <w:basedOn w:val="BodyText"/>
    <w:qFormat/>
    <w:rsid w:val="00445B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2704</Words>
  <Characters>17054</Characters>
  <Application>Microsoft Office Word</Application>
  <DocSecurity>0</DocSecurity>
  <Lines>763</Lines>
  <Paragraphs>331</Paragraphs>
  <ScaleCrop>false</ScaleCrop>
  <Company>Author-it Software Corporation Ltd.</Company>
  <LinksUpToDate>false</LinksUpToDate>
  <CharactersWithSpaces>19520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UETTDRIS57A Conduct visual checking and treatment of power system poles and structures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2012-10-11T21:26:00Z</dcterms:created>
  <dcterms:modified xsi:type="dcterms:W3CDTF">2012-10-11T21:26:00Z</dcterms:modified>
</cp:coreProperties>
</file>