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054" w:rsidP="00291054">
      <w:pPr>
        <w:pStyle w:val="Title"/>
      </w:pPr>
      <w:r>
        <w:fldChar w:fldCharType="begin"/>
      </w:r>
      <w:r>
        <w:instrText xml:space="preserve"> TITLE   \* MERGEFORMAT </w:instrText>
      </w:r>
      <w:r>
        <w:fldChar w:fldCharType="separate"/>
      </w:r>
      <w:r>
        <w:t>UETTDRIS56A Install and maintain low voltage overhead services</w:t>
      </w:r>
      <w:r>
        <w:fldChar w:fldCharType="end"/>
      </w:r>
    </w:p>
    <w:p w:rsidR="00291054" w:rsidP="00291054">
      <w:pPr>
        <w:pStyle w:val="Version"/>
        <w:sectPr w:rsidSect="00495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BCF" w:rsidP="00495BCF">
      <w:pPr>
        <w:pStyle w:val="SuperHeading"/>
      </w:pPr>
      <w:r w:rsidRPr="00495BCF">
        <w:t>UETTDRIS56A Install and maintain low voltage overhead services</w:t>
      </w:r>
    </w:p>
    <w:p w:rsidR="00000000" w:rsidRPr="00495BCF" w:rsidP="00495BCF">
      <w:pPr>
        <w:pStyle w:val="Heading1"/>
      </w:pPr>
      <w:bookmarkStart w:id="1" w:name="O_462686"/>
      <w:bookmarkEnd w:id="1"/>
      <w:r w:rsidRPr="00495BCF">
        <w:t>Modification History</w:t>
      </w:r>
    </w:p>
    <w:p w:rsidR="00000000" w:rsidRPr="00495BCF" w:rsidP="00495BCF">
      <w:pPr>
        <w:pStyle w:val="BodyText"/>
      </w:pPr>
      <w:r w:rsidRPr="00495BCF">
        <w:t>Not applicable.</w:t>
      </w:r>
    </w:p>
    <w:p w:rsidR="00000000" w:rsidRPr="00495BCF" w:rsidP="00495BCF">
      <w:pPr>
        <w:pStyle w:val="AllowPageBreak"/>
      </w:pPr>
    </w:p>
    <w:p w:rsidR="00000000" w:rsidRPr="00495BCF" w:rsidP="00495BCF">
      <w:pPr>
        <w:pStyle w:val="Heading1"/>
      </w:pPr>
      <w:bookmarkStart w:id="2" w:name="O_462684"/>
      <w:bookmarkEnd w:id="2"/>
      <w:r w:rsidRPr="00495BCF">
        <w:t>Unit Descriptor</w:t>
      </w:r>
    </w:p>
    <w:tbl>
      <w:tblPr>
        <w:tblW w:w="0" w:type="auto"/>
        <w:tblLayout w:type="fixed"/>
        <w:tblCellMar>
          <w:left w:w="62" w:type="dxa"/>
          <w:right w:w="62" w:type="dxa"/>
        </w:tblCellMar>
        <w:tblLook w:val="0000"/>
      </w:tblPr>
      <w:tblGrid>
        <w:gridCol w:w="2700"/>
        <w:gridCol w:w="5760"/>
      </w:tblGrid>
      <w:tr w:rsidTr="00291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1)</w:t>
            </w:r>
            <w:r w:rsidRPr="00495BCF">
              <w:t xml:space="preserve"> </w:t>
            </w:r>
            <w:r w:rsidRPr="00495BCF">
              <w:rPr>
                <w:rStyle w:val="SpecialBold"/>
              </w:rPr>
              <w:t>Scope: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5B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1.1) Descriptor</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This Competency Standard Unit covers the installation, maintenance and connection of low voltage overhead service lines and associated equipment (between the connection point and the point of supply - customers’ premises). Maintenance includes the repair a</w:t>
            </w:r>
            <w:r w:rsidRPr="00495BCF">
              <w:t>nd replacement of service cables, service fuses and the replacement and repair of service hardware, the identification and rectification of faults. It also covers insulation, voltage, polarity testing and phase rotation.</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3" w:name="O_462673"/>
      <w:bookmarkEnd w:id="3"/>
      <w:r w:rsidRPr="00495BCF">
        <w:t>Application of t</w:t>
      </w:r>
      <w:r w:rsidRPr="00495BCF">
        <w:t>he Unit</w:t>
      </w:r>
    </w:p>
    <w:tbl>
      <w:tblPr>
        <w:tblW w:w="0" w:type="auto"/>
        <w:tblLayout w:type="fixed"/>
        <w:tblCellMar>
          <w:left w:w="62" w:type="dxa"/>
          <w:right w:w="62" w:type="dxa"/>
        </w:tblCellMar>
        <w:tblLook w:val="0000"/>
      </w:tblPr>
      <w:tblGrid>
        <w:gridCol w:w="2672"/>
        <w:gridCol w:w="5699"/>
      </w:tblGrid>
      <w:tr w:rsidTr="002910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2)</w:t>
            </w:r>
          </w:p>
        </w:tc>
      </w:tr>
      <w:tr w:rsidTr="002910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This Competency Standard Unit is intended to augment formally acquired competencies. It is suitable for employment-based programs under an approved contract of training.</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4" w:name="O_462680"/>
      <w:bookmarkEnd w:id="4"/>
      <w:r w:rsidRPr="00495BCF">
        <w:t>Lice</w:t>
      </w:r>
      <w:r w:rsidRPr="00495BCF">
        <w:t>nsing/Regulatory Information</w:t>
      </w:r>
    </w:p>
    <w:tbl>
      <w:tblPr>
        <w:tblW w:w="0" w:type="auto"/>
        <w:tblLayout w:type="fixed"/>
        <w:tblCellMar>
          <w:left w:w="62" w:type="dxa"/>
          <w:right w:w="62" w:type="dxa"/>
        </w:tblCellMar>
        <w:tblLook w:val="0000"/>
      </w:tblPr>
      <w:tblGrid>
        <w:gridCol w:w="2700"/>
        <w:gridCol w:w="5760"/>
      </w:tblGrid>
      <w:tr w:rsidTr="00291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 xml:space="preserve">3)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The skills and knowledge described in this unit may require a licence/registration to practice in the work place subject to regulations for undertaking of electrical work. Practice in workplace and dur</w:t>
            </w:r>
            <w:r w:rsidRPr="00495BCF">
              <w:t xml:space="preserve">ing training is also subject to regulations directly related to Occupational Health and Safety, electricity/telecommunications/gas/water industry </w:t>
            </w:r>
            <w:r w:rsidRPr="00495BCF">
              <w:t>safety and compliance, industrial relations, environmental protection, anti discrimination and training. Commo</w:t>
            </w:r>
            <w:r w:rsidRPr="00495BCF">
              <w:t>nwealth, State/Territory or Local Government legislation and regulations may exist that limits the age of operating certain equipment.</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5" w:name="O_462681"/>
      <w:bookmarkEnd w:id="5"/>
      <w:r w:rsidRPr="00495BCF">
        <w:t>Pre-Requisites</w:t>
      </w:r>
    </w:p>
    <w:tbl>
      <w:tblPr>
        <w:tblW w:w="0" w:type="auto"/>
        <w:tblLayout w:type="fixed"/>
        <w:tblCellMar>
          <w:left w:w="62" w:type="dxa"/>
          <w:right w:w="62" w:type="dxa"/>
        </w:tblCellMar>
        <w:tblLook w:val="0000"/>
      </w:tblPr>
      <w:tblGrid>
        <w:gridCol w:w="2700"/>
        <w:gridCol w:w="1980"/>
        <w:gridCol w:w="3780"/>
      </w:tblGrid>
      <w:tr w:rsidTr="00291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 xml:space="preserve">4)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4.1)</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Granting of competency in this unit shall be made only after competency in the following unit(s) has/have been confirmed.</w:t>
            </w:r>
          </w:p>
          <w:p w:rsidR="00000000" w:rsidRPr="00495BCF" w:rsidP="00495BCF">
            <w:pPr>
              <w:pStyle w:val="BodyText"/>
            </w:pPr>
            <w:r w:rsidRPr="00495BCF">
              <w:t xml:space="preserve">Where pre-requisite pathways have been identified. All competencies in the Common Unit Group must be have been completed plus all the </w:t>
            </w:r>
            <w:r w:rsidRPr="00495BCF">
              <w:t>competencies in one (1) of the identified Pathway Unit Group(s):</w:t>
            </w:r>
          </w:p>
          <w:p w:rsidR="00000000" w:rsidRPr="00495BCF" w:rsidP="00495BCF">
            <w:pPr>
              <w:pStyle w:val="BodyText"/>
            </w:pPr>
            <w:r w:rsidRPr="00495BCF">
              <w:t>Transmission Overhead</w:t>
            </w:r>
          </w:p>
          <w:p w:rsidR="00000000" w:rsidRPr="00495BCF" w:rsidP="00495BCF">
            <w:pPr>
              <w:pStyle w:val="BodyText"/>
            </w:pPr>
            <w:r w:rsidRPr="00495BCF">
              <w:t>Distribution Overhead</w:t>
            </w:r>
          </w:p>
          <w:p w:rsidR="00000000" w:rsidRPr="00495BCF" w:rsidP="00495BCF">
            <w:pPr>
              <w:pStyle w:val="BodyText"/>
            </w:pPr>
            <w:r w:rsidRPr="00495BCF">
              <w:t>Rail Traction</w:t>
            </w:r>
          </w:p>
          <w:p w:rsidR="00000000" w:rsidRPr="00495BCF" w:rsidP="00495BCF">
            <w:pPr>
              <w:pStyle w:val="BodyText"/>
            </w:pPr>
            <w:r w:rsidRPr="00495BCF">
              <w:t>Distribution Cable Jointing</w:t>
            </w:r>
          </w:p>
          <w:p w:rsidR="00000000" w:rsidRPr="00495BCF" w:rsidP="00495BCF">
            <w:pPr>
              <w:pStyle w:val="BodyText"/>
            </w:pPr>
            <w:r w:rsidRPr="00495BCF">
              <w:t>Electrotechnology Electrician</w:t>
            </w:r>
          </w:p>
          <w:p w:rsidR="00000000" w:rsidP="00495BCF">
            <w:pPr>
              <w:pStyle w:val="BodyText"/>
              <w:rPr>
                <w:lang w:val="en-NZ"/>
              </w:rPr>
            </w:pPr>
            <w:r w:rsidRPr="00495BCF">
              <w:t>Common Unit Group</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Apply Occupational Health and Safety regulations, codes and practices in the workplace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Fabricate, assemble and dismantle utilities industry components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Solve problems in d.c.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Fix and secure electrotechnolog</w:t>
            </w:r>
            <w:r w:rsidRPr="00495BCF">
              <w:t>y equipment</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Use drawings, diagrams, schedules, </w:t>
            </w:r>
            <w:r w:rsidRPr="00495BCF">
              <w:t>standards, codes and specifications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Solve problems in electromagnetic devices and related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Solve problems in low voltage a.c.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Working safely near live electrical apparatus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 xml:space="preserve">Transmission Overhead Pathway Group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Apply sustainable energy and environmental procedures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Operate plant and equipment near live electrical conductors and apparatus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poles, structures, overhead conductors and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UETTDRTP26A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transmission structures and associated hardware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UETTDRTP27A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Maintain transmission structures and associated hardware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UETTDRTP29A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transmission overhead conductors and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Distribution Overhead Pathway Group</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UETTDRDP12A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Maintain o</w:t>
            </w:r>
            <w:r w:rsidRPr="00495BCF">
              <w:t xml:space="preserve">verhead energised low voltage conductors and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Apply sustainable energy and environmental procedures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Operate plant and equipment near live electrical conductors and apparatus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Install and maintain poles, structures and associated hardware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poles, structures, overhead conductors and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Rail Traction Pathway Group</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Apply sustainable energy and environmental procedures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Operate plant and equipment near live electrical conductors and apparatus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Install and maintain poles, structures and associated hardware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UETTDRIS54A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poles, structures, overhead conductors and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UETTDRRT21A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traction overhead wiring systems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UETTDRRT22A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Maintain traction overhead wiring systems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UETTDRRT23A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rail traction bonds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UETTDRRT27A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overhead traction components and equipment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UETTDRRT28A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Maintain overhead traction components and equipment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Distribution Cable Jointing Pathway Group</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UETTDRCJ21A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Lay ESI electrical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UETTDRCJ26A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de-energised low voltage underground polymeric cables.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UETTDRCJ27A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and maintain de-energised high voltage underground polymeric cables. </w:t>
            </w:r>
          </w:p>
        </w:tc>
      </w:tr>
      <w:tr w:rsidTr="00291054">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Apply sustainable energy and environmental procedures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UETTDREL12A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Operate plant and equipment near live electrical conductors and apparatus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UETTDRIS41A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Install network infrastructure electrical equipment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UETTDRIS42A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 xml:space="preserve">Maintain network infrastructure electrical equipment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UETTDRIS55A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Install and maintain low voltage</w:t>
            </w:r>
            <w:r w:rsidRPr="00495BCF">
              <w:t xml:space="preserve"> underground services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Electrotechnology Electrician Pathway Group</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Code</w:t>
            </w:r>
          </w:p>
        </w:tc>
        <w:tc>
          <w:tcPr>
            <w:tcW w:w="37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Unit Title</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UEENEEE137A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Document and apply measures to control OHS risks associated with electrotechnology work</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Solve problems in single and three phase low voltage machines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Solve problems in single and three phase electrical apparatus and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Arrange circuits, control and protection for general electrical installations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Terminate cables, cords and accessories for low voltage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Trouble-shoot and repair faults in low voltage electrical apparatus and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Develop and connect electrical control circuits</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Apply environmentally and sustainable energy procedures in the energy sector</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495BCF">
            <w:pPr>
              <w:pStyle w:val="BodyText"/>
              <w:rPr>
                <w:lang w:val="en-NZ"/>
              </w:rPr>
            </w:pPr>
            <w:r w:rsidRPr="00495BCF">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RPr="00495BCF" w:rsidP="00495BCF">
            <w:pPr>
              <w:pStyle w:val="BodyText"/>
            </w:pPr>
            <w:r w:rsidRPr="00495BCF">
              <w:t>Solve problems in energy supply network equipment</w:t>
            </w:r>
          </w:p>
        </w:tc>
      </w:tr>
    </w:tbl>
    <w:p w:rsidR="00000000" w:rsidRPr="00495BCF" w:rsidP="00495B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9105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 xml:space="preserve">4.2)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Participants are best equipped to achieve this unit if they have reading, writing and numeracy skills indicated by the following scales. Description of each scale is given in Volume 2, Part 3 “Literacy and Numeracy”</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Reading</w:t>
            </w:r>
          </w:p>
        </w:tc>
        <w:tc>
          <w:tcPr>
            <w:tcW w:w="81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w:t>
            </w:r>
          </w:p>
        </w:tc>
        <w:tc>
          <w:tcPr>
            <w:tcW w:w="99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Writing</w:t>
            </w:r>
          </w:p>
        </w:tc>
        <w:tc>
          <w:tcPr>
            <w:tcW w:w="90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w:t>
            </w:r>
          </w:p>
        </w:tc>
        <w:tc>
          <w:tcPr>
            <w:tcW w:w="12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Numeracy</w:t>
            </w:r>
          </w:p>
        </w:tc>
        <w:tc>
          <w:tcPr>
            <w:tcW w:w="72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3</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6" w:name="O_462677"/>
      <w:bookmarkEnd w:id="6"/>
      <w:r w:rsidRPr="00495BCF">
        <w:t>Employability Skills Information</w:t>
      </w:r>
    </w:p>
    <w:tbl>
      <w:tblPr>
        <w:tblW w:w="0" w:type="auto"/>
        <w:tblLayout w:type="fixed"/>
        <w:tblCellMar>
          <w:left w:w="62" w:type="dxa"/>
          <w:right w:w="62" w:type="dxa"/>
        </w:tblCellMar>
        <w:tblLook w:val="0000"/>
      </w:tblPr>
      <w:tblGrid>
        <w:gridCol w:w="2700"/>
        <w:gridCol w:w="5760"/>
      </w:tblGrid>
      <w:tr w:rsidTr="00291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 xml:space="preserve">5)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The required outcomes described in this unit of competency contain applicable facets of Employability Skills. The Employability Skills Summary of the qualification in which this u</w:t>
            </w:r>
            <w:r w:rsidRPr="00495BCF">
              <w:t>nit of competency is packaged will assist in identifying Employability Skill requirements.</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7" w:name="O_462676"/>
      <w:bookmarkEnd w:id="7"/>
      <w:r w:rsidRPr="00495BCF">
        <w:t>Elements and Performance Criteria Pre-Content</w:t>
      </w:r>
    </w:p>
    <w:tbl>
      <w:tblPr>
        <w:tblW w:w="0" w:type="auto"/>
        <w:tblLayout w:type="fixed"/>
        <w:tblCellMar>
          <w:left w:w="62" w:type="dxa"/>
          <w:right w:w="62" w:type="dxa"/>
        </w:tblCellMar>
        <w:tblLook w:val="0000"/>
      </w:tblPr>
      <w:tblGrid>
        <w:gridCol w:w="2700"/>
        <w:gridCol w:w="5760"/>
      </w:tblGrid>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6)</w:t>
            </w:r>
            <w:r w:rsidRPr="00495BC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Performance Criteria describe the required performance needed to demonstrate achievement of the element. Assessment of performance is to be consistent with the Evidence Guide.</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8" w:name="O_462675"/>
      <w:bookmarkEnd w:id="8"/>
      <w:r w:rsidRPr="00495BCF">
        <w:t>Elements and Performance Criteria</w:t>
      </w:r>
    </w:p>
    <w:tbl>
      <w:tblPr>
        <w:tblW w:w="0" w:type="auto"/>
        <w:tblLayout w:type="fixed"/>
        <w:tblCellMar>
          <w:left w:w="62" w:type="dxa"/>
          <w:right w:w="62" w:type="dxa"/>
        </w:tblCellMar>
        <w:tblLook w:val="0000"/>
      </w:tblPr>
      <w:tblGrid>
        <w:gridCol w:w="408"/>
        <w:gridCol w:w="2292"/>
        <w:gridCol w:w="920"/>
        <w:gridCol w:w="4840"/>
      </w:tblGrid>
      <w:tr w:rsidTr="002910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PERFORMANCE CRITER</w:t>
            </w:r>
            <w:r w:rsidRPr="00495BCF">
              <w:rPr>
                <w:rStyle w:val="SpecialBold"/>
              </w:rPr>
              <w:t>IA</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w:t>
            </w:r>
          </w:p>
        </w:tc>
        <w:tc>
          <w:tcPr>
            <w:tcW w:w="2292" w:type="dxa"/>
            <w:vMerge w:val="restart"/>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Prepare for the installation and maintenance of LV overhead services and associated equipment</w:t>
            </w: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1.1</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 xml:space="preserve">Works schedule(s), including drawings, plans, requirements, established procedures, and material lists, are received, analysed and confirmed, </w:t>
            </w:r>
            <w:r w:rsidRPr="00495BCF">
              <w:t>if necessary, by site inspection.</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1.2</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Relevant requirements and established procedures for the work are communicated to all personnel and identified for all work sites.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1.3</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OHS policies and procedures related to requirements and established procedures for the installation and maintenance of LV overhead services and associated equipment are obtained and confirmed for the purposes of the work to be performed and communicated.</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1.4</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Work is prioritised and sequenced following consultation with others for completion within acceptable timeframes and in accordance with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1.5</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Hazards are identified, OHS risks assessed and control measures are prioritised, im</w:t>
            </w:r>
            <w:r w:rsidRPr="00495BCF">
              <w:t>plemented and monitored including emergency exits kept clear according to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1.6</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Relevant work permits are obtained to access and perform work according to requirements and/or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1.7</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Resources including personnel, equipment, tools and personal protective equipment required for the job are obtained and confirmed in working order.</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1.8</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 xml:space="preserve">Relevant personnel at worksite are confirmed current in First Aid, Pole Top Rescue and other related </w:t>
            </w:r>
            <w:r w:rsidRPr="00495BCF">
              <w:t>work procedures according to requirements.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1.9</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Liaison and communication issues with other/authorised personnel, authorities, clients and land owners are resolved to carry out work where necessary.</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1.10</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Site is prepared according to the work schedule and to minimise risk and damage to property, commerce, and individuals in accordance with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1.11</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Personnel participating in the work, including plant operators and contractors, are fu</w:t>
            </w:r>
            <w:r w:rsidRPr="00495BCF">
              <w:t>lly briefed and respective responsibilities confirmed where applicable in accordance with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1.12</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Road signs, barriers and warning devices are positioned in accordance with requirements.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w:t>
            </w:r>
          </w:p>
        </w:tc>
        <w:tc>
          <w:tcPr>
            <w:tcW w:w="2292"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 xml:space="preserve">Carry out installation and maintenance of </w:t>
            </w:r>
            <w:r w:rsidRPr="00495BCF">
              <w:t>LV overhead services and associated equipment</w:t>
            </w: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2.1</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OHS and sustainable energy principles and practices to reduce the incidents of accidents and minimise waste are monitored and followed in accordance with requirements and/or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2.2</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L</w:t>
            </w:r>
            <w:r w:rsidRPr="00495BCF">
              <w:t>ifting, climbing, working aloft, and use of power tools/equipment, techniques and practices are safely followed and, currency according to requirements confirmed.</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2.3</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Essen</w:t>
            </w:r>
            <w:r w:rsidRPr="00495BCF">
              <w:t>tial knowledge and associated skills are applied in the safe installation and maintenance of LV overhead services and associated equipment to ensure completion to quality standards with a minimum of waste according to requirements.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2.4</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LV overhead servi</w:t>
            </w:r>
            <w:r w:rsidRPr="00495BCF">
              <w:t>ces and associated equipment are installed according to the work schedule and requirements/established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2.5</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Maintenance, including repair and/or replacement of LV overhead services and associated equipment is carried out, in accordance with t</w:t>
            </w:r>
            <w:r w:rsidRPr="00495BCF">
              <w:t>he work schedule and requirements/established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2.6</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Hazard warnings and safety signs are recognised and hazards and assessed OHS risks are reported to the immediate authorised persons for directions according to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2.7</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Unplanned events during the installation and maintenance of LV services and associated equipment are undertaken within the scope of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2.8</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Known solutions to a variety of problems are applied using acquired essential knowledge and a</w:t>
            </w:r>
            <w:r w:rsidRPr="00495BCF">
              <w:t>ssociated skills.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2.9</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Ongoing checks of quality of the work are undertaken in accordance with instructions and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w:t>
            </w:r>
          </w:p>
        </w:tc>
        <w:tc>
          <w:tcPr>
            <w:tcW w:w="2292" w:type="dxa"/>
            <w:vMerge w:val="restart"/>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Complete the installation and maintenance of LV overhead services and associated equipment</w:t>
            </w: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3.1</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Work undertaken is c</w:t>
            </w:r>
            <w:r w:rsidRPr="00495BCF">
              <w:t>hecked/tested against works schedule for conformance with requirements and anomalies reported in accordance with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3.2</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Accidents and/or injuries are reported in accordance with requirements/established procedures, where applicable.</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3.3</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Work site is rehabilitated, cleaned up and made safe in accordance with 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3.4</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 xml:space="preserve">Tools, equipment and any surplus resources and materials are, where appropriate, cleaned, checked and returned to storage in accordance with </w:t>
            </w:r>
            <w:r w:rsidRPr="00495BCF">
              <w:t>established procedures.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3.5</w:t>
            </w:r>
          </w:p>
        </w:tc>
        <w:tc>
          <w:tcPr>
            <w:tcW w:w="484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Relevant work permit(s) are signed off and, the LV overhead services and associated equipment are returned to service in accordance with requirements.</w:t>
            </w:r>
          </w:p>
        </w:tc>
      </w:tr>
      <w:tr w:rsidTr="0029105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t>3.6</w:t>
            </w:r>
          </w:p>
        </w:tc>
        <w:tc>
          <w:tcPr>
            <w:tcW w:w="484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Works completion records, reports, as installed /modified drawing a</w:t>
            </w:r>
            <w:r w:rsidRPr="00495BCF">
              <w:t>nd/or documentation and information are finalised and processed and appropriate personnel notified.</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9" w:name="O_462683"/>
      <w:bookmarkEnd w:id="9"/>
      <w:r w:rsidRPr="00495BCF">
        <w:t>Required Skills and Knowledge</w:t>
      </w:r>
    </w:p>
    <w:tbl>
      <w:tblPr>
        <w:tblW w:w="0" w:type="auto"/>
        <w:tblLayout w:type="fixed"/>
        <w:tblCellMar>
          <w:left w:w="62" w:type="dxa"/>
          <w:right w:w="62" w:type="dxa"/>
        </w:tblCellMar>
        <w:tblLook w:val="0000"/>
      </w:tblPr>
      <w:tblGrid>
        <w:gridCol w:w="8460"/>
      </w:tblGrid>
      <w:tr w:rsidTr="00291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REQUIRED SKILLS AND KNOWLEDGE</w:t>
            </w:r>
          </w:p>
        </w:tc>
      </w:tr>
      <w:tr w:rsidTr="0029105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8)</w:t>
            </w:r>
            <w:r w:rsidRPr="00495BCF">
              <w:t xml:space="preserve"> Essential Knowledge and Associated Skills (EKAS): This describes the essential skills and knowledge and their level, required for this unit.</w:t>
            </w:r>
          </w:p>
          <w:p w:rsidR="00000000" w:rsidRPr="00495BCF" w:rsidP="00495BCF">
            <w:pPr>
              <w:pStyle w:val="BodyText"/>
            </w:pPr>
            <w:r w:rsidRPr="00495BCF">
              <w:t>Evidence shall show that knowledge has been acquired of installing and maintaining low voltage services (overhead)</w:t>
            </w:r>
            <w:r w:rsidRPr="00495BCF">
              <w:t>.</w:t>
            </w:r>
          </w:p>
          <w:p w:rsidR="00000000" w:rsidRPr="00495BCF" w:rsidP="00495BCF">
            <w:pPr>
              <w:pStyle w:val="BodyText"/>
            </w:pPr>
            <w:r w:rsidRPr="00495BCF">
              <w:t>All knowledge and skills detailed in this unit should be contextualised to current industry practices and technologies.</w:t>
            </w:r>
          </w:p>
          <w:p w:rsidR="00000000" w:rsidRPr="00495BCF" w:rsidP="00495BCF">
            <w:pPr>
              <w:pStyle w:val="BodyText"/>
            </w:pPr>
            <w:r w:rsidRPr="00495BCF">
              <w:t xml:space="preserve">KS01-TIS56A </w:t>
            </w:r>
            <w:r w:rsidRPr="00495BCF">
              <w:tab/>
              <w:t>Low voltage electrical overhead service installation</w:t>
            </w:r>
          </w:p>
          <w:p w:rsidR="00000000" w:rsidRPr="00495BCF" w:rsidP="00495BCF">
            <w:pPr>
              <w:pStyle w:val="BodyText"/>
            </w:pPr>
            <w:r w:rsidRPr="00495BCF">
              <w:t>Evidence shall show an understanding of the installation of low volt</w:t>
            </w:r>
            <w:r w:rsidRPr="00495BCF">
              <w:t>age electrical services to an extent indicated by the following aspects:</w:t>
            </w:r>
          </w:p>
          <w:p w:rsidR="00000000" w:rsidRPr="00495BCF" w:rsidP="00495BCF">
            <w:pPr>
              <w:pStyle w:val="BodyText"/>
            </w:pPr>
            <w:r w:rsidRPr="00495BCF">
              <w:t>T1</w:t>
            </w:r>
            <w:r w:rsidRPr="00495BCF">
              <w:tab/>
              <w:t xml:space="preserve">Standards, codes, legislation, supply authority regulations and or enterprise requirements </w:t>
            </w:r>
          </w:p>
          <w:p w:rsidR="00000000" w:rsidRPr="00495BCF" w:rsidP="00495BCF">
            <w:pPr>
              <w:pStyle w:val="BodyText"/>
            </w:pPr>
            <w:r w:rsidRPr="00495BCF">
              <w:t>T2</w:t>
            </w:r>
            <w:r w:rsidRPr="00495BCF">
              <w:tab/>
              <w:t>Requirements for the use of enterprise construction manuals, system diagrams/plans an</w:t>
            </w:r>
            <w:r w:rsidRPr="00495BCF">
              <w:t xml:space="preserve">d drawings, encompassing: </w:t>
            </w:r>
          </w:p>
          <w:p w:rsidR="00000000" w:rsidRPr="00495BCF" w:rsidP="00495BCF">
            <w:pPr>
              <w:pStyle w:val="ListBullet"/>
            </w:pPr>
            <w:r w:rsidRPr="00495BCF">
              <w:t xml:space="preserve">Types of low voltage overhead services </w:t>
            </w:r>
          </w:p>
          <w:p w:rsidR="00000000" w:rsidRPr="00495BCF" w:rsidP="00495BCF">
            <w:pPr>
              <w:pStyle w:val="ListBullet"/>
            </w:pPr>
            <w:r w:rsidRPr="00495BCF">
              <w:t xml:space="preserve">Methods of construction and installation </w:t>
            </w:r>
          </w:p>
          <w:p w:rsidR="00000000" w:rsidRPr="00495BCF" w:rsidP="00495BCF">
            <w:pPr>
              <w:pStyle w:val="ListBullet"/>
            </w:pPr>
            <w:r w:rsidRPr="00495BCF">
              <w:t xml:space="preserve">Minimum clearances for overhead services to assets and structures </w:t>
            </w:r>
          </w:p>
          <w:p w:rsidR="00000000" w:rsidRPr="00495BCF" w:rsidP="00495BCF">
            <w:pPr>
              <w:pStyle w:val="ListBullet"/>
            </w:pPr>
            <w:r w:rsidRPr="00495BCF">
              <w:t xml:space="preserve">Ground clearances for overhead services </w:t>
            </w:r>
          </w:p>
          <w:p w:rsidR="00000000" w:rsidRPr="00495BCF" w:rsidP="00495BCF">
            <w:pPr>
              <w:pStyle w:val="ListBullet"/>
            </w:pPr>
            <w:r w:rsidRPr="00495BCF">
              <w:t xml:space="preserve">Maximum span lengths and tensions for </w:t>
            </w:r>
            <w:r w:rsidRPr="00495BCF">
              <w:t xml:space="preserve">overhead services </w:t>
            </w:r>
          </w:p>
          <w:p w:rsidR="00000000" w:rsidRPr="00495BCF" w:rsidP="00495BCF">
            <w:pPr>
              <w:pStyle w:val="ListBullet"/>
            </w:pPr>
            <w:r w:rsidRPr="00495BCF">
              <w:t xml:space="preserve">Customer poles </w:t>
            </w:r>
          </w:p>
          <w:p w:rsidR="00000000" w:rsidRPr="00495BCF" w:rsidP="00495BCF">
            <w:pPr>
              <w:pStyle w:val="BodyText"/>
            </w:pPr>
            <w:r w:rsidRPr="00495BCF">
              <w:t>T3</w:t>
            </w:r>
            <w:r w:rsidRPr="00495BCF">
              <w:tab/>
              <w:t xml:space="preserve">Installation equipment/tools </w:t>
            </w:r>
          </w:p>
          <w:p w:rsidR="00000000" w:rsidRPr="00495BCF" w:rsidP="00495BCF">
            <w:pPr>
              <w:pStyle w:val="ListBullet"/>
            </w:pPr>
            <w:r w:rsidRPr="00495BCF">
              <w:t xml:space="preserve">Equipment and tools for overhead service installation </w:t>
            </w:r>
          </w:p>
          <w:p w:rsidR="00000000" w:rsidRPr="00495BCF" w:rsidP="00495BCF">
            <w:pPr>
              <w:pStyle w:val="ListBullet"/>
            </w:pPr>
            <w:r w:rsidRPr="00495BCF">
              <w:t xml:space="preserve">Fittings and hardware for overhead service installation </w:t>
            </w:r>
          </w:p>
          <w:p w:rsidR="00000000" w:rsidRPr="00495BCF" w:rsidP="00495BCF">
            <w:pPr>
              <w:pStyle w:val="BodyText"/>
            </w:pPr>
            <w:r w:rsidRPr="00495BCF">
              <w:t>T4</w:t>
            </w:r>
            <w:r w:rsidRPr="00495BCF">
              <w:tab/>
            </w:r>
            <w:r w:rsidRPr="00495BCF">
              <w:t xml:space="preserve">Characteristics and applications of different types of cables encompassing: </w:t>
            </w:r>
          </w:p>
          <w:p w:rsidR="00000000" w:rsidRPr="00495BCF" w:rsidP="00495BCF">
            <w:pPr>
              <w:pStyle w:val="ListBullet"/>
            </w:pPr>
            <w:r w:rsidRPr="00495BCF">
              <w:t xml:space="preserve">Cable cross-sectional area of conductors </w:t>
            </w:r>
          </w:p>
          <w:p w:rsidR="00000000" w:rsidRPr="00495BCF" w:rsidP="00495BCF">
            <w:pPr>
              <w:pStyle w:val="ListBullet"/>
            </w:pPr>
            <w:r w:rsidRPr="00495BCF">
              <w:t xml:space="preserve">Current rating and fuse types and ratings </w:t>
            </w:r>
          </w:p>
          <w:p w:rsidR="00000000" w:rsidRPr="00495BCF" w:rsidP="00495BCF">
            <w:pPr>
              <w:pStyle w:val="BodyText"/>
            </w:pPr>
            <w:r w:rsidRPr="00495BCF">
              <w:t>T5</w:t>
            </w:r>
            <w:r w:rsidRPr="00495BCF">
              <w:tab/>
              <w:t xml:space="preserve">Stringing and terminating methods encompassing: </w:t>
            </w:r>
          </w:p>
          <w:p w:rsidR="00000000" w:rsidRPr="00495BCF" w:rsidP="00495BCF">
            <w:pPr>
              <w:pStyle w:val="ListBullet"/>
            </w:pPr>
            <w:r w:rsidRPr="00495BCF">
              <w:t xml:space="preserve">Energised and de-energised cables </w:t>
            </w:r>
          </w:p>
          <w:p w:rsidR="00000000" w:rsidRPr="00495BCF" w:rsidP="00495BCF">
            <w:pPr>
              <w:pStyle w:val="ListBullet"/>
            </w:pPr>
            <w:r w:rsidRPr="00495BCF">
              <w:t>Conne</w:t>
            </w:r>
            <w:r w:rsidRPr="00495BCF">
              <w:t xml:space="preserve">ctions to point of attachment, fuse boxes and pole top boxes </w:t>
            </w:r>
          </w:p>
          <w:p w:rsidR="00000000" w:rsidRPr="00495BCF" w:rsidP="00495BCF">
            <w:pPr>
              <w:pStyle w:val="ListBullet"/>
            </w:pPr>
            <w:r w:rsidRPr="00495BCF">
              <w:t xml:space="preserve">Termination at customer pole </w:t>
            </w:r>
          </w:p>
          <w:p w:rsidR="00000000" w:rsidRPr="00495BCF" w:rsidP="00495BCF">
            <w:pPr>
              <w:pStyle w:val="BodyText"/>
            </w:pPr>
            <w:r w:rsidRPr="00495BCF">
              <w:t>T6</w:t>
            </w:r>
            <w:r w:rsidRPr="00495BCF">
              <w:tab/>
              <w:t xml:space="preserve">Connection of overhead services: </w:t>
            </w:r>
          </w:p>
          <w:p w:rsidR="00000000" w:rsidRPr="00495BCF" w:rsidP="00495BCF">
            <w:pPr>
              <w:pStyle w:val="ListBullet"/>
            </w:pPr>
            <w:r w:rsidRPr="00495BCF">
              <w:t xml:space="preserve">Types of overhead service connections </w:t>
            </w:r>
          </w:p>
          <w:p w:rsidR="00000000" w:rsidRPr="00495BCF" w:rsidP="00495BCF">
            <w:pPr>
              <w:pStyle w:val="ListBullet"/>
            </w:pPr>
            <w:r w:rsidRPr="00495BCF">
              <w:t xml:space="preserve">Live low voltage work principles </w:t>
            </w:r>
          </w:p>
          <w:p w:rsidR="00000000" w:rsidRPr="00495BCF" w:rsidP="00495BCF">
            <w:pPr>
              <w:pStyle w:val="BodyText"/>
            </w:pPr>
            <w:r w:rsidRPr="00495BCF">
              <w:t>T7</w:t>
            </w:r>
            <w:r w:rsidRPr="00495BCF">
              <w:tab/>
              <w:t>Techniques for maintenance of overhead service ins</w:t>
            </w:r>
            <w:r w:rsidRPr="00495BCF">
              <w:t xml:space="preserve">tallations encompassing: </w:t>
            </w:r>
          </w:p>
          <w:p w:rsidR="00000000" w:rsidRPr="00495BCF" w:rsidP="00495BCF">
            <w:pPr>
              <w:pStyle w:val="ListBullet"/>
            </w:pPr>
            <w:r w:rsidRPr="00495BCF">
              <w:t xml:space="preserve">Diagnosis and repair of faults </w:t>
            </w:r>
          </w:p>
          <w:p w:rsidR="00000000" w:rsidRPr="00495BCF" w:rsidP="00495BCF">
            <w:pPr>
              <w:pStyle w:val="ListBullet"/>
            </w:pPr>
            <w:r w:rsidRPr="00495BCF">
              <w:t xml:space="preserve">Removing, repairing and replacing of damaged overhead services </w:t>
            </w:r>
          </w:p>
          <w:p w:rsidR="00000000" w:rsidRPr="00495BCF" w:rsidP="00495BCF">
            <w:pPr>
              <w:pStyle w:val="ListBullet"/>
            </w:pPr>
            <w:r w:rsidRPr="00495BCF">
              <w:t xml:space="preserve">Removing and replacing pole type fuses </w:t>
            </w:r>
          </w:p>
          <w:p w:rsidR="00000000" w:rsidRPr="00495BCF" w:rsidP="00495BCF">
            <w:pPr>
              <w:pStyle w:val="BodyText"/>
            </w:pPr>
            <w:r w:rsidRPr="00495BCF">
              <w:t>T8</w:t>
            </w:r>
            <w:r w:rsidRPr="00495BCF">
              <w:tab/>
              <w:t xml:space="preserve">Testing and commissioning procedures encompassing: </w:t>
            </w:r>
          </w:p>
          <w:p w:rsidR="00000000" w:rsidRPr="00495BCF" w:rsidP="00495BCF">
            <w:pPr>
              <w:pStyle w:val="ListBullet"/>
            </w:pPr>
            <w:r w:rsidRPr="00495BCF">
              <w:t xml:space="preserve">Inspection </w:t>
            </w:r>
          </w:p>
          <w:p w:rsidR="00000000" w:rsidRPr="00495BCF" w:rsidP="00495BCF">
            <w:pPr>
              <w:pStyle w:val="ListBullet"/>
            </w:pPr>
            <w:r w:rsidRPr="00495BCF">
              <w:t>Equipment functionality t</w:t>
            </w:r>
            <w:r w:rsidRPr="00495BCF">
              <w:t xml:space="preserve">ests </w:t>
            </w:r>
          </w:p>
          <w:p w:rsidR="00000000" w:rsidRPr="00495BCF" w:rsidP="00495BCF">
            <w:pPr>
              <w:pStyle w:val="ListBullet"/>
            </w:pPr>
            <w:r w:rsidRPr="00495BCF">
              <w:t xml:space="preserve">Continuity tests </w:t>
            </w:r>
          </w:p>
          <w:p w:rsidR="00000000" w:rsidRPr="00495BCF" w:rsidP="00495BCF">
            <w:pPr>
              <w:pStyle w:val="ListBullet"/>
            </w:pPr>
            <w:r w:rsidRPr="00495BCF">
              <w:t xml:space="preserve">Polarity, voltage and phase sequence tests </w:t>
            </w:r>
          </w:p>
          <w:p w:rsidR="00000000" w:rsidRPr="00495BCF" w:rsidP="00495BCF">
            <w:pPr>
              <w:pStyle w:val="ListBullet"/>
            </w:pPr>
            <w:r w:rsidRPr="00495BCF">
              <w:t xml:space="preserve">Neutral and phase identification tests </w:t>
            </w:r>
          </w:p>
          <w:p w:rsidR="00000000" w:rsidRPr="00495BCF" w:rsidP="00495BCF">
            <w:pPr>
              <w:pStyle w:val="ListBullet"/>
            </w:pPr>
            <w:r w:rsidRPr="00495BCF">
              <w:t xml:space="preserve">Neutral integrity tests </w:t>
            </w:r>
          </w:p>
          <w:p w:rsidR="00000000" w:rsidRPr="00495BCF" w:rsidP="00495BCF">
            <w:pPr>
              <w:pStyle w:val="ListBullet"/>
            </w:pPr>
            <w:r w:rsidRPr="00495BCF">
              <w:t xml:space="preserve">Meter function test </w:t>
            </w:r>
          </w:p>
          <w:p w:rsidR="00000000" w:rsidRPr="00495BCF" w:rsidP="00495BCF">
            <w:pPr>
              <w:pStyle w:val="ListBullet"/>
            </w:pPr>
            <w:r w:rsidRPr="00495BCF">
              <w:t xml:space="preserve">Testing check forms </w:t>
            </w:r>
          </w:p>
          <w:p w:rsidR="00000000" w:rsidRPr="00495BCF" w:rsidP="00495BCF">
            <w:pPr>
              <w:pStyle w:val="BodyText"/>
            </w:pPr>
            <w:r w:rsidRPr="00495BCF">
              <w:t>T9</w:t>
            </w:r>
            <w:r w:rsidRPr="00495BCF">
              <w:tab/>
              <w:t xml:space="preserve">Connection principles: </w:t>
            </w:r>
          </w:p>
          <w:p w:rsidR="00000000" w:rsidRPr="00495BCF" w:rsidP="00495BCF">
            <w:pPr>
              <w:pStyle w:val="ListBullet"/>
            </w:pPr>
            <w:r w:rsidRPr="00495BCF">
              <w:t xml:space="preserve">Purpose and function of MEN system </w:t>
            </w:r>
          </w:p>
          <w:p w:rsidR="00000000" w:rsidRPr="00495BCF" w:rsidP="00495BCF">
            <w:pPr>
              <w:pStyle w:val="ListBullet"/>
            </w:pPr>
            <w:r w:rsidRPr="00495BCF">
              <w:t xml:space="preserve">Types of connection faults </w:t>
            </w:r>
          </w:p>
          <w:p w:rsidR="00000000" w:rsidRPr="00495BCF" w:rsidP="00495BCF">
            <w:pPr>
              <w:pStyle w:val="ListBullet"/>
            </w:pPr>
            <w:r w:rsidRPr="00495BCF">
              <w:t xml:space="preserve">Causes and effects of incorrect and poor electrical connections </w:t>
            </w:r>
          </w:p>
          <w:p w:rsidR="00000000" w:rsidRPr="00495BCF" w:rsidP="00495BCF">
            <w:pPr>
              <w:pStyle w:val="ListBullet"/>
            </w:pPr>
            <w:r w:rsidRPr="00495BCF">
              <w:t xml:space="preserve">Principles of loop impedance </w:t>
            </w:r>
          </w:p>
          <w:p w:rsidR="00000000" w:rsidRPr="00495BCF" w:rsidP="00495BCF">
            <w:pPr>
              <w:pStyle w:val="ListBullet"/>
            </w:pPr>
            <w:r w:rsidRPr="00495BCF">
              <w:t xml:space="preserve">Reasons for and methods used to maintain standard phase sequencing </w:t>
            </w:r>
          </w:p>
          <w:p w:rsidR="00000000" w:rsidRPr="00495BCF" w:rsidP="00495BCF">
            <w:pPr>
              <w:pStyle w:val="ListBullet"/>
            </w:pPr>
            <w:r w:rsidRPr="00495BCF">
              <w:t xml:space="preserve">Purpose and operation of service fusing </w:t>
            </w:r>
          </w:p>
          <w:p w:rsidR="00000000" w:rsidRPr="00495BCF" w:rsidP="00495BCF">
            <w:pPr>
              <w:pStyle w:val="ListBullet"/>
            </w:pPr>
            <w:r w:rsidRPr="00495BCF">
              <w:t>Use of independent earth</w:t>
            </w:r>
            <w:r w:rsidRPr="00495BCF">
              <w:t xml:space="preserve"> for testing </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10" w:name="O_462678"/>
      <w:bookmarkEnd w:id="10"/>
      <w:r w:rsidRPr="00495BCF">
        <w:t>Evidence Guide</w:t>
      </w:r>
    </w:p>
    <w:tbl>
      <w:tblPr>
        <w:tblW w:w="0" w:type="auto"/>
        <w:tblLayout w:type="fixed"/>
        <w:tblCellMar>
          <w:left w:w="62" w:type="dxa"/>
          <w:right w:w="62" w:type="dxa"/>
        </w:tblCellMar>
        <w:tblLook w:val="0000"/>
      </w:tblPr>
      <w:tblGrid>
        <w:gridCol w:w="8460"/>
      </w:tblGrid>
      <w:tr w:rsidTr="00291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EVIDENCE GUIDE</w:t>
            </w:r>
          </w:p>
        </w:tc>
      </w:tr>
      <w:tr w:rsidTr="002910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9)</w:t>
            </w:r>
            <w:r w:rsidRPr="00495BCF">
              <w:t xml:space="preserve"> This provides essential advice for assessment of the unit of competency and must be read in conjunction </w:t>
            </w:r>
            <w:r w:rsidRPr="00495BCF">
              <w:t>with the Performance Criteria and the range statement of the unit of competency and the Training Package Assessment Guidelines.</w:t>
            </w:r>
          </w:p>
          <w:p w:rsidR="00000000" w:rsidRPr="00495BCF" w:rsidP="00495BCF">
            <w:pPr>
              <w:pStyle w:val="BodyText"/>
            </w:pPr>
            <w:r w:rsidRPr="00495BCF">
              <w:t>The Evidence Guide forms an integral part of this Competency Standard Unit and shall be used in conjunction with all component p</w:t>
            </w:r>
            <w:r w:rsidRPr="00495BCF">
              <w:t>arts of this unit and, performed in accordance with the Assessment Guidelines of this Training Package.</w:t>
            </w:r>
          </w:p>
        </w:tc>
      </w:tr>
    </w:tbl>
    <w:p w:rsidR="00000000" w:rsidRPr="00495BCF" w:rsidP="00495BCF">
      <w:pPr>
        <w:pStyle w:val="BodyText"/>
      </w:pPr>
    </w:p>
    <w:tbl>
      <w:tblPr>
        <w:tblW w:w="0" w:type="auto"/>
        <w:tblLayout w:type="fixed"/>
        <w:tblCellMar>
          <w:left w:w="62" w:type="dxa"/>
          <w:right w:w="62" w:type="dxa"/>
        </w:tblCellMar>
        <w:tblLook w:val="0000"/>
      </w:tblPr>
      <w:tblGrid>
        <w:gridCol w:w="1890"/>
        <w:gridCol w:w="6570"/>
      </w:tblGrid>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9.1)</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Longitudinal competency development approaches to assessment, such as Profiling, require data to be reliably gathered in a form that can be consistently interpreted over time. This approach is best utilised in Apprenticeship programs and reduces assessment</w:t>
            </w:r>
            <w:r w:rsidRPr="00495BC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95BCF">
              <w:t>tency in a realistically simulated work environment. It is recognised that, in some circumstances, assessment in part or full can occur outside the workplace. However, it must be in accord with Industry and, Regulatory policy in this regard.</w:t>
            </w:r>
          </w:p>
          <w:p w:rsidR="00000000" w:rsidRPr="00495BCF" w:rsidP="00495BCF">
            <w:pPr>
              <w:pStyle w:val="BodyText"/>
            </w:pPr>
            <w:r w:rsidRPr="00495BCF">
              <w:t>Methods chosen</w:t>
            </w:r>
            <w:r w:rsidRPr="00495BC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95BCF">
              <w:t>equired and the critical nature of the competencies being assessed.</w:t>
            </w:r>
          </w:p>
          <w:p w:rsidR="00000000" w:rsidRPr="00495BCF" w:rsidP="00495BCF">
            <w:pPr>
              <w:pStyle w:val="BodyText"/>
            </w:pPr>
            <w:r w:rsidRPr="00495BCF">
              <w:t>The critical safety nature of working with electricity, electrical equipment, gas or any other hazardous substance/material carries risk in deeming a person competent. Hence, sources of ev</w:t>
            </w:r>
            <w:r w:rsidRPr="00495BCF">
              <w:t>idence need to be ‘rich’ in nature so as to minimise error in judgment.</w:t>
            </w:r>
          </w:p>
          <w:p w:rsidR="00000000" w:rsidRPr="00495BCF" w:rsidP="00495BCF">
            <w:pPr>
              <w:pStyle w:val="BodyText"/>
            </w:pPr>
            <w:r w:rsidRPr="00495BCF">
              <w:t>Activities associated with normal every day work have a bearing on the decision as to how much and how detailed the data gathered will contribute to its ‘richness’. Some skills are mor</w:t>
            </w:r>
            <w:r w:rsidRPr="00495BCF">
              <w:t>e critical to safety and operational requirements while the same skills may be more or less frequently practiced. These points are raised for the assessors to consider when choosing an assessment method and developing assessment instruments. Sample assessm</w:t>
            </w:r>
            <w:r w:rsidRPr="00495BCF">
              <w:t>ent instruments are included for Assessors in the Assessment Guidelines of this Training Package.</w:t>
            </w:r>
          </w:p>
        </w:tc>
      </w:tr>
    </w:tbl>
    <w:p w:rsidR="00000000" w:rsidRPr="00495BCF" w:rsidP="00495BC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9.2)</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Before the critical aspects of evidence are considered all prerequisi</w:t>
            </w:r>
            <w:r w:rsidRPr="00495BCF">
              <w:t>tes shall be met.</w:t>
            </w:r>
          </w:p>
          <w:p w:rsidR="00000000" w:rsidRPr="00495BCF" w:rsidP="00495BCF">
            <w:pPr>
              <w:pStyle w:val="BodyText"/>
            </w:pPr>
            <w:r w:rsidRPr="00495BCF">
              <w:t>Evidence for competence in this unit shall be considered holistically. Each element and associated Performance Criteria shall be demonstrated on at least two occasions in accordance with the “Assessment Guidelines – UET12”. Evidence shall</w:t>
            </w:r>
            <w:r w:rsidRPr="00495BCF">
              <w:t xml:space="preserve"> also comprise:</w:t>
            </w:r>
          </w:p>
          <w:p w:rsidR="00000000" w:rsidRPr="00495BCF" w:rsidP="00495BCF">
            <w:pPr>
              <w:pStyle w:val="ListBullet"/>
            </w:pPr>
            <w:r w:rsidRPr="00495BCF">
              <w:t>A representative body of Performance Criteria demonstrated within the timeframes typically expe</w:t>
            </w:r>
            <w:r w:rsidRPr="00495BCF">
              <w:t>cted of the discipline, work function and industrial environment. In particular this shall incorporate evidence that shows a candidate is able to:</w:t>
            </w:r>
          </w:p>
          <w:p w:rsidR="00000000" w:rsidRPr="00495BCF" w:rsidP="00495BCF">
            <w:pPr>
              <w:pStyle w:val="ListBullet2"/>
            </w:pPr>
            <w:r w:rsidRPr="00495BCF">
              <w:t>Implement Occupational Health and Safety workplace procedures and practices including the use of risk contro</w:t>
            </w:r>
            <w:r w:rsidRPr="00495BCF">
              <w:t>l measures as specified in the Performance Criteria and range; and</w:t>
            </w:r>
          </w:p>
          <w:p w:rsidR="00000000" w:rsidRPr="00495BCF" w:rsidP="00495BCF">
            <w:pPr>
              <w:pStyle w:val="ListBullet2"/>
            </w:pPr>
            <w:r w:rsidRPr="00495BCF">
              <w:t>Apply sustainable energy principles and practices as specified in the Performance Criteria and range; and</w:t>
            </w:r>
          </w:p>
          <w:p w:rsidR="00000000" w:rsidRPr="00495BCF" w:rsidP="00495BCF">
            <w:pPr>
              <w:pStyle w:val="ListBullet2"/>
            </w:pPr>
            <w:r w:rsidRPr="00495BCF">
              <w:t>Demonstrate an understanding of the essential knowledge and associated skills as de</w:t>
            </w:r>
            <w:r w:rsidRPr="00495BCF">
              <w:t>scribed in this unit to such an extent that the learner’s performance outcome is reported in accordance with the preferred approach; namely a percentile graded result, where required by the regulated environment; and</w:t>
            </w:r>
          </w:p>
          <w:p w:rsidR="00000000" w:rsidRPr="00495BCF" w:rsidP="00495BCF">
            <w:pPr>
              <w:pStyle w:val="ListBullet2"/>
            </w:pPr>
            <w:r w:rsidRPr="00495BCF">
              <w:t>Demonstrate an appropriate level of emp</w:t>
            </w:r>
            <w:r w:rsidRPr="00495BCF">
              <w:t>loyability skills; and</w:t>
            </w:r>
          </w:p>
          <w:p w:rsidR="00000000" w:rsidRPr="00495BCF" w:rsidP="00495BCF">
            <w:pPr>
              <w:pStyle w:val="ListBullet"/>
            </w:pPr>
            <w:r w:rsidRPr="00495BCF">
              <w:t>Conduct work observing the relevant Anti Discrimination legislation, regulations, policies and workplace procedures; and</w:t>
            </w:r>
          </w:p>
          <w:p w:rsidR="00000000" w:rsidP="00495BCF">
            <w:pPr>
              <w:pStyle w:val="ListBullet2"/>
              <w:rPr>
                <w:lang w:val="en-NZ"/>
              </w:rPr>
            </w:pPr>
            <w:r w:rsidRPr="00495BCF">
              <w:t>Demonstrated performance across a representative range of contexts from the prescribed items below:</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95BC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rPr>
                <w:rStyle w:val="SpecialBold"/>
              </w:rPr>
              <w:t>Range of tools/equipment/materials/procedures/workplaces/other variables</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95BC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rPr>
                <w:rStyle w:val="SpecialBold"/>
              </w:rPr>
              <w:t>Item List</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t>Overhead service line (three phase)*</w:t>
            </w:r>
          </w:p>
          <w:p w:rsidR="00000000" w:rsidRPr="00495BCF" w:rsidP="00495BCF">
            <w:pPr>
              <w:pStyle w:val="BodyText"/>
            </w:pPr>
            <w:r w:rsidRPr="00495BCF">
              <w:t xml:space="preserve">Overhead </w:t>
            </w:r>
            <w:r w:rsidRPr="00495BCF">
              <w:t>service line (single phase)</w:t>
            </w:r>
          </w:p>
          <w:p w:rsidR="00000000" w:rsidRPr="00495BCF" w:rsidP="00495BCF">
            <w:pPr>
              <w:pStyle w:val="BodyText"/>
            </w:pPr>
            <w:r w:rsidRPr="00495BCF">
              <w:t xml:space="preserve">Overhead service line (two phase) </w:t>
            </w:r>
          </w:p>
          <w:p w:rsidR="00000000" w:rsidP="00495BCF">
            <w:pPr>
              <w:pStyle w:val="BodyText"/>
              <w:rPr>
                <w:lang w:val="en-NZ"/>
              </w:rPr>
            </w:pPr>
            <w:r w:rsidRPr="00495BCF">
              <w:t>(* must do)</w:t>
            </w:r>
          </w:p>
        </w:tc>
      </w:tr>
      <w:tr w:rsidTr="00291054">
        <w:tblPrEx>
          <w:tblW w:w="0" w:type="auto"/>
          <w:tblLayout w:type="fixed"/>
          <w:tblCellMar>
            <w:left w:w="62" w:type="dxa"/>
            <w:right w:w="62" w:type="dxa"/>
          </w:tblCellMar>
          <w:tblLook w:val="0000"/>
        </w:tblPrEx>
        <w:trPr>
          <w:trHeight w:val="133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t>Service fuse</w:t>
            </w:r>
          </w:p>
          <w:p w:rsidR="00000000" w:rsidRPr="00495BCF" w:rsidP="00495BCF">
            <w:pPr>
              <w:pStyle w:val="BodyText"/>
            </w:pPr>
            <w:r w:rsidRPr="00495BCF">
              <w:t>Circuit breakers (pole)</w:t>
            </w:r>
          </w:p>
          <w:p w:rsidR="00000000" w:rsidP="00495BCF">
            <w:pPr>
              <w:pStyle w:val="BodyText"/>
              <w:rPr>
                <w:lang w:val="en-NZ"/>
              </w:rPr>
            </w:pPr>
            <w:r w:rsidRPr="00495BCF">
              <w:t>Service link</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t>Polarity test *</w:t>
            </w:r>
          </w:p>
          <w:p w:rsidR="00000000" w:rsidRPr="00495BCF" w:rsidP="00495BCF">
            <w:pPr>
              <w:pStyle w:val="BodyText"/>
            </w:pPr>
            <w:r w:rsidRPr="00495BCF">
              <w:t>Phase rotation test</w:t>
            </w:r>
          </w:p>
          <w:p w:rsidR="00000000" w:rsidRPr="00495BCF" w:rsidP="00495BCF">
            <w:pPr>
              <w:pStyle w:val="BodyText"/>
            </w:pPr>
            <w:r w:rsidRPr="00495BCF">
              <w:t>Continuity test</w:t>
            </w:r>
          </w:p>
          <w:p w:rsidR="00000000" w:rsidRPr="00495BCF" w:rsidP="00495BCF">
            <w:pPr>
              <w:pStyle w:val="BodyText"/>
            </w:pPr>
            <w:r w:rsidRPr="00495BCF">
              <w:t xml:space="preserve">Voltage test </w:t>
            </w:r>
          </w:p>
          <w:p w:rsidR="00000000" w:rsidP="00495BCF">
            <w:pPr>
              <w:pStyle w:val="BodyText"/>
              <w:rPr>
                <w:lang w:val="en-NZ"/>
              </w:rPr>
            </w:pPr>
            <w:r w:rsidRPr="00495BCF">
              <w:t>(* must do)</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t>Aluminium LV mains</w:t>
            </w:r>
          </w:p>
          <w:p w:rsidR="00000000" w:rsidRPr="00495BCF" w:rsidP="00495BCF">
            <w:pPr>
              <w:pStyle w:val="BodyText"/>
            </w:pPr>
            <w:r w:rsidRPr="00495BCF">
              <w:t>Copper LV mains</w:t>
            </w:r>
          </w:p>
          <w:p w:rsidR="00000000" w:rsidP="00495BCF">
            <w:pPr>
              <w:pStyle w:val="BodyText"/>
              <w:rPr>
                <w:lang w:val="en-NZ"/>
              </w:rPr>
            </w:pPr>
            <w:r w:rsidRPr="00495BCF">
              <w:t>LV ABC mains</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BCF">
            <w:pPr>
              <w:pStyle w:val="BodyText"/>
              <w:rPr>
                <w:lang w:val="en-NZ"/>
              </w:rPr>
            </w:pPr>
            <w:r w:rsidRPr="00495BC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BCF" w:rsidP="00495BCF">
            <w:pPr>
              <w:pStyle w:val="BodyText"/>
            </w:pPr>
            <w:r w:rsidRPr="00495BCF">
              <w:t>Dealing with an unplanned event by drawing on essential knowledge and associated</w:t>
            </w:r>
            <w:r w:rsidRPr="00495BCF">
              <w:t xml:space="preserve"> skills to provide appropriate solutions incorporated in the holistic assessment with the above listed items.</w:t>
            </w:r>
          </w:p>
        </w:tc>
      </w:tr>
    </w:tbl>
    <w:p w:rsidR="00000000" w:rsidRPr="00495BCF" w:rsidP="00495BCF">
      <w:pPr>
        <w:pStyle w:val="BodyText"/>
      </w:pPr>
    </w:p>
    <w:tbl>
      <w:tblPr>
        <w:tblW w:w="0" w:type="auto"/>
        <w:tblLayout w:type="fixed"/>
        <w:tblCellMar>
          <w:left w:w="62" w:type="dxa"/>
          <w:right w:w="62" w:type="dxa"/>
        </w:tblCellMar>
        <w:tblLook w:val="0000"/>
      </w:tblPr>
      <w:tblGrid>
        <w:gridCol w:w="1890"/>
        <w:gridCol w:w="6570"/>
      </w:tblGrid>
      <w:tr w:rsidTr="0029105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9.3)</w:t>
            </w:r>
          </w:p>
        </w:tc>
      </w:tr>
      <w:tr w:rsidTr="0029105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This unit should be assessed as it relates to normal work practice using proc</w:t>
            </w:r>
            <w:r w:rsidRPr="00495BCF">
              <w:t>edures, information and resources typical of a workplace. This should include:</w:t>
            </w:r>
          </w:p>
          <w:p w:rsidR="00000000" w:rsidRPr="00495BCF" w:rsidP="00495BCF">
            <w:pPr>
              <w:pStyle w:val="ListBullet"/>
            </w:pPr>
            <w:r w:rsidRPr="00495BCF">
              <w:t>OHS policy and work procedures and instructions.</w:t>
            </w:r>
          </w:p>
          <w:p w:rsidR="00000000" w:rsidRPr="00495BCF" w:rsidP="00495BCF">
            <w:pPr>
              <w:pStyle w:val="ListBullet"/>
            </w:pPr>
            <w:r w:rsidRPr="00495BCF">
              <w:t xml:space="preserve">Suitable work environment, facilities, equipment and materials to undertake actual installation and maintenance of overhead LV </w:t>
            </w:r>
            <w:r w:rsidRPr="00495BCF">
              <w:t xml:space="preserve">services. </w:t>
            </w:r>
          </w:p>
          <w:p w:rsidR="00000000" w:rsidRPr="00495BCF" w:rsidP="00495BCF">
            <w:pPr>
              <w:pStyle w:val="BodyText"/>
            </w:pPr>
            <w:r w:rsidRPr="00495BCF">
              <w:t xml:space="preserve">In addition to the resources listed above, in Context of and specific resources for assessment, evidence should show demonstrated competency working below ground, in limited spaces, with different structural/construction types and method and in </w:t>
            </w:r>
            <w:r w:rsidRPr="00495BCF">
              <w:t>a variety of environments.</w:t>
            </w:r>
          </w:p>
        </w:tc>
      </w:tr>
    </w:tbl>
    <w:p w:rsidR="00000000" w:rsidRPr="00495BCF" w:rsidP="00495BCF">
      <w:pPr>
        <w:pStyle w:val="BodyText"/>
      </w:pPr>
    </w:p>
    <w:tbl>
      <w:tblPr>
        <w:tblW w:w="0" w:type="auto"/>
        <w:tblLayout w:type="fixed"/>
        <w:tblCellMar>
          <w:left w:w="62" w:type="dxa"/>
          <w:right w:w="62" w:type="dxa"/>
        </w:tblCellMar>
        <w:tblLook w:val="0000"/>
      </w:tblPr>
      <w:tblGrid>
        <w:gridCol w:w="1890"/>
        <w:gridCol w:w="6570"/>
      </w:tblGrid>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9.4)</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This Competency Standard Unit shall be assessed by methods given in Volume 1, Part 3 “Assessment Guidelines”.</w:t>
            </w:r>
          </w:p>
          <w:p w:rsidR="00000000" w:rsidRPr="00495BCF" w:rsidP="00495BCF">
            <w:pPr>
              <w:pStyle w:val="BodyText"/>
            </w:pPr>
            <w:r w:rsidRPr="00495BCF">
              <w:t>Note:</w:t>
            </w:r>
          </w:p>
          <w:p w:rsidR="00000000" w:rsidRPr="00495BCF" w:rsidP="00495BCF">
            <w:pPr>
              <w:pStyle w:val="BodyText"/>
            </w:pPr>
            <w:r w:rsidRPr="00495BCF">
              <w:t>Competent performance with inherent safe working practices</w:t>
            </w:r>
            <w:r w:rsidRPr="00495BCF">
              <w:t xml:space="preserve"> is expected in the Industry to which this Competency Standard Unit applies. This requires that the specified essential knowledge and associated skills are assessed in a structured environment which is primarily intended for learning/assessment and incorpo</w:t>
            </w:r>
            <w:r w:rsidRPr="00495BCF">
              <w:t>rates all necessary equipment and facilities for learners to develop and demonstrate the essential knowledge and associated skills described in this unit.</w:t>
            </w:r>
          </w:p>
        </w:tc>
      </w:tr>
    </w:tbl>
    <w:p w:rsidR="00000000" w:rsidRPr="00495BCF" w:rsidP="00495BCF">
      <w:pPr>
        <w:pStyle w:val="BodyText"/>
      </w:pPr>
    </w:p>
    <w:tbl>
      <w:tblPr>
        <w:tblW w:w="0" w:type="auto"/>
        <w:tblLayout w:type="fixed"/>
        <w:tblCellMar>
          <w:left w:w="62" w:type="dxa"/>
          <w:right w:w="62" w:type="dxa"/>
        </w:tblCellMar>
        <w:tblLook w:val="0000"/>
      </w:tblPr>
      <w:tblGrid>
        <w:gridCol w:w="1890"/>
        <w:gridCol w:w="6570"/>
      </w:tblGrid>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9.5)</w:t>
            </w:r>
          </w:p>
        </w:tc>
      </w:tr>
      <w:tr w:rsidTr="002910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There are no concurrent assessment r</w:t>
            </w:r>
            <w:r w:rsidRPr="00495BCF">
              <w:t>ecommendations for this unit.</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11" w:name="O_462682"/>
      <w:bookmarkEnd w:id="11"/>
      <w:r w:rsidRPr="00495BCF">
        <w:t>Range Statement</w:t>
      </w:r>
    </w:p>
    <w:tbl>
      <w:tblPr>
        <w:tblW w:w="0" w:type="auto"/>
        <w:tblLayout w:type="fixed"/>
        <w:tblCellMar>
          <w:left w:w="62" w:type="dxa"/>
          <w:right w:w="62" w:type="dxa"/>
        </w:tblCellMar>
        <w:tblLook w:val="0000"/>
      </w:tblPr>
      <w:tblGrid>
        <w:gridCol w:w="8460"/>
      </w:tblGrid>
      <w:tr w:rsidTr="002910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RANGE STATEMENT</w:t>
            </w:r>
          </w:p>
        </w:tc>
      </w:tr>
      <w:tr w:rsidTr="002910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10)</w:t>
            </w:r>
            <w:r w:rsidRPr="00495BCF">
              <w:t xml:space="preserve"> This relates to the unit of competency as a whole providing the range of contexts and conditions </w:t>
            </w:r>
            <w:r w:rsidRPr="00495BCF">
              <w:t>to which the Performance Criteria apply. It allows for different work environments and situations that will affect performance.</w:t>
            </w:r>
          </w:p>
          <w:p w:rsidR="00000000" w:rsidRPr="00495BCF" w:rsidP="00495BCF">
            <w:pPr>
              <w:pStyle w:val="BodyText"/>
            </w:pPr>
            <w:r w:rsidRPr="00495BCF">
              <w:t>This Competency Standard Unit shall be demonstrated in relation to the installation and maintenance of overhead low voltage serv</w:t>
            </w:r>
            <w:r w:rsidRPr="00495BCF">
              <w:t>ices as they relate to distribution circuits and associated equipment and includes the identification of faults.</w:t>
            </w:r>
          </w:p>
          <w:p w:rsidR="00000000" w:rsidRPr="00495BCF" w:rsidP="00495BCF">
            <w:pPr>
              <w:pStyle w:val="BodyText"/>
            </w:pPr>
            <w:r w:rsidRPr="00495BCF">
              <w:t>Installation may include, the erection and connection of service lines, the fitting and connection of pole fuses or circuit breakers and the te</w:t>
            </w:r>
            <w:r w:rsidRPr="00495BCF">
              <w:t>sting and commissioning of the service.</w:t>
            </w:r>
          </w:p>
          <w:p w:rsidR="00000000" w:rsidRPr="00495BCF" w:rsidP="00495BCF">
            <w:pPr>
              <w:pStyle w:val="BodyText"/>
            </w:pPr>
            <w:r w:rsidRPr="00495BCF">
              <w:t xml:space="preserve">Maintenance may include the identification and diagnosis of faults, the removal, replacement or repair of service lines and associated hardware and the temporary installation of services and associated equipment and </w:t>
            </w:r>
            <w:r w:rsidRPr="00495BCF">
              <w:t>the testing and commissioning of the service.</w:t>
            </w:r>
          </w:p>
          <w:p w:rsidR="00000000" w:rsidRPr="00495BCF" w:rsidP="00495BCF">
            <w:pPr>
              <w:pStyle w:val="BodyText"/>
            </w:pPr>
            <w:r w:rsidRPr="00495BCF">
              <w:t xml:space="preserve">Testing procedures may include continuity, polarity, phase rotation, insulation resistance and voltage. </w:t>
            </w:r>
          </w:p>
          <w:p w:rsidR="00000000" w:rsidRPr="00495BCF" w:rsidP="00495BCF">
            <w:pPr>
              <w:pStyle w:val="BodyText"/>
            </w:pPr>
            <w:r w:rsidRPr="00495BCF">
              <w:t>Testing equipment may include, digital/analogue voltage testers, multimeters, phase rotation testers, loa</w:t>
            </w:r>
            <w:r w:rsidRPr="00495BCF">
              <w:t>d testers, insulation resistance and continuity testers.</w:t>
            </w:r>
          </w:p>
          <w:p w:rsidR="00000000" w:rsidRPr="00495BCF" w:rsidP="00495BCF">
            <w:pPr>
              <w:pStyle w:val="BodyText"/>
            </w:pPr>
            <w:r w:rsidRPr="00495BCF">
              <w:t>Associated hardware may include pole fuse units, circuit breakers, contactors, mains connection boxes.</w:t>
            </w:r>
          </w:p>
          <w:p w:rsidR="00000000" w:rsidRPr="00495BCF" w:rsidP="00495BCF">
            <w:pPr>
              <w:pStyle w:val="BodyText"/>
            </w:pPr>
            <w:r w:rsidRPr="00495BCF">
              <w:t xml:space="preserve">The following constants and variables included in the element/Performance Criteria in this unit </w:t>
            </w:r>
            <w:r w:rsidRPr="00495BCF">
              <w:t>are fully described in the Definitions Section 1 of this volume and form an integral part of the Range Statement of this unit:</w:t>
            </w:r>
          </w:p>
          <w:p w:rsidR="00000000" w:rsidRPr="00495BCF" w:rsidP="00495BCF">
            <w:pPr>
              <w:pStyle w:val="ListBullet3"/>
            </w:pPr>
            <w:r w:rsidRPr="00495BCF">
              <w:t>Appropriate and relevant persons (see Personnel)</w:t>
            </w:r>
          </w:p>
          <w:p w:rsidR="00000000" w:rsidRPr="00495BCF" w:rsidP="00495BCF">
            <w:pPr>
              <w:pStyle w:val="ListBullet3"/>
            </w:pPr>
            <w:r w:rsidRPr="00495BCF">
              <w:t>Appropriate authorities</w:t>
            </w:r>
          </w:p>
          <w:p w:rsidR="00000000" w:rsidRPr="00495BCF" w:rsidP="00495BCF">
            <w:pPr>
              <w:pStyle w:val="ListBullet3"/>
            </w:pPr>
            <w:r w:rsidRPr="00495BCF">
              <w:t>Appropriate work platform</w:t>
            </w:r>
          </w:p>
          <w:p w:rsidR="00000000" w:rsidRPr="00495BCF" w:rsidP="00495BCF">
            <w:pPr>
              <w:pStyle w:val="ListBullet3"/>
            </w:pPr>
            <w:r w:rsidRPr="00495BCF">
              <w:t>Assessing risk</w:t>
            </w:r>
          </w:p>
          <w:p w:rsidR="00000000" w:rsidRPr="00495BCF" w:rsidP="00495BCF">
            <w:pPr>
              <w:pStyle w:val="ListBullet3"/>
            </w:pPr>
            <w:r w:rsidRPr="00495BCF">
              <w:t>Assessment</w:t>
            </w:r>
          </w:p>
          <w:p w:rsidR="00000000" w:rsidRPr="00495BCF" w:rsidP="00495BCF">
            <w:pPr>
              <w:pStyle w:val="ListBullet3"/>
            </w:pPr>
            <w:r w:rsidRPr="00495BCF">
              <w:t>Aut</w:t>
            </w:r>
            <w:r w:rsidRPr="00495BCF">
              <w:t>horisation</w:t>
            </w:r>
          </w:p>
          <w:p w:rsidR="00000000" w:rsidRPr="00495BCF" w:rsidP="00495BCF">
            <w:pPr>
              <w:pStyle w:val="ListBullet3"/>
            </w:pPr>
            <w:r w:rsidRPr="00495BCF">
              <w:t>Confined space</w:t>
            </w:r>
          </w:p>
          <w:p w:rsidR="00000000" w:rsidRPr="00495BCF" w:rsidP="00495BCF">
            <w:pPr>
              <w:pStyle w:val="ListBullet3"/>
            </w:pPr>
            <w:r w:rsidRPr="00495BCF">
              <w:t>Diagnostic, testing and restoration</w:t>
            </w:r>
          </w:p>
          <w:p w:rsidR="00000000" w:rsidRPr="00495BCF" w:rsidP="00495BCF">
            <w:pPr>
              <w:pStyle w:val="ListBullet3"/>
            </w:pPr>
            <w:r w:rsidRPr="00495BCF">
              <w:t>Documenting detail work events, record keeping and or storage of information</w:t>
            </w:r>
          </w:p>
          <w:p w:rsidR="00000000" w:rsidRPr="00495BCF" w:rsidP="00495BCF">
            <w:pPr>
              <w:pStyle w:val="ListBullet3"/>
            </w:pPr>
            <w:r w:rsidRPr="00495BCF">
              <w:t>Drawings and specifications</w:t>
            </w:r>
          </w:p>
          <w:p w:rsidR="00000000" w:rsidRPr="00495BCF" w:rsidP="00495BCF">
            <w:pPr>
              <w:pStyle w:val="ListBullet3"/>
            </w:pPr>
            <w:r w:rsidRPr="00495BCF">
              <w:t>Emergency</w:t>
            </w:r>
          </w:p>
          <w:p w:rsidR="00000000" w:rsidRPr="00495BCF" w:rsidP="00495BCF">
            <w:pPr>
              <w:pStyle w:val="ListBullet3"/>
            </w:pPr>
            <w:r w:rsidRPr="00495BCF">
              <w:t>Environmental and sustainable energy procedures</w:t>
            </w:r>
          </w:p>
          <w:p w:rsidR="00000000" w:rsidRPr="00495BCF" w:rsidP="00495BCF">
            <w:pPr>
              <w:pStyle w:val="ListBullet3"/>
            </w:pPr>
            <w:r w:rsidRPr="00495BCF">
              <w:t>Environmental legislation</w:t>
            </w:r>
          </w:p>
          <w:p w:rsidR="00000000" w:rsidRPr="00495BCF" w:rsidP="00495BCF">
            <w:pPr>
              <w:pStyle w:val="ListBullet3"/>
            </w:pPr>
            <w:r w:rsidRPr="00495BCF">
              <w:t>Environmental management documentation</w:t>
            </w:r>
          </w:p>
          <w:p w:rsidR="00000000" w:rsidRPr="00495BCF" w:rsidP="00495BCF">
            <w:pPr>
              <w:pStyle w:val="ListBullet3"/>
            </w:pPr>
            <w:r w:rsidRPr="00495BCF">
              <w:t>Established procedures</w:t>
            </w:r>
          </w:p>
          <w:p w:rsidR="00000000" w:rsidRPr="00495BCF" w:rsidP="00495BCF">
            <w:pPr>
              <w:pStyle w:val="ListBullet3"/>
            </w:pPr>
            <w:r w:rsidRPr="00495BCF">
              <w:t>Fall prevention</w:t>
            </w:r>
          </w:p>
          <w:p w:rsidR="00000000" w:rsidRPr="00495BCF" w:rsidP="00495BCF">
            <w:pPr>
              <w:pStyle w:val="ListBullet3"/>
            </w:pPr>
            <w:r w:rsidRPr="00495BCF">
              <w:t>Hazards</w:t>
            </w:r>
          </w:p>
          <w:p w:rsidR="00000000" w:rsidRPr="00495BCF" w:rsidP="00495BCF">
            <w:pPr>
              <w:pStyle w:val="ListBullet3"/>
            </w:pPr>
            <w:r w:rsidRPr="00495BCF">
              <w:t>Identifying hazards</w:t>
            </w:r>
          </w:p>
          <w:p w:rsidR="00000000" w:rsidRPr="00495BCF" w:rsidP="00495BCF">
            <w:pPr>
              <w:pStyle w:val="ListBullet3"/>
            </w:pPr>
            <w:r w:rsidRPr="00495BCF">
              <w:t>Inspect</w:t>
            </w:r>
          </w:p>
          <w:p w:rsidR="00000000" w:rsidRPr="00495BCF" w:rsidP="00495BCF">
            <w:pPr>
              <w:pStyle w:val="ListBullet3"/>
            </w:pPr>
            <w:r w:rsidRPr="00495BCF">
              <w:t>Legislation</w:t>
            </w:r>
          </w:p>
          <w:p w:rsidR="00000000" w:rsidRPr="00495BCF" w:rsidP="00495BCF">
            <w:pPr>
              <w:pStyle w:val="ListBullet3"/>
            </w:pPr>
            <w:r w:rsidRPr="00495BCF">
              <w:t>MSDS</w:t>
            </w:r>
          </w:p>
          <w:p w:rsidR="00000000" w:rsidRPr="00495BCF" w:rsidP="00495BCF">
            <w:pPr>
              <w:pStyle w:val="ListBullet3"/>
            </w:pPr>
            <w:r w:rsidRPr="00495BCF">
              <w:t>Notification.</w:t>
            </w:r>
          </w:p>
          <w:p w:rsidR="00000000" w:rsidRPr="00495BCF" w:rsidP="00495BCF">
            <w:pPr>
              <w:pStyle w:val="ListBullet3"/>
            </w:pPr>
            <w:r w:rsidRPr="00495BCF">
              <w:t>OHS practices</w:t>
            </w:r>
          </w:p>
          <w:p w:rsidR="00000000" w:rsidRPr="00495BCF" w:rsidP="00495BCF">
            <w:pPr>
              <w:pStyle w:val="ListBullet3"/>
            </w:pPr>
            <w:r w:rsidRPr="00495BCF">
              <w:t>OHS issues</w:t>
            </w:r>
          </w:p>
          <w:p w:rsidR="00000000" w:rsidRPr="00495BCF" w:rsidP="00495BCF">
            <w:pPr>
              <w:pStyle w:val="ListBullet3"/>
            </w:pPr>
            <w:r w:rsidRPr="00495BCF">
              <w:t>Permits and/or permits to work</w:t>
            </w:r>
          </w:p>
          <w:p w:rsidR="00000000" w:rsidRPr="00495BCF" w:rsidP="00495BCF">
            <w:pPr>
              <w:pStyle w:val="ListBullet3"/>
            </w:pPr>
            <w:r w:rsidRPr="00495BCF">
              <w:t>Personnel</w:t>
            </w:r>
          </w:p>
          <w:p w:rsidR="00000000" w:rsidRPr="00495BCF" w:rsidP="00495BCF">
            <w:pPr>
              <w:pStyle w:val="ListBullet3"/>
            </w:pPr>
            <w:r w:rsidRPr="00495BCF">
              <w:t>Quality assurance systems</w:t>
            </w:r>
          </w:p>
          <w:p w:rsidR="00000000" w:rsidRPr="00495BCF" w:rsidP="00495BCF">
            <w:pPr>
              <w:pStyle w:val="ListBullet3"/>
            </w:pPr>
            <w:r w:rsidRPr="00495BCF">
              <w:t>Requirements</w:t>
            </w:r>
          </w:p>
          <w:p w:rsidR="00000000" w:rsidRPr="00495BCF" w:rsidP="00495BCF">
            <w:pPr>
              <w:pStyle w:val="ListBullet3"/>
            </w:pPr>
            <w:r w:rsidRPr="00495BCF">
              <w:t>Testing procedures</w:t>
            </w:r>
          </w:p>
          <w:p w:rsidR="00000000" w:rsidRPr="00495BCF" w:rsidP="00495BCF">
            <w:pPr>
              <w:pStyle w:val="ListBullet3"/>
            </w:pPr>
            <w:r w:rsidRPr="00495BCF">
              <w:t>Work clearance systems</w:t>
            </w:r>
          </w:p>
        </w:tc>
      </w:tr>
    </w:tbl>
    <w:p w:rsidR="00000000" w:rsidRPr="00495BCF" w:rsidP="00495BCF">
      <w:pPr>
        <w:pStyle w:val="BodyText"/>
      </w:pPr>
    </w:p>
    <w:p w:rsidR="00000000" w:rsidRPr="00495BCF" w:rsidP="00495BCF">
      <w:pPr>
        <w:pStyle w:val="AllowPageBreak"/>
      </w:pPr>
    </w:p>
    <w:p w:rsidR="00000000" w:rsidRPr="00495BCF" w:rsidP="00495BCF">
      <w:pPr>
        <w:pStyle w:val="Heading1"/>
      </w:pPr>
      <w:bookmarkStart w:id="12" w:name="O_462685"/>
      <w:bookmarkEnd w:id="12"/>
      <w:r w:rsidRPr="00495BCF">
        <w:t>Unit Sector(s)</w:t>
      </w:r>
    </w:p>
    <w:p w:rsidR="00000000" w:rsidRPr="00495BCF" w:rsidP="00495BCF">
      <w:pPr>
        <w:pStyle w:val="BodyText"/>
      </w:pPr>
      <w:r w:rsidRPr="00495BCF">
        <w:t>Not applicable.</w:t>
      </w:r>
    </w:p>
    <w:p w:rsidR="00000000" w:rsidRPr="00495BCF" w:rsidP="00495BCF">
      <w:pPr>
        <w:pStyle w:val="AllowPageBreak"/>
      </w:pPr>
    </w:p>
    <w:p w:rsidR="00000000" w:rsidRPr="00495BCF" w:rsidP="00495BCF">
      <w:pPr>
        <w:pStyle w:val="Heading1"/>
      </w:pPr>
      <w:bookmarkStart w:id="13" w:name="O_462674"/>
      <w:bookmarkEnd w:id="13"/>
      <w:r w:rsidRPr="00495BCF">
        <w:t>Competency Field</w:t>
      </w:r>
    </w:p>
    <w:tbl>
      <w:tblPr>
        <w:tblW w:w="0" w:type="auto"/>
        <w:tblLayout w:type="fixed"/>
        <w:tblCellMar>
          <w:left w:w="62" w:type="dxa"/>
          <w:right w:w="62" w:type="dxa"/>
        </w:tblCellMar>
        <w:tblLook w:val="0000"/>
      </w:tblPr>
      <w:tblGrid>
        <w:gridCol w:w="2700"/>
        <w:gridCol w:w="5760"/>
      </w:tblGrid>
      <w:tr w:rsidTr="002910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5BCF">
            <w:pPr>
              <w:pStyle w:val="BodyText"/>
              <w:rPr>
                <w:lang w:val="en-NZ"/>
              </w:rPr>
            </w:pPr>
            <w:r w:rsidRPr="00495BCF">
              <w:rPr>
                <w:rStyle w:val="SpecialBold"/>
              </w:rPr>
              <w:t xml:space="preserve">11) </w:t>
            </w:r>
          </w:p>
        </w:tc>
      </w:tr>
      <w:tr w:rsidTr="002910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5BCF" w:rsidP="00495BCF">
            <w:pPr>
              <w:pStyle w:val="BodyText"/>
            </w:pPr>
            <w:r w:rsidRPr="00495BCF">
              <w:t>Industry Specific Cross-Discipline Units</w:t>
            </w:r>
          </w:p>
        </w:tc>
      </w:tr>
    </w:tbl>
    <w:p w:rsidR="00000000" w:rsidRPr="00495BCF" w:rsidP="00495BCF">
      <w:pPr>
        <w:pStyle w:val="BodyText"/>
      </w:pPr>
    </w:p>
    <w:p w:rsidR="00000000" w:rsidRPr="00495BCF" w:rsidP="00495BCF"/>
    <w:sectPr w:rsidSect="00495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054" w:rsidP="00291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54" w:rsidP="00495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91054" w:rsidP="00495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91054" w:rsidP="00495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054" w:rsidP="002910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54" w:rsidP="00495BCF">
    <w:pPr>
      <w:pStyle w:val="Header"/>
      <w:framePr w:wrap="around"/>
    </w:pPr>
    <w:r>
      <w:fldChar w:fldCharType="begin"/>
    </w:r>
    <w:r>
      <w:instrText xml:space="preserve"> TITLE   \* MERGEFORMAT </w:instrText>
    </w:r>
    <w:r>
      <w:fldChar w:fldCharType="separate"/>
    </w:r>
    <w:r>
      <w:t>UETTDRIS56A Install and maintain low voltage overhead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1054" w:rsidP="00495B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64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61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67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B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5BCF"/>
    <w:pPr>
      <w:spacing w:before="360" w:after="60"/>
      <w:outlineLvl w:val="0"/>
    </w:pPr>
    <w:rPr>
      <w:sz w:val="32"/>
    </w:rPr>
  </w:style>
  <w:style w:type="paragraph" w:styleId="Heading2">
    <w:name w:val="heading 2"/>
    <w:basedOn w:val="HeadingBase"/>
    <w:next w:val="BodyText"/>
    <w:link w:val="Heading2Char"/>
    <w:qFormat/>
    <w:rsid w:val="00495BCF"/>
    <w:pPr>
      <w:keepLines/>
      <w:spacing w:before="240" w:after="120"/>
      <w:outlineLvl w:val="1"/>
    </w:pPr>
    <w:rPr>
      <w:sz w:val="28"/>
      <w:szCs w:val="40"/>
    </w:rPr>
  </w:style>
  <w:style w:type="paragraph" w:styleId="Heading3">
    <w:name w:val="heading 3"/>
    <w:basedOn w:val="HeadingBase"/>
    <w:next w:val="BodyText"/>
    <w:link w:val="Heading3Char"/>
    <w:qFormat/>
    <w:rsid w:val="00495BCF"/>
    <w:pPr>
      <w:spacing w:before="180" w:after="120"/>
      <w:outlineLvl w:val="2"/>
    </w:pPr>
    <w:rPr>
      <w:spacing w:val="-10"/>
      <w:kern w:val="32"/>
    </w:rPr>
  </w:style>
  <w:style w:type="paragraph" w:styleId="Heading4">
    <w:name w:val="heading 4"/>
    <w:basedOn w:val="HeadingBase"/>
    <w:next w:val="BodyText"/>
    <w:link w:val="Heading4Char"/>
    <w:qFormat/>
    <w:rsid w:val="00495BCF"/>
    <w:pPr>
      <w:spacing w:before="160" w:after="120"/>
      <w:outlineLvl w:val="3"/>
    </w:pPr>
    <w:rPr>
      <w:sz w:val="22"/>
    </w:rPr>
  </w:style>
  <w:style w:type="paragraph" w:styleId="Heading5">
    <w:name w:val="heading 5"/>
    <w:basedOn w:val="HeadingBase"/>
    <w:next w:val="Normal"/>
    <w:link w:val="Heading5Char"/>
    <w:qFormat/>
    <w:rsid w:val="00495BCF"/>
    <w:pPr>
      <w:spacing w:before="80"/>
      <w:outlineLvl w:val="4"/>
    </w:pPr>
    <w:rPr>
      <w:color w:val="918585"/>
      <w:sz w:val="20"/>
    </w:rPr>
  </w:style>
  <w:style w:type="paragraph" w:styleId="Heading6">
    <w:name w:val="heading 6"/>
    <w:basedOn w:val="HeadingBase"/>
    <w:next w:val="Normal"/>
    <w:link w:val="Heading6Char"/>
    <w:qFormat/>
    <w:rsid w:val="00495BCF"/>
    <w:pPr>
      <w:spacing w:before="60"/>
      <w:outlineLvl w:val="5"/>
    </w:pPr>
    <w:rPr>
      <w:color w:val="918585"/>
      <w:sz w:val="20"/>
    </w:rPr>
  </w:style>
  <w:style w:type="paragraph" w:styleId="Heading7">
    <w:name w:val="heading 7"/>
    <w:basedOn w:val="Normal"/>
    <w:next w:val="Normal"/>
    <w:link w:val="Heading7Char"/>
    <w:qFormat/>
    <w:rsid w:val="00495BCF"/>
    <w:pPr>
      <w:ind w:left="720"/>
      <w:outlineLvl w:val="6"/>
    </w:pPr>
    <w:rPr>
      <w:i/>
    </w:rPr>
  </w:style>
  <w:style w:type="paragraph" w:styleId="Heading8">
    <w:name w:val="heading 8"/>
    <w:basedOn w:val="Normal"/>
    <w:next w:val="Normal"/>
    <w:link w:val="Heading8Char"/>
    <w:qFormat/>
    <w:rsid w:val="00495BCF"/>
    <w:pPr>
      <w:ind w:left="720"/>
      <w:outlineLvl w:val="7"/>
    </w:pPr>
    <w:rPr>
      <w:i/>
    </w:rPr>
  </w:style>
  <w:style w:type="paragraph" w:styleId="Heading9">
    <w:name w:val="heading 9"/>
    <w:basedOn w:val="Normal"/>
    <w:next w:val="Normal"/>
    <w:link w:val="Heading9Char"/>
    <w:qFormat/>
    <w:rsid w:val="00495BCF"/>
    <w:pPr>
      <w:ind w:left="720"/>
      <w:outlineLvl w:val="8"/>
    </w:pPr>
    <w:rPr>
      <w:i/>
    </w:rPr>
  </w:style>
  <w:style w:type="character" w:default="1" w:styleId="DefaultParagraphFont">
    <w:name w:val="Default Paragraph Font"/>
    <w:uiPriority w:val="1"/>
    <w:unhideWhenUsed/>
    <w:rsid w:val="00495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BCF"/>
  </w:style>
  <w:style w:type="character" w:customStyle="1" w:styleId="Heading1Char">
    <w:name w:val="Heading 1 Char"/>
    <w:basedOn w:val="DefaultParagraphFont"/>
    <w:link w:val="Heading1"/>
    <w:rsid w:val="00495BCF"/>
    <w:rPr>
      <w:rFonts w:ascii="Times New Roman" w:eastAsia="Times New Roman" w:hAnsi="Times New Roman" w:cs="Times New Roman"/>
      <w:b/>
      <w:sz w:val="32"/>
      <w:szCs w:val="20"/>
      <w:lang w:eastAsia="en-US"/>
    </w:rPr>
  </w:style>
  <w:style w:type="paragraph" w:styleId="BodyText">
    <w:name w:val="Body Text"/>
    <w:basedOn w:val="Normal"/>
    <w:link w:val="BodyTextChar"/>
    <w:rsid w:val="00495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BCF"/>
    <w:rPr>
      <w:rFonts w:ascii="Times New Roman" w:eastAsia="Times New Roman" w:hAnsi="Times New Roman" w:cs="Times New Roman"/>
      <w:sz w:val="24"/>
      <w:lang w:val="en-US" w:eastAsia="en-US"/>
    </w:rPr>
  </w:style>
  <w:style w:type="paragraph" w:styleId="Footer">
    <w:name w:val="footer"/>
    <w:basedOn w:val="Normal"/>
    <w:link w:val="FooterChar"/>
    <w:rsid w:val="00495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BCF"/>
    <w:rPr>
      <w:rFonts w:ascii="Times New Roman" w:eastAsia="Times New Roman" w:hAnsi="Times New Roman" w:cs="Times New Roman"/>
      <w:sz w:val="16"/>
      <w:lang w:val="en-US" w:eastAsia="en-US"/>
    </w:rPr>
  </w:style>
  <w:style w:type="paragraph" w:styleId="ListBullet">
    <w:name w:val="List Bullet"/>
    <w:basedOn w:val="List"/>
    <w:rsid w:val="00495BCF"/>
    <w:pPr>
      <w:numPr>
        <w:numId w:val="14"/>
      </w:numPr>
      <w:tabs>
        <w:tab w:val="clear" w:pos="340"/>
      </w:tabs>
      <w:spacing w:before="40" w:after="40"/>
    </w:pPr>
  </w:style>
  <w:style w:type="character" w:customStyle="1" w:styleId="SpecialBold">
    <w:name w:val="Special Bold"/>
    <w:basedOn w:val="DefaultParagraphFont"/>
    <w:rsid w:val="00495BCF"/>
    <w:rPr>
      <w:b/>
      <w:spacing w:val="0"/>
    </w:rPr>
  </w:style>
  <w:style w:type="paragraph" w:styleId="ListBullet2">
    <w:name w:val="List Bullet 2"/>
    <w:basedOn w:val="List2"/>
    <w:rsid w:val="00495BCF"/>
    <w:pPr>
      <w:numPr>
        <w:numId w:val="15"/>
      </w:numPr>
      <w:tabs>
        <w:tab w:val="clear" w:pos="680"/>
      </w:tabs>
    </w:pPr>
  </w:style>
  <w:style w:type="paragraph" w:styleId="Header">
    <w:name w:val="header"/>
    <w:basedOn w:val="Normal"/>
    <w:link w:val="HeaderChar"/>
    <w:rsid w:val="00495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B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5BCF"/>
    <w:pPr>
      <w:spacing w:before="240" w:after="120"/>
      <w:outlineLvl w:val="0"/>
    </w:pPr>
    <w:rPr>
      <w:rFonts w:ascii="Times New Roman" w:hAnsi="Times New Roman"/>
      <w:b/>
      <w:sz w:val="28"/>
    </w:rPr>
  </w:style>
  <w:style w:type="paragraph" w:customStyle="1" w:styleId="AllowPageBreak">
    <w:name w:val="AllowPageBreak"/>
    <w:rsid w:val="00495B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5BCF"/>
    <w:pPr>
      <w:numPr>
        <w:numId w:val="3"/>
      </w:numPr>
      <w:tabs>
        <w:tab w:val="clear" w:pos="1021"/>
      </w:tabs>
      <w:ind w:left="1037" w:hanging="357"/>
    </w:pPr>
  </w:style>
  <w:style w:type="character" w:customStyle="1" w:styleId="Heading2Char">
    <w:name w:val="Heading 2 Char"/>
    <w:basedOn w:val="DefaultParagraphFont"/>
    <w:link w:val="Heading2"/>
    <w:rsid w:val="00495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B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5B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5BCF"/>
    <w:rPr>
      <w:rFonts w:ascii="Courier New" w:eastAsia="Times New Roman" w:hAnsi="Courier New" w:cs="Times New Roman"/>
      <w:i/>
      <w:szCs w:val="20"/>
      <w:lang w:val="en-US" w:eastAsia="en-US"/>
    </w:rPr>
  </w:style>
  <w:style w:type="paragraph" w:customStyle="1" w:styleId="HeadingBase">
    <w:name w:val="Heading Base"/>
    <w:rsid w:val="00495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BCF"/>
    <w:pPr>
      <w:tabs>
        <w:tab w:val="right" w:leader="dot" w:pos="9072"/>
      </w:tabs>
      <w:ind w:left="567"/>
    </w:pPr>
    <w:rPr>
      <w:szCs w:val="22"/>
    </w:rPr>
  </w:style>
  <w:style w:type="paragraph" w:customStyle="1" w:styleId="TOCBase">
    <w:name w:val="TOC Base"/>
    <w:rsid w:val="00495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BCF"/>
    <w:pPr>
      <w:tabs>
        <w:tab w:val="right" w:leader="dot" w:pos="9072"/>
      </w:tabs>
      <w:spacing w:before="40" w:after="40"/>
      <w:ind w:left="284"/>
    </w:pPr>
    <w:rPr>
      <w:rFonts w:ascii="Times New Roman" w:hAnsi="Times New Roman"/>
    </w:rPr>
  </w:style>
  <w:style w:type="paragraph" w:styleId="TOC1">
    <w:name w:val="toc 1"/>
    <w:basedOn w:val="TOCBase"/>
    <w:next w:val="Normal"/>
    <w:rsid w:val="00495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5BCF"/>
    <w:pPr>
      <w:spacing w:before="5040"/>
      <w:jc w:val="center"/>
    </w:pPr>
    <w:rPr>
      <w:sz w:val="48"/>
      <w:szCs w:val="72"/>
      <w:lang w:val="en-US"/>
    </w:rPr>
  </w:style>
  <w:style w:type="character" w:customStyle="1" w:styleId="TitleChar">
    <w:name w:val="Title Char"/>
    <w:basedOn w:val="DefaultParagraphFont"/>
    <w:link w:val="Title"/>
    <w:rsid w:val="00495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BCF"/>
    <w:pPr>
      <w:tabs>
        <w:tab w:val="left" w:pos="3600"/>
        <w:tab w:val="left" w:pos="3958"/>
      </w:tabs>
    </w:pPr>
  </w:style>
  <w:style w:type="paragraph" w:styleId="List">
    <w:name w:val="List"/>
    <w:basedOn w:val="BodyText"/>
    <w:next w:val="BodyText"/>
    <w:rsid w:val="00495BCF"/>
    <w:pPr>
      <w:tabs>
        <w:tab w:val="left" w:pos="340"/>
      </w:tabs>
      <w:spacing w:before="60" w:after="60"/>
      <w:ind w:left="340" w:hanging="340"/>
    </w:pPr>
  </w:style>
  <w:style w:type="paragraph" w:customStyle="1" w:styleId="Note">
    <w:name w:val="Note"/>
    <w:basedOn w:val="BodyText"/>
    <w:rsid w:val="00495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BCF"/>
    <w:pPr>
      <w:framePr w:wrap="auto" w:hAnchor="text" w:y="6049"/>
    </w:pPr>
    <w:rPr>
      <w:color w:val="000000"/>
      <w:sz w:val="40"/>
    </w:rPr>
  </w:style>
  <w:style w:type="paragraph" w:customStyle="1" w:styleId="TOCTitle">
    <w:name w:val="TOCTitle"/>
    <w:basedOn w:val="Heading1"/>
    <w:rsid w:val="00495BCF"/>
    <w:pPr>
      <w:spacing w:after="240"/>
      <w:jc w:val="center"/>
      <w:outlineLvl w:val="9"/>
    </w:pPr>
    <w:rPr>
      <w:caps/>
    </w:rPr>
  </w:style>
  <w:style w:type="paragraph" w:customStyle="1" w:styleId="Version">
    <w:name w:val="Version"/>
    <w:rsid w:val="00495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BCF"/>
    <w:pPr>
      <w:keepNext w:val="0"/>
      <w:tabs>
        <w:tab w:val="right" w:pos="4176"/>
      </w:tabs>
      <w:ind w:left="198" w:hanging="198"/>
    </w:pPr>
    <w:rPr>
      <w:rFonts w:ascii="Garamond" w:hAnsi="Garamond"/>
    </w:rPr>
  </w:style>
  <w:style w:type="paragraph" w:styleId="IndexHeading">
    <w:name w:val="index heading"/>
    <w:basedOn w:val="Normal"/>
    <w:next w:val="Index1"/>
    <w:semiHidden/>
    <w:rsid w:val="00495BCF"/>
    <w:pPr>
      <w:spacing w:before="120" w:after="120"/>
    </w:pPr>
    <w:rPr>
      <w:rFonts w:ascii="Arial" w:hAnsi="Arial"/>
      <w:b/>
      <w:color w:val="918585"/>
      <w:sz w:val="24"/>
    </w:rPr>
  </w:style>
  <w:style w:type="paragraph" w:customStyle="1" w:styleId="Chapter">
    <w:name w:val="Chapter"/>
    <w:basedOn w:val="Normal"/>
    <w:rsid w:val="00495BCF"/>
    <w:pPr>
      <w:spacing w:before="240"/>
    </w:pPr>
    <w:rPr>
      <w:rFonts w:ascii="Times New Roman" w:hAnsi="Times New Roman"/>
      <w:smallCaps/>
      <w:spacing w:val="80"/>
      <w:sz w:val="28"/>
    </w:rPr>
  </w:style>
  <w:style w:type="paragraph" w:customStyle="1" w:styleId="InChapter">
    <w:name w:val="InChapter"/>
    <w:basedOn w:val="Heading3"/>
    <w:rsid w:val="00495BCF"/>
    <w:pPr>
      <w:spacing w:after="240"/>
      <w:outlineLvl w:val="9"/>
    </w:pPr>
    <w:rPr>
      <w:noProof/>
    </w:rPr>
  </w:style>
  <w:style w:type="paragraph" w:styleId="Index2">
    <w:name w:val="index 2"/>
    <w:basedOn w:val="Normal"/>
    <w:next w:val="Normal"/>
    <w:semiHidden/>
    <w:rsid w:val="00495BCF"/>
    <w:pPr>
      <w:tabs>
        <w:tab w:val="right" w:pos="4176"/>
      </w:tabs>
      <w:ind w:left="568" w:hanging="284"/>
    </w:pPr>
    <w:rPr>
      <w:rFonts w:ascii="Garamond" w:hAnsi="Garamond"/>
    </w:rPr>
  </w:style>
  <w:style w:type="paragraph" w:customStyle="1" w:styleId="Byline">
    <w:name w:val="Byline"/>
    <w:rsid w:val="00495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BCF"/>
    <w:pPr>
      <w:tabs>
        <w:tab w:val="clear" w:pos="3600"/>
        <w:tab w:val="clear" w:pos="3958"/>
      </w:tabs>
      <w:jc w:val="right"/>
    </w:pPr>
  </w:style>
  <w:style w:type="character" w:styleId="Emphasis">
    <w:name w:val="Emphasis"/>
    <w:basedOn w:val="DefaultParagraphFont"/>
    <w:qFormat/>
    <w:rsid w:val="00495BCF"/>
    <w:rPr>
      <w:i/>
    </w:rPr>
  </w:style>
  <w:style w:type="paragraph" w:styleId="Caption">
    <w:name w:val="caption"/>
    <w:basedOn w:val="BodyText"/>
    <w:next w:val="Normal"/>
    <w:qFormat/>
    <w:rsid w:val="00495BCF"/>
    <w:pPr>
      <w:framePr w:w="2268" w:hSpace="181" w:vSpace="181" w:wrap="around" w:vAnchor="text" w:hAnchor="page" w:x="1135" w:y="285" w:anchorLock="1"/>
    </w:pPr>
    <w:rPr>
      <w:i/>
    </w:rPr>
  </w:style>
  <w:style w:type="paragraph" w:customStyle="1" w:styleId="MiniTOCTitle">
    <w:name w:val="MiniTOCTitle"/>
    <w:basedOn w:val="Heading4"/>
    <w:rsid w:val="00495BCF"/>
    <w:pPr>
      <w:spacing w:before="240"/>
      <w:outlineLvl w:val="9"/>
    </w:pPr>
    <w:rPr>
      <w:noProof/>
      <w:sz w:val="24"/>
    </w:rPr>
  </w:style>
  <w:style w:type="paragraph" w:customStyle="1" w:styleId="MiniTOCItem">
    <w:name w:val="MiniTOCItem"/>
    <w:basedOn w:val="ListBullet"/>
    <w:rsid w:val="00495BCF"/>
    <w:pPr>
      <w:numPr>
        <w:numId w:val="0"/>
      </w:numPr>
      <w:tabs>
        <w:tab w:val="right" w:leader="dot" w:pos="6521"/>
      </w:tabs>
      <w:spacing w:before="0" w:after="0"/>
    </w:pPr>
  </w:style>
  <w:style w:type="paragraph" w:customStyle="1" w:styleId="TOFTitle">
    <w:name w:val="TOFTitle"/>
    <w:basedOn w:val="TOCTitle"/>
    <w:rsid w:val="00495BCF"/>
  </w:style>
  <w:style w:type="paragraph" w:styleId="TableofFigures">
    <w:name w:val="table of figures"/>
    <w:basedOn w:val="Normal"/>
    <w:next w:val="Normal"/>
    <w:semiHidden/>
    <w:rsid w:val="00495BCF"/>
    <w:pPr>
      <w:tabs>
        <w:tab w:val="right" w:leader="dot" w:pos="9072"/>
      </w:tabs>
      <w:ind w:left="970" w:hanging="403"/>
    </w:pPr>
    <w:rPr>
      <w:rFonts w:ascii="Times New Roman" w:hAnsi="Times New Roman"/>
      <w:b/>
    </w:rPr>
  </w:style>
  <w:style w:type="paragraph" w:styleId="ListNumber">
    <w:name w:val="List Number"/>
    <w:basedOn w:val="List"/>
    <w:rsid w:val="00495BCF"/>
    <w:pPr>
      <w:numPr>
        <w:numId w:val="12"/>
      </w:numPr>
    </w:pPr>
  </w:style>
  <w:style w:type="character" w:customStyle="1" w:styleId="WingdingSymbols">
    <w:name w:val="Wingding Symbols"/>
    <w:rsid w:val="00495BCF"/>
    <w:rPr>
      <w:rFonts w:ascii="Wingdings" w:hAnsi="Wingdings"/>
    </w:rPr>
  </w:style>
  <w:style w:type="paragraph" w:customStyle="1" w:styleId="TableHeading">
    <w:name w:val="Table Heading"/>
    <w:basedOn w:val="HeadingBase"/>
    <w:rsid w:val="00495BCF"/>
    <w:pPr>
      <w:keepLines/>
      <w:pBdr>
        <w:bottom w:val="single" w:sz="6" w:space="1" w:color="918585"/>
      </w:pBdr>
      <w:spacing w:before="240"/>
    </w:pPr>
  </w:style>
  <w:style w:type="character" w:customStyle="1" w:styleId="HotSpot">
    <w:name w:val="HotSpot"/>
    <w:rsid w:val="00495BCF"/>
    <w:rPr>
      <w:color w:val="0033CC"/>
      <w:u w:val="none"/>
    </w:rPr>
  </w:style>
  <w:style w:type="paragraph" w:customStyle="1" w:styleId="BodyTextRight">
    <w:name w:val="Body Text Right"/>
    <w:basedOn w:val="BodyText"/>
    <w:rsid w:val="00495BCF"/>
    <w:pPr>
      <w:spacing w:before="0" w:after="0"/>
      <w:jc w:val="right"/>
    </w:pPr>
  </w:style>
  <w:style w:type="paragraph" w:styleId="Index3">
    <w:name w:val="index 3"/>
    <w:basedOn w:val="ListNumber2"/>
    <w:next w:val="Normal"/>
    <w:semiHidden/>
    <w:rsid w:val="00495BCF"/>
    <w:pPr>
      <w:numPr>
        <w:numId w:val="0"/>
      </w:numPr>
      <w:tabs>
        <w:tab w:val="right" w:leader="dot" w:pos="4176"/>
      </w:tabs>
    </w:pPr>
  </w:style>
  <w:style w:type="paragraph" w:styleId="ListNumber2">
    <w:name w:val="List Number 2"/>
    <w:basedOn w:val="List2"/>
    <w:rsid w:val="00495BCF"/>
    <w:pPr>
      <w:numPr>
        <w:numId w:val="11"/>
      </w:numPr>
      <w:tabs>
        <w:tab w:val="clear" w:pos="1060"/>
      </w:tabs>
    </w:pPr>
  </w:style>
  <w:style w:type="paragraph" w:customStyle="1" w:styleId="MarginNote">
    <w:name w:val="Margin Note"/>
    <w:basedOn w:val="BodyText"/>
    <w:rsid w:val="00495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B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5BCF"/>
    <w:rPr>
      <w:sz w:val="32"/>
    </w:rPr>
  </w:style>
  <w:style w:type="paragraph" w:customStyle="1" w:styleId="HeadingProcedure">
    <w:name w:val="Heading Procedure"/>
    <w:basedOn w:val="HeadingBase"/>
    <w:next w:val="Normal"/>
    <w:rsid w:val="00495BCF"/>
    <w:pPr>
      <w:tabs>
        <w:tab w:val="left" w:pos="0"/>
      </w:tabs>
      <w:spacing w:before="120" w:after="60"/>
    </w:pPr>
    <w:rPr>
      <w:i/>
      <w:color w:val="918585"/>
      <w:sz w:val="22"/>
    </w:rPr>
  </w:style>
  <w:style w:type="paragraph" w:customStyle="1" w:styleId="TableBodyText">
    <w:name w:val="Table Body Text"/>
    <w:basedOn w:val="BodyText"/>
    <w:rsid w:val="00495BCF"/>
    <w:pPr>
      <w:spacing w:before="60" w:after="60"/>
    </w:pPr>
  </w:style>
  <w:style w:type="paragraph" w:styleId="ListContinue">
    <w:name w:val="List Continue"/>
    <w:basedOn w:val="List"/>
    <w:rsid w:val="00495BCF"/>
    <w:pPr>
      <w:ind w:firstLine="0"/>
    </w:pPr>
  </w:style>
  <w:style w:type="paragraph" w:customStyle="1" w:styleId="ListNote">
    <w:name w:val="List Note"/>
    <w:basedOn w:val="List"/>
    <w:rsid w:val="00495BCF"/>
    <w:pPr>
      <w:pBdr>
        <w:top w:val="single" w:sz="6" w:space="2" w:color="918585"/>
        <w:bottom w:val="single" w:sz="6" w:space="2" w:color="918585"/>
      </w:pBdr>
      <w:tabs>
        <w:tab w:val="left" w:pos="1021"/>
      </w:tabs>
      <w:ind w:firstLine="0"/>
    </w:pPr>
  </w:style>
  <w:style w:type="paragraph" w:customStyle="1" w:styleId="Warning">
    <w:name w:val="Warning"/>
    <w:basedOn w:val="BodyText"/>
    <w:rsid w:val="00495BCF"/>
    <w:pPr>
      <w:shd w:val="clear" w:color="auto" w:fill="D9D9D9"/>
      <w:tabs>
        <w:tab w:val="left" w:pos="992"/>
      </w:tabs>
      <w:ind w:left="119" w:right="119"/>
    </w:pPr>
    <w:rPr>
      <w:sz w:val="20"/>
    </w:rPr>
  </w:style>
  <w:style w:type="paragraph" w:customStyle="1" w:styleId="MarginIcons">
    <w:name w:val="Margin Icons"/>
    <w:basedOn w:val="BodyText"/>
    <w:rsid w:val="00495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BCF"/>
    <w:rPr>
      <w:rFonts w:ascii="Courier New" w:hAnsi="Courier New"/>
    </w:rPr>
  </w:style>
  <w:style w:type="paragraph" w:customStyle="1" w:styleId="NoteBullet">
    <w:name w:val="Note Bullet"/>
    <w:basedOn w:val="Note"/>
    <w:rsid w:val="00495BCF"/>
    <w:pPr>
      <w:tabs>
        <w:tab w:val="clear" w:pos="680"/>
      </w:tabs>
      <w:spacing w:before="60" w:after="60"/>
    </w:pPr>
  </w:style>
  <w:style w:type="paragraph" w:customStyle="1" w:styleId="SubHeading2">
    <w:name w:val="SubHeading2"/>
    <w:basedOn w:val="HeadingBase"/>
    <w:rsid w:val="00495BCF"/>
    <w:pPr>
      <w:spacing w:before="240" w:after="60"/>
    </w:pPr>
    <w:rPr>
      <w:sz w:val="20"/>
    </w:rPr>
  </w:style>
  <w:style w:type="paragraph" w:customStyle="1" w:styleId="SubHeading1">
    <w:name w:val="SubHeading1"/>
    <w:basedOn w:val="HeadingBase"/>
    <w:rsid w:val="00495BCF"/>
    <w:pPr>
      <w:spacing w:before="240" w:after="60"/>
    </w:pPr>
    <w:rPr>
      <w:color w:val="918585"/>
      <w:sz w:val="22"/>
    </w:rPr>
  </w:style>
  <w:style w:type="paragraph" w:customStyle="1" w:styleId="SideHeading">
    <w:name w:val="Side Heading"/>
    <w:basedOn w:val="HeadingBase"/>
    <w:rsid w:val="00495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BCF"/>
    <w:pPr>
      <w:numPr>
        <w:numId w:val="13"/>
      </w:numPr>
    </w:pPr>
  </w:style>
  <w:style w:type="paragraph" w:styleId="PlainText">
    <w:name w:val="Plain Text"/>
    <w:basedOn w:val="Normal"/>
    <w:link w:val="PlainTextChar"/>
    <w:rsid w:val="00495BCF"/>
    <w:rPr>
      <w:sz w:val="20"/>
    </w:rPr>
  </w:style>
  <w:style w:type="character" w:customStyle="1" w:styleId="PlainTextChar">
    <w:name w:val="Plain Text Char"/>
    <w:basedOn w:val="DefaultParagraphFont"/>
    <w:link w:val="PlainText"/>
    <w:rsid w:val="00495B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5BCF"/>
    <w:rPr>
      <w:b/>
      <w:smallCaps/>
    </w:rPr>
  </w:style>
  <w:style w:type="paragraph" w:customStyle="1" w:styleId="TableListNumber">
    <w:name w:val="Table List Number"/>
    <w:basedOn w:val="ListNumber"/>
    <w:rsid w:val="00495BCF"/>
    <w:pPr>
      <w:numPr>
        <w:numId w:val="0"/>
      </w:numPr>
    </w:pPr>
  </w:style>
  <w:style w:type="paragraph" w:styleId="TOC4">
    <w:name w:val="toc 4"/>
    <w:basedOn w:val="TOCBase"/>
    <w:next w:val="Normal"/>
    <w:semiHidden/>
    <w:rsid w:val="00495BCF"/>
    <w:pPr>
      <w:tabs>
        <w:tab w:val="right" w:leader="dot" w:pos="9071"/>
      </w:tabs>
      <w:ind w:left="1701"/>
    </w:pPr>
  </w:style>
  <w:style w:type="paragraph" w:customStyle="1" w:styleId="ListAlpha">
    <w:name w:val="List Alpha"/>
    <w:basedOn w:val="List"/>
    <w:rsid w:val="00495BCF"/>
    <w:pPr>
      <w:numPr>
        <w:numId w:val="10"/>
      </w:numPr>
    </w:pPr>
  </w:style>
  <w:style w:type="paragraph" w:customStyle="1" w:styleId="ListAlpha2">
    <w:name w:val="List Alpha 2"/>
    <w:basedOn w:val="List2"/>
    <w:rsid w:val="00495BCF"/>
    <w:pPr>
      <w:numPr>
        <w:numId w:val="9"/>
      </w:numPr>
    </w:pPr>
  </w:style>
  <w:style w:type="paragraph" w:styleId="List2">
    <w:name w:val="List 2"/>
    <w:basedOn w:val="BodyText"/>
    <w:rsid w:val="00495BCF"/>
    <w:pPr>
      <w:tabs>
        <w:tab w:val="left" w:pos="680"/>
      </w:tabs>
      <w:spacing w:before="60" w:after="60"/>
      <w:ind w:left="680" w:hanging="340"/>
    </w:pPr>
  </w:style>
  <w:style w:type="paragraph" w:styleId="List3">
    <w:name w:val="List 3"/>
    <w:basedOn w:val="BodyText"/>
    <w:rsid w:val="00495BCF"/>
    <w:pPr>
      <w:tabs>
        <w:tab w:val="left" w:pos="1021"/>
      </w:tabs>
      <w:spacing w:before="60" w:after="60"/>
      <w:ind w:left="1020" w:hanging="340"/>
    </w:pPr>
  </w:style>
  <w:style w:type="paragraph" w:styleId="List4">
    <w:name w:val="List 4"/>
    <w:basedOn w:val="BodyText"/>
    <w:rsid w:val="00495BCF"/>
    <w:pPr>
      <w:tabs>
        <w:tab w:val="left" w:pos="1361"/>
      </w:tabs>
      <w:spacing w:before="60" w:after="60"/>
      <w:ind w:left="1361" w:hanging="340"/>
    </w:pPr>
  </w:style>
  <w:style w:type="paragraph" w:styleId="List5">
    <w:name w:val="List 5"/>
    <w:basedOn w:val="BodyText"/>
    <w:rsid w:val="00495BCF"/>
    <w:pPr>
      <w:tabs>
        <w:tab w:val="left" w:pos="1701"/>
      </w:tabs>
      <w:spacing w:before="60" w:after="60"/>
      <w:ind w:left="1701" w:hanging="340"/>
    </w:pPr>
  </w:style>
  <w:style w:type="paragraph" w:styleId="ListBullet4">
    <w:name w:val="List Bullet 4"/>
    <w:basedOn w:val="List4"/>
    <w:rsid w:val="00495BCF"/>
    <w:pPr>
      <w:numPr>
        <w:numId w:val="4"/>
      </w:numPr>
    </w:pPr>
  </w:style>
  <w:style w:type="paragraph" w:styleId="ListBullet5">
    <w:name w:val="List Bullet 5"/>
    <w:basedOn w:val="List5"/>
    <w:rsid w:val="00495BCF"/>
    <w:pPr>
      <w:numPr>
        <w:numId w:val="5"/>
      </w:numPr>
    </w:pPr>
  </w:style>
  <w:style w:type="paragraph" w:styleId="ListContinue2">
    <w:name w:val="List Continue 2"/>
    <w:basedOn w:val="List2"/>
    <w:rsid w:val="00495BCF"/>
    <w:pPr>
      <w:ind w:firstLine="0"/>
    </w:pPr>
  </w:style>
  <w:style w:type="paragraph" w:styleId="ListContinue3">
    <w:name w:val="List Continue 3"/>
    <w:basedOn w:val="List3"/>
    <w:rsid w:val="00495BCF"/>
    <w:pPr>
      <w:ind w:left="1021" w:firstLine="0"/>
    </w:pPr>
  </w:style>
  <w:style w:type="paragraph" w:styleId="ListContinue4">
    <w:name w:val="List Continue 4"/>
    <w:basedOn w:val="List4"/>
    <w:rsid w:val="00495BCF"/>
    <w:pPr>
      <w:ind w:firstLine="0"/>
    </w:pPr>
  </w:style>
  <w:style w:type="paragraph" w:styleId="ListContinue5">
    <w:name w:val="List Continue 5"/>
    <w:basedOn w:val="List5"/>
    <w:rsid w:val="00495BCF"/>
    <w:pPr>
      <w:ind w:firstLine="0"/>
    </w:pPr>
  </w:style>
  <w:style w:type="paragraph" w:styleId="ListNumber3">
    <w:name w:val="List Number 3"/>
    <w:basedOn w:val="List3"/>
    <w:rsid w:val="00495BCF"/>
    <w:pPr>
      <w:numPr>
        <w:numId w:val="6"/>
      </w:numPr>
    </w:pPr>
  </w:style>
  <w:style w:type="paragraph" w:styleId="ListNumber4">
    <w:name w:val="List Number 4"/>
    <w:basedOn w:val="List4"/>
    <w:rsid w:val="00495BCF"/>
    <w:pPr>
      <w:numPr>
        <w:numId w:val="7"/>
      </w:numPr>
    </w:pPr>
  </w:style>
  <w:style w:type="paragraph" w:styleId="ListNumber5">
    <w:name w:val="List Number 5"/>
    <w:basedOn w:val="List5"/>
    <w:rsid w:val="00495BCF"/>
    <w:pPr>
      <w:numPr>
        <w:numId w:val="8"/>
      </w:numPr>
    </w:pPr>
  </w:style>
  <w:style w:type="paragraph" w:styleId="BlockText">
    <w:name w:val="Block Text"/>
    <w:basedOn w:val="Normal"/>
    <w:rsid w:val="00495BCF"/>
    <w:pPr>
      <w:spacing w:after="120"/>
      <w:ind w:left="1440" w:right="1440"/>
    </w:pPr>
  </w:style>
  <w:style w:type="character" w:customStyle="1" w:styleId="Subscript">
    <w:name w:val="Subscript"/>
    <w:basedOn w:val="DefaultParagraphFont"/>
    <w:rsid w:val="00495BCF"/>
    <w:rPr>
      <w:sz w:val="16"/>
      <w:vertAlign w:val="subscript"/>
    </w:rPr>
  </w:style>
  <w:style w:type="character" w:customStyle="1" w:styleId="Superscript">
    <w:name w:val="Superscript"/>
    <w:basedOn w:val="DefaultParagraphFont"/>
    <w:rsid w:val="00495BCF"/>
    <w:rPr>
      <w:sz w:val="16"/>
      <w:vertAlign w:val="superscript"/>
    </w:rPr>
  </w:style>
  <w:style w:type="character" w:customStyle="1" w:styleId="Symbols">
    <w:name w:val="Symbols"/>
    <w:basedOn w:val="DefaultParagraphFont"/>
    <w:rsid w:val="00495BCF"/>
    <w:rPr>
      <w:rFonts w:ascii="Symbol" w:hAnsi="Symbol"/>
    </w:rPr>
  </w:style>
  <w:style w:type="character" w:customStyle="1" w:styleId="MenuOptions">
    <w:name w:val="Menu Options"/>
    <w:basedOn w:val="DefaultParagraphFont"/>
    <w:rsid w:val="00495BCF"/>
    <w:rPr>
      <w:rFonts w:ascii="Arial Narrow" w:hAnsi="Arial Narrow"/>
      <w:smallCaps/>
    </w:rPr>
  </w:style>
  <w:style w:type="character" w:customStyle="1" w:styleId="Buttons">
    <w:name w:val="Buttons"/>
    <w:basedOn w:val="DefaultParagraphFont"/>
    <w:rsid w:val="00495BCF"/>
    <w:rPr>
      <w:b/>
    </w:rPr>
  </w:style>
  <w:style w:type="character" w:customStyle="1" w:styleId="Underlined">
    <w:name w:val="Underlined"/>
    <w:basedOn w:val="DefaultParagraphFont"/>
    <w:rsid w:val="00495BCF"/>
    <w:rPr>
      <w:u w:val="single"/>
    </w:rPr>
  </w:style>
  <w:style w:type="paragraph" w:customStyle="1" w:styleId="TableBodyTextRight">
    <w:name w:val="Table Body Text Right"/>
    <w:basedOn w:val="TableBodyText"/>
    <w:rsid w:val="00495BCF"/>
    <w:pPr>
      <w:widowControl w:val="0"/>
      <w:autoSpaceDE w:val="0"/>
      <w:autoSpaceDN w:val="0"/>
      <w:adjustRightInd w:val="0"/>
      <w:jc w:val="right"/>
    </w:pPr>
    <w:rPr>
      <w:rFonts w:cs="Arial"/>
      <w:szCs w:val="18"/>
    </w:rPr>
  </w:style>
  <w:style w:type="paragraph" w:customStyle="1" w:styleId="CopyrightText">
    <w:name w:val="Copyright Text"/>
    <w:basedOn w:val="BodyText"/>
    <w:rsid w:val="00495BCF"/>
    <w:rPr>
      <w:sz w:val="18"/>
    </w:rPr>
  </w:style>
  <w:style w:type="paragraph" w:customStyle="1" w:styleId="BodySmallRight">
    <w:name w:val="Body Small Right"/>
    <w:basedOn w:val="BodyTextRight"/>
    <w:rsid w:val="00495BCF"/>
    <w:rPr>
      <w:sz w:val="18"/>
      <w:szCs w:val="18"/>
    </w:rPr>
  </w:style>
  <w:style w:type="paragraph" w:customStyle="1" w:styleId="MarginEdition">
    <w:name w:val="Margin Edition"/>
    <w:basedOn w:val="MarginNote"/>
    <w:rsid w:val="00495BCF"/>
    <w:pPr>
      <w:spacing w:before="0" w:after="0"/>
    </w:pPr>
    <w:rPr>
      <w:rFonts w:ascii="Times New Roman" w:hAnsi="Times New Roman"/>
      <w:color w:val="999999"/>
    </w:rPr>
  </w:style>
  <w:style w:type="paragraph" w:customStyle="1" w:styleId="Spacer">
    <w:name w:val="Spacer"/>
    <w:basedOn w:val="Normal"/>
    <w:rsid w:val="00495BCF"/>
    <w:rPr>
      <w:sz w:val="2"/>
      <w:szCs w:val="2"/>
    </w:rPr>
  </w:style>
  <w:style w:type="character" w:customStyle="1" w:styleId="Small">
    <w:name w:val="Small"/>
    <w:basedOn w:val="DefaultParagraphFont"/>
    <w:rsid w:val="00495BCF"/>
    <w:rPr>
      <w:sz w:val="16"/>
    </w:rPr>
  </w:style>
  <w:style w:type="paragraph" w:customStyle="1" w:styleId="WideTable">
    <w:name w:val="Wide Table"/>
    <w:basedOn w:val="Normal"/>
    <w:rsid w:val="00495BCF"/>
    <w:pPr>
      <w:ind w:left="-1418"/>
    </w:pPr>
    <w:rPr>
      <w:sz w:val="2"/>
      <w:szCs w:val="2"/>
    </w:rPr>
  </w:style>
  <w:style w:type="character" w:styleId="PageNumber">
    <w:name w:val="page number"/>
    <w:basedOn w:val="DefaultParagraphFont"/>
    <w:rsid w:val="00495BCF"/>
  </w:style>
  <w:style w:type="paragraph" w:styleId="Quote">
    <w:name w:val="Quote"/>
    <w:basedOn w:val="Heading1"/>
    <w:link w:val="QuoteChar"/>
    <w:qFormat/>
    <w:rsid w:val="00495BCF"/>
    <w:rPr>
      <w:b w:val="0"/>
      <w:sz w:val="72"/>
      <w:szCs w:val="72"/>
      <w:lang w:val="en-NZ"/>
    </w:rPr>
  </w:style>
  <w:style w:type="character" w:customStyle="1" w:styleId="QuoteChar">
    <w:name w:val="Quote Char"/>
    <w:basedOn w:val="DefaultParagraphFont"/>
    <w:link w:val="Quote"/>
    <w:rsid w:val="00495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BCF"/>
    <w:pPr>
      <w:pageBreakBefore/>
    </w:pPr>
  </w:style>
  <w:style w:type="paragraph" w:customStyle="1" w:styleId="Border">
    <w:name w:val="Border"/>
    <w:basedOn w:val="Normal"/>
    <w:qFormat/>
    <w:rsid w:val="00495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BCF"/>
    <w:rPr>
      <w:b/>
      <w:bCs/>
      <w:i/>
      <w:iCs/>
      <w:color w:val="auto"/>
    </w:rPr>
  </w:style>
  <w:style w:type="paragraph" w:styleId="IntenseQuote">
    <w:name w:val="Intense Quote"/>
    <w:basedOn w:val="Normal"/>
    <w:next w:val="Normal"/>
    <w:link w:val="IntenseQuoteChar"/>
    <w:uiPriority w:val="30"/>
    <w:qFormat/>
    <w:rsid w:val="00495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B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5BCF"/>
    <w:rPr>
      <w:smallCaps/>
      <w:color w:val="auto"/>
      <w:u w:val="single"/>
    </w:rPr>
  </w:style>
  <w:style w:type="character" w:styleId="IntenseReference">
    <w:name w:val="Intense Reference"/>
    <w:basedOn w:val="DefaultParagraphFont"/>
    <w:uiPriority w:val="32"/>
    <w:qFormat/>
    <w:rsid w:val="00495BCF"/>
    <w:rPr>
      <w:b/>
      <w:bCs/>
      <w:smallCaps/>
      <w:color w:val="auto"/>
      <w:spacing w:val="5"/>
      <w:u w:val="single"/>
    </w:rPr>
  </w:style>
  <w:style w:type="paragraph" w:customStyle="1" w:styleId="2ColumnHeading">
    <w:name w:val="2Column Heading"/>
    <w:basedOn w:val="BodyText"/>
    <w:qFormat/>
    <w:rsid w:val="00495BCF"/>
    <w:pPr>
      <w:spacing w:after="60"/>
      <w:ind w:left="-2268"/>
    </w:pPr>
    <w:rPr>
      <w:b/>
    </w:rPr>
  </w:style>
  <w:style w:type="paragraph" w:customStyle="1" w:styleId="Heading1TOC">
    <w:name w:val="Heading1 TOC"/>
    <w:basedOn w:val="Normal"/>
    <w:qFormat/>
    <w:rsid w:val="00495BCF"/>
    <w:pPr>
      <w:spacing w:before="240" w:after="120"/>
    </w:pPr>
    <w:rPr>
      <w:rFonts w:ascii="Times New Roman" w:hAnsi="Times New Roman"/>
      <w:b/>
      <w:sz w:val="32"/>
    </w:rPr>
  </w:style>
  <w:style w:type="paragraph" w:customStyle="1" w:styleId="Heading2TOC">
    <w:name w:val="Heading2 TOC"/>
    <w:basedOn w:val="Normal"/>
    <w:qFormat/>
    <w:rsid w:val="00495BCF"/>
    <w:pPr>
      <w:spacing w:before="240" w:after="60"/>
    </w:pPr>
    <w:rPr>
      <w:rFonts w:ascii="Times New Roman" w:hAnsi="Times New Roman"/>
      <w:b/>
      <w:sz w:val="28"/>
    </w:rPr>
  </w:style>
  <w:style w:type="character" w:customStyle="1" w:styleId="Underline">
    <w:name w:val="Underline"/>
    <w:basedOn w:val="DefaultParagraphFont"/>
    <w:qFormat/>
    <w:rsid w:val="00495BCF"/>
    <w:rPr>
      <w:u w:val="single"/>
    </w:rPr>
  </w:style>
  <w:style w:type="character" w:customStyle="1" w:styleId="BoldandItalics">
    <w:name w:val="Bold and Italics"/>
    <w:qFormat/>
    <w:rsid w:val="00495BCF"/>
    <w:rPr>
      <w:b/>
      <w:i/>
      <w:u w:val="none"/>
    </w:rPr>
  </w:style>
  <w:style w:type="paragraph" w:styleId="BalloonText">
    <w:name w:val="Balloon Text"/>
    <w:basedOn w:val="Normal"/>
    <w:link w:val="BalloonTextChar"/>
    <w:rsid w:val="00495BCF"/>
    <w:rPr>
      <w:rFonts w:ascii="Tahoma" w:hAnsi="Tahoma" w:cs="Tahoma"/>
      <w:sz w:val="16"/>
      <w:szCs w:val="16"/>
    </w:rPr>
  </w:style>
  <w:style w:type="character" w:customStyle="1" w:styleId="BalloonTextChar">
    <w:name w:val="Balloon Text Char"/>
    <w:basedOn w:val="DefaultParagraphFont"/>
    <w:link w:val="BalloonText"/>
    <w:rsid w:val="00495B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5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B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3027</Words>
  <Characters>19267</Characters>
  <Application>Microsoft Office Word</Application>
  <DocSecurity>0</DocSecurity>
  <Lines>845</Lines>
  <Paragraphs>377</Paragraphs>
  <ScaleCrop>false</ScaleCrop>
  <Company>Author-it Software Corporation Ltd.</Company>
  <LinksUpToDate>false</LinksUpToDate>
  <CharactersWithSpaces>22069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UETTDRIS56A Install and maintain low voltage overhead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2012-05-26T12:13:00Z</dcterms:created>
  <dcterms:modified xsi:type="dcterms:W3CDTF">2012-05-26T12:13:00Z</dcterms:modified>
</cp:coreProperties>
</file>