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C15" w:rsidP="00441C15">
      <w:pPr>
        <w:pStyle w:val="Title"/>
      </w:pPr>
      <w:bookmarkStart w:id="0" w:name="_GoBack"/>
      <w:bookmarkEnd w:id="0"/>
      <w:r>
        <w:fldChar w:fldCharType="begin"/>
      </w:r>
      <w:r>
        <w:instrText xml:space="preserve"> TITLE   \* MERGEFORMAT </w:instrText>
      </w:r>
      <w:r>
        <w:fldChar w:fldCharType="separate"/>
      </w:r>
      <w:r>
        <w:t>UETTDRIS54A Install and maintain poles, structures and overhead conductors and cables</w:t>
      </w:r>
      <w:r>
        <w:fldChar w:fldCharType="end"/>
      </w:r>
    </w:p>
    <w:p w:rsidR="00441C15" w:rsidP="00441C15">
      <w:pPr>
        <w:pStyle w:val="Version"/>
        <w:sectPr w:rsidSect="00DC6C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CA4" w:rsidP="00DC6CA4">
      <w:pPr>
        <w:pStyle w:val="SuperHeading"/>
      </w:pPr>
      <w:r w:rsidRPr="00DC6CA4">
        <w:t>UETTDRIS54A Install and maintain poles, structures and overhead conductors and cables</w:t>
      </w:r>
    </w:p>
    <w:p w:rsidR="00000000" w:rsidRPr="00DC6CA4" w:rsidP="00DC6CA4">
      <w:pPr>
        <w:pStyle w:val="Heading1"/>
      </w:pPr>
      <w:bookmarkStart w:id="1" w:name="O_462634"/>
      <w:bookmarkEnd w:id="1"/>
      <w:r w:rsidRPr="00DC6CA4">
        <w:t>Modification History</w:t>
      </w:r>
    </w:p>
    <w:p w:rsidR="00000000" w:rsidRPr="00DC6CA4" w:rsidP="00DC6CA4">
      <w:pPr>
        <w:pStyle w:val="BodyText"/>
      </w:pPr>
      <w:r w:rsidRPr="00DC6CA4">
        <w:t>Not applicable.</w:t>
      </w:r>
    </w:p>
    <w:p w:rsidR="00000000" w:rsidRPr="00DC6CA4" w:rsidP="00DC6CA4">
      <w:pPr>
        <w:pStyle w:val="AllowPageBreak"/>
      </w:pPr>
    </w:p>
    <w:p w:rsidR="00000000" w:rsidRPr="00DC6CA4" w:rsidP="00DC6CA4">
      <w:pPr>
        <w:pStyle w:val="Heading1"/>
      </w:pPr>
      <w:bookmarkStart w:id="2" w:name="O_462632"/>
      <w:bookmarkEnd w:id="2"/>
      <w:r w:rsidRPr="00DC6CA4">
        <w:t>Unit Descr</w:t>
      </w:r>
      <w:r w:rsidRPr="00DC6CA4">
        <w:t>iptor</w:t>
      </w:r>
    </w:p>
    <w:tbl>
      <w:tblPr>
        <w:tblW w:w="0" w:type="auto"/>
        <w:tblLayout w:type="fixed"/>
        <w:tblCellMar>
          <w:left w:w="62" w:type="dxa"/>
          <w:right w:w="62" w:type="dxa"/>
        </w:tblCellMar>
        <w:tblLook w:val="0000"/>
      </w:tblPr>
      <w:tblGrid>
        <w:gridCol w:w="2700"/>
        <w:gridCol w:w="5760"/>
      </w:tblGrid>
      <w:tr w:rsidTr="00441C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1)</w:t>
            </w:r>
            <w:r w:rsidRPr="00DC6CA4">
              <w:t xml:space="preserve"> </w:t>
            </w:r>
            <w:r w:rsidRPr="00DC6CA4">
              <w:rPr>
                <w:rStyle w:val="SpecialBold"/>
              </w:rPr>
              <w:t>Scope:</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6CA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1.1) Descriptor</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t xml:space="preserve">This Competency Standard Unit covers the installation and maintenance of overhead conductors and cables used on poles and structures (excluding </w:t>
            </w:r>
            <w:r w:rsidRPr="00DC6CA4">
              <w:t>towers) which includes the stringing, tensioning and terminating of the conductor/cable, as well as the cleaning of insulators (de-energised), the securing of the conductor to the insulators or supports and the undertaking of the electrical connections. It</w:t>
            </w:r>
            <w:r w:rsidRPr="00DC6CA4">
              <w:t xml:space="preserve"> also covers maintenance work associated with the diagnosing of faults, the conducting of visual inspections, the confirmation of phasing and the completion of other enterprise tests. It also encompasses the isolation of systems and circuits, the procedure</w:t>
            </w:r>
            <w:r w:rsidRPr="00DC6CA4">
              <w:t xml:space="preserve"> of issuing/accepting electrical access permits and the updating of system data/maintenance records according to requirements and established procedures.</w:t>
            </w:r>
          </w:p>
        </w:tc>
      </w:tr>
    </w:tbl>
    <w:p w:rsidR="00000000" w:rsidRPr="00DC6CA4" w:rsidP="00DC6CA4">
      <w:pPr>
        <w:pStyle w:val="BodyText"/>
      </w:pPr>
    </w:p>
    <w:p w:rsidR="00000000" w:rsidRPr="00DC6CA4" w:rsidP="00DC6CA4">
      <w:pPr>
        <w:pStyle w:val="AllowPageBreak"/>
      </w:pPr>
    </w:p>
    <w:p w:rsidR="00000000" w:rsidRPr="00DC6CA4" w:rsidP="00DC6CA4">
      <w:pPr>
        <w:pStyle w:val="Heading1"/>
      </w:pPr>
      <w:bookmarkStart w:id="3" w:name="O_462621"/>
      <w:bookmarkEnd w:id="3"/>
      <w:r w:rsidRPr="00DC6CA4">
        <w:t>Application of the Unit</w:t>
      </w:r>
    </w:p>
    <w:tbl>
      <w:tblPr>
        <w:tblW w:w="0" w:type="auto"/>
        <w:tblLayout w:type="fixed"/>
        <w:tblCellMar>
          <w:left w:w="62" w:type="dxa"/>
          <w:right w:w="62" w:type="dxa"/>
        </w:tblCellMar>
        <w:tblLook w:val="0000"/>
      </w:tblPr>
      <w:tblGrid>
        <w:gridCol w:w="2672"/>
        <w:gridCol w:w="5699"/>
      </w:tblGrid>
      <w:tr w:rsidTr="00441C1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2)</w:t>
            </w:r>
          </w:p>
        </w:tc>
      </w:tr>
      <w:tr w:rsidTr="00441C1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t>This Competency Standard Unit is intended to augment formally acquired competencies. It is suitable for employment-based programs under an approved contract of training.</w:t>
            </w:r>
          </w:p>
        </w:tc>
      </w:tr>
    </w:tbl>
    <w:p w:rsidR="00000000" w:rsidRPr="00DC6CA4" w:rsidP="00DC6CA4">
      <w:pPr>
        <w:pStyle w:val="BodyText"/>
      </w:pPr>
    </w:p>
    <w:p w:rsidR="00000000" w:rsidRPr="00DC6CA4" w:rsidP="00DC6CA4">
      <w:pPr>
        <w:pStyle w:val="AllowPageBreak"/>
      </w:pPr>
    </w:p>
    <w:p w:rsidR="00000000" w:rsidRPr="00DC6CA4" w:rsidP="00DC6CA4">
      <w:pPr>
        <w:pStyle w:val="Heading1"/>
      </w:pPr>
      <w:bookmarkStart w:id="4" w:name="O_462628"/>
      <w:bookmarkEnd w:id="4"/>
      <w:r w:rsidRPr="00DC6CA4">
        <w:t>Licensing/Regulatory Information</w:t>
      </w:r>
    </w:p>
    <w:tbl>
      <w:tblPr>
        <w:tblW w:w="0" w:type="auto"/>
        <w:tblLayout w:type="fixed"/>
        <w:tblCellMar>
          <w:left w:w="62" w:type="dxa"/>
          <w:right w:w="62" w:type="dxa"/>
        </w:tblCellMar>
        <w:tblLook w:val="0000"/>
      </w:tblPr>
      <w:tblGrid>
        <w:gridCol w:w="2700"/>
        <w:gridCol w:w="5760"/>
      </w:tblGrid>
      <w:tr w:rsidTr="00441C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 xml:space="preserve">3) </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t>The skil</w:t>
            </w:r>
            <w:r w:rsidRPr="00DC6CA4">
              <w:t>ls and knowledge described in this unit may require a licence/registration to practice in the work place subject to regulations for undertaking of electrical work. Practice in workplace and during training is also subject to regulations directly related to</w:t>
            </w:r>
            <w:r w:rsidRPr="00DC6CA4">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DC6CA4">
              <w:t>gulations may exist that limits the age of operating certain equipment.</w:t>
            </w:r>
          </w:p>
        </w:tc>
      </w:tr>
    </w:tbl>
    <w:p w:rsidR="00000000" w:rsidRPr="00DC6CA4" w:rsidP="00DC6CA4">
      <w:pPr>
        <w:pStyle w:val="BodyText"/>
      </w:pPr>
    </w:p>
    <w:p w:rsidR="00000000" w:rsidRPr="00DC6CA4" w:rsidP="00DC6CA4">
      <w:pPr>
        <w:pStyle w:val="AllowPageBreak"/>
      </w:pPr>
    </w:p>
    <w:p w:rsidR="00000000" w:rsidRPr="00DC6CA4" w:rsidP="00DC6CA4">
      <w:pPr>
        <w:pStyle w:val="Heading1"/>
      </w:pPr>
      <w:bookmarkStart w:id="5" w:name="O_462629"/>
      <w:bookmarkEnd w:id="5"/>
      <w:r w:rsidRPr="00DC6CA4">
        <w:t>Pre-Requisites</w:t>
      </w:r>
    </w:p>
    <w:tbl>
      <w:tblPr>
        <w:tblW w:w="0" w:type="auto"/>
        <w:tblLayout w:type="fixed"/>
        <w:tblCellMar>
          <w:left w:w="62" w:type="dxa"/>
          <w:right w:w="62" w:type="dxa"/>
        </w:tblCellMar>
        <w:tblLook w:val="0000"/>
      </w:tblPr>
      <w:tblGrid>
        <w:gridCol w:w="2700"/>
        <w:gridCol w:w="1980"/>
        <w:gridCol w:w="3780"/>
      </w:tblGrid>
      <w:tr w:rsidTr="00441C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 xml:space="preserve">4) </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4.1)</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t>Granting of competency in this unit shall be made only after competency in the following unit(s) has/have been confirmed.</w:t>
            </w:r>
          </w:p>
          <w:p w:rsidR="00000000" w:rsidRPr="00DC6CA4" w:rsidP="00DC6CA4">
            <w:pPr>
              <w:pStyle w:val="BodyText"/>
            </w:pPr>
            <w:r w:rsidRPr="00DC6CA4">
              <w:t xml:space="preserve">Where pre-requisite pathways have been identified. All competencies in the Common Unit Group must be have been completed plus all the </w:t>
            </w:r>
            <w:r w:rsidRPr="00DC6CA4">
              <w:t>competencies in one (1) of the identified Pathway Unit Group(s):</w:t>
            </w:r>
          </w:p>
          <w:p w:rsidR="00000000" w:rsidP="00DC6CA4">
            <w:pPr>
              <w:pStyle w:val="BodyText"/>
              <w:rPr>
                <w:lang w:val="en-NZ"/>
              </w:rPr>
            </w:pPr>
            <w:r w:rsidRPr="00DC6CA4">
              <w:t>Common Unit Group</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Unit Code</w:t>
            </w:r>
          </w:p>
        </w:tc>
        <w:tc>
          <w:tcPr>
            <w:tcW w:w="378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Unit Title</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DC6CA4">
            <w:pPr>
              <w:pStyle w:val="BodyText"/>
              <w:rPr>
                <w:lang w:val="en-NZ"/>
              </w:rPr>
            </w:pPr>
            <w:r w:rsidRPr="00DC6CA4">
              <w:t>Apply Occupational Health and Safety regulations, codes and practices in the workplace</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DC6CA4">
            <w:pPr>
              <w:pStyle w:val="BodyText"/>
              <w:rPr>
                <w:lang w:val="en-NZ"/>
              </w:rPr>
            </w:pPr>
            <w:r w:rsidRPr="00DC6CA4">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DC6CA4">
            <w:pPr>
              <w:pStyle w:val="BodyText"/>
              <w:rPr>
                <w:lang w:val="en-NZ"/>
              </w:rPr>
            </w:pPr>
            <w:r w:rsidRPr="00DC6CA4">
              <w:t>Fabricate, assemble and dismantle utilities industry components</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DC6CA4">
            <w:pPr>
              <w:pStyle w:val="BodyText"/>
              <w:rPr>
                <w:lang w:val="en-NZ"/>
              </w:rPr>
            </w:pPr>
            <w:r w:rsidRPr="00DC6CA4">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DC6CA4">
            <w:pPr>
              <w:pStyle w:val="BodyText"/>
              <w:rPr>
                <w:lang w:val="en-NZ"/>
              </w:rPr>
            </w:pPr>
            <w:r w:rsidRPr="00DC6CA4">
              <w:t>Fix and secure electrotechnology equipment</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DC6CA4">
            <w:pPr>
              <w:pStyle w:val="BodyText"/>
              <w:rPr>
                <w:lang w:val="en-NZ"/>
              </w:rPr>
            </w:pPr>
            <w:r w:rsidRPr="00DC6CA4">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DC6CA4">
            <w:pPr>
              <w:pStyle w:val="BodyText"/>
              <w:rPr>
                <w:lang w:val="en-NZ"/>
              </w:rPr>
            </w:pPr>
            <w:r w:rsidRPr="00DC6CA4">
              <w:t>Use drawings, diagrams, schedules, standards, codes and specifications</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DC6CA4">
            <w:pPr>
              <w:pStyle w:val="BodyText"/>
              <w:rPr>
                <w:lang w:val="en-NZ"/>
              </w:rPr>
            </w:pPr>
            <w:r w:rsidRPr="00DC6CA4">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DC6CA4">
            <w:pPr>
              <w:pStyle w:val="BodyText"/>
              <w:rPr>
                <w:lang w:val="en-NZ"/>
              </w:rPr>
            </w:pPr>
            <w:r w:rsidRPr="00DC6CA4">
              <w:t>Apply sustainable energy and environ</w:t>
            </w:r>
            <w:r w:rsidRPr="00DC6CA4">
              <w:t xml:space="preserve">mental procedures </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DC6CA4">
            <w:pPr>
              <w:pStyle w:val="BodyText"/>
              <w:rPr>
                <w:lang w:val="en-NZ"/>
              </w:rPr>
            </w:pPr>
            <w:r w:rsidRPr="00DC6CA4">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RPr="00DC6CA4" w:rsidP="00DC6CA4">
            <w:pPr>
              <w:pStyle w:val="BodyText"/>
            </w:pPr>
            <w:r w:rsidRPr="00DC6CA4">
              <w:t xml:space="preserve">Working safely near live electrical apparatus </w:t>
            </w:r>
          </w:p>
        </w:tc>
      </w:tr>
    </w:tbl>
    <w:p w:rsidR="00000000" w:rsidRPr="00DC6CA4" w:rsidP="00DC6CA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41C1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 xml:space="preserve">4.2) </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Participants are best equipped to achieve this unit if they have reading, w</w:t>
            </w:r>
            <w:r w:rsidRPr="00DC6CA4">
              <w:t>riting and numeracy skills indicated by the following scales. Description of each scale is given in Volume 2, Part 3 “Literacy and Numeracy”</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Reading</w:t>
            </w:r>
          </w:p>
        </w:tc>
        <w:tc>
          <w:tcPr>
            <w:tcW w:w="81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3</w:t>
            </w:r>
          </w:p>
        </w:tc>
        <w:tc>
          <w:tcPr>
            <w:tcW w:w="99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Writing</w:t>
            </w:r>
          </w:p>
        </w:tc>
        <w:tc>
          <w:tcPr>
            <w:tcW w:w="90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3</w:t>
            </w:r>
          </w:p>
        </w:tc>
        <w:tc>
          <w:tcPr>
            <w:tcW w:w="126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Numeracy</w:t>
            </w:r>
          </w:p>
        </w:tc>
        <w:tc>
          <w:tcPr>
            <w:tcW w:w="72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t>3</w:t>
            </w:r>
          </w:p>
        </w:tc>
      </w:tr>
    </w:tbl>
    <w:p w:rsidR="00000000" w:rsidRPr="00DC6CA4" w:rsidP="00DC6CA4">
      <w:pPr>
        <w:pStyle w:val="BodyText"/>
      </w:pPr>
    </w:p>
    <w:p w:rsidR="00000000" w:rsidRPr="00DC6CA4" w:rsidP="00DC6CA4">
      <w:pPr>
        <w:pStyle w:val="AllowPageBreak"/>
      </w:pPr>
    </w:p>
    <w:p w:rsidR="00000000" w:rsidRPr="00DC6CA4" w:rsidP="00DC6CA4">
      <w:pPr>
        <w:pStyle w:val="Heading1"/>
      </w:pPr>
      <w:bookmarkStart w:id="6" w:name="O_462625"/>
      <w:bookmarkEnd w:id="6"/>
      <w:r w:rsidRPr="00DC6CA4">
        <w:t>Employability Skills Information</w:t>
      </w:r>
    </w:p>
    <w:tbl>
      <w:tblPr>
        <w:tblW w:w="0" w:type="auto"/>
        <w:tblLayout w:type="fixed"/>
        <w:tblCellMar>
          <w:left w:w="62" w:type="dxa"/>
          <w:right w:w="62" w:type="dxa"/>
        </w:tblCellMar>
        <w:tblLook w:val="0000"/>
      </w:tblPr>
      <w:tblGrid>
        <w:gridCol w:w="2700"/>
        <w:gridCol w:w="5760"/>
      </w:tblGrid>
      <w:tr w:rsidTr="00441C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 xml:space="preserve">5) </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t>The required outcomes described in this unit of competency contain applicable facets of Employability Skills. The Employability Skills Summary of the qualification in which this unit of competency is packaged will assist in identifying Employability Skil</w:t>
            </w:r>
            <w:r w:rsidRPr="00DC6CA4">
              <w:t>l requirements.</w:t>
            </w:r>
          </w:p>
        </w:tc>
      </w:tr>
    </w:tbl>
    <w:p w:rsidR="00000000" w:rsidRPr="00DC6CA4" w:rsidP="00DC6CA4">
      <w:pPr>
        <w:pStyle w:val="BodyText"/>
      </w:pPr>
    </w:p>
    <w:p w:rsidR="00000000" w:rsidRPr="00DC6CA4" w:rsidP="00DC6CA4">
      <w:pPr>
        <w:pStyle w:val="AllowPageBreak"/>
      </w:pPr>
    </w:p>
    <w:p w:rsidR="00000000" w:rsidRPr="00DC6CA4" w:rsidP="00DC6CA4">
      <w:pPr>
        <w:pStyle w:val="Heading1"/>
      </w:pPr>
      <w:bookmarkStart w:id="7" w:name="O_462624"/>
      <w:bookmarkEnd w:id="7"/>
      <w:r w:rsidRPr="00DC6CA4">
        <w:t>Elements and Performance Criteria Pre-Content</w:t>
      </w:r>
    </w:p>
    <w:tbl>
      <w:tblPr>
        <w:tblW w:w="0" w:type="auto"/>
        <w:tblLayout w:type="fixed"/>
        <w:tblCellMar>
          <w:left w:w="62" w:type="dxa"/>
          <w:right w:w="62" w:type="dxa"/>
        </w:tblCellMar>
        <w:tblLook w:val="0000"/>
      </w:tblPr>
      <w:tblGrid>
        <w:gridCol w:w="2700"/>
        <w:gridCol w:w="5760"/>
      </w:tblGrid>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6)</w:t>
            </w:r>
            <w:r w:rsidRPr="00DC6CA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t>Performance Criteria describe the required performance needed to demonstrate achievement of the eleme</w:t>
            </w:r>
            <w:r w:rsidRPr="00DC6CA4">
              <w:t>nt. Assessment of performance is to be consistent with the Evidence Guide.</w:t>
            </w:r>
          </w:p>
        </w:tc>
      </w:tr>
    </w:tbl>
    <w:p w:rsidR="00000000" w:rsidRPr="00DC6CA4" w:rsidP="00DC6CA4">
      <w:pPr>
        <w:pStyle w:val="BodyText"/>
      </w:pPr>
    </w:p>
    <w:p w:rsidR="00000000" w:rsidRPr="00DC6CA4" w:rsidP="00DC6CA4">
      <w:pPr>
        <w:pStyle w:val="AllowPageBreak"/>
      </w:pPr>
    </w:p>
    <w:p w:rsidR="00000000" w:rsidRPr="00DC6CA4" w:rsidP="00DC6CA4">
      <w:pPr>
        <w:pStyle w:val="Heading1"/>
      </w:pPr>
      <w:bookmarkStart w:id="8" w:name="O_462623"/>
      <w:bookmarkEnd w:id="8"/>
      <w:r w:rsidRPr="00DC6CA4">
        <w:t>Elements and Performance Criteria</w:t>
      </w:r>
    </w:p>
    <w:tbl>
      <w:tblPr>
        <w:tblW w:w="0" w:type="auto"/>
        <w:tblLayout w:type="fixed"/>
        <w:tblCellMar>
          <w:left w:w="62" w:type="dxa"/>
          <w:right w:w="62" w:type="dxa"/>
        </w:tblCellMar>
        <w:tblLook w:val="0000"/>
      </w:tblPr>
      <w:tblGrid>
        <w:gridCol w:w="409"/>
        <w:gridCol w:w="2258"/>
        <w:gridCol w:w="33"/>
        <w:gridCol w:w="856"/>
        <w:gridCol w:w="4904"/>
      </w:tblGrid>
      <w:tr w:rsidTr="00441C15">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PERFORMANCE CRITERIA</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1</w:t>
            </w:r>
          </w:p>
        </w:tc>
        <w:tc>
          <w:tcPr>
            <w:tcW w:w="2258" w:type="dxa"/>
            <w:vMerge w:val="restart"/>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Prepare for the installation and maintenance of overhead conductors and cables used on poles and/or structures</w:t>
            </w: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1.1</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Plans, requirements, established procedures, and material lists, are received, analysed and confirmed, if necessary, by site inspection.</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1.2</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Relevant requirements and established procedures for the work are communicated to all personnel and identified for all work sites.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1.3</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OHS policies and procedures related to requirements and established procedures for the installation and maintenanc</w:t>
            </w:r>
            <w:r w:rsidRPr="00DC6CA4">
              <w:t>e of overhead conductors and cables used on poles and/or structures are obtained and confirmed for the purposes of the work to be performed and communicated.</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1.4</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Work is prioritised and sequenced following consultation with others for completion within acceptable timeframes and in accordance with 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1.5</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Hazards are identified, OHS risks assessed and control measures are prioritised, implemen</w:t>
            </w:r>
            <w:r w:rsidRPr="00DC6CA4">
              <w:t>ted and monitored including emergency exits kept clear according to 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1.6</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Relevant work permits are obtained to access and perform work according to requirements and/or 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1.7</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 xml:space="preserve">Resources including personnel, </w:t>
            </w:r>
            <w:r w:rsidRPr="00DC6CA4">
              <w:t>equipment, tools and personal protective equipment required for the job are obtained and confirmed in working order.</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1.8</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Relevant personnel at worksite are confirmed current in First Aid, Pole Top Rescue and other related work procedures according to requirements.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1.9</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Liaison and communication issues with other/authorised personnel, authorities, clients and land owners ar</w:t>
            </w:r>
            <w:r w:rsidRPr="00DC6CA4">
              <w:t>e resolved to carry out work where necessary.</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1.10</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Site is prepared according to the work schedule and to minimise risk and damage to property, commerce, and individuals in accordance with 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1.11</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Personnel participating in the w</w:t>
            </w:r>
            <w:r w:rsidRPr="00DC6CA4">
              <w:t>ork, including plant operators and contractors, are fully briefed and respective responsibilities confirmed where applicable in accordance with 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1.12</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Traffic management plan is identified and implemented.</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2</w:t>
            </w:r>
          </w:p>
        </w:tc>
        <w:tc>
          <w:tcPr>
            <w:tcW w:w="2258"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Carry out installation and maintenance of overhead conductors and cables used on poles and/or structures</w:t>
            </w: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2.1</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OHS, sustainable energy and environmental principles and practices to reduce the incidents of accidents and minimise waste are monitored and follow</w:t>
            </w:r>
            <w:r w:rsidRPr="00DC6CA4">
              <w:t>ed in accordance with requirements and/or 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2.2</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Lifting, climbing, working aloft, rescue and use of power tools/equipment, techniques and practices are safely followed and, currency according to requirements confirmed.</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2.3</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Confi</w:t>
            </w:r>
            <w:r w:rsidRPr="00DC6CA4">
              <w:t>rm systems and circuits are isolated as required, proved safe to work on in accordance with the requirements/permits and 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2.4</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Essential knowledge and associated skills are applied in the safe installation and maintenance of overhe</w:t>
            </w:r>
            <w:r w:rsidRPr="00DC6CA4">
              <w:t>ad conductors and cables used on poles and/or structures to ensure completion in an agreed timeframe and, to quality standards with a minimum of waste according to requirements.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2.5</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Overhead conductor/cables are strung, tensioned and terminated as per requirements/established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2.6</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Insulators are cleaned and conductors and anti-vibration devices, spaces/spreaders are secured as per 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2.7</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Electrica</w:t>
            </w:r>
            <w:r w:rsidRPr="00DC6CA4">
              <w:t xml:space="preserve">l connections are made in accordance </w:t>
            </w:r>
            <w:r w:rsidRPr="00DC6CA4">
              <w:t>with the requirements/established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2.8</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Maintenance, including repair and/or replacement of overhead conductors and cables used on poles and/or structures is carried out, in accordance with the work schedul</w:t>
            </w:r>
            <w:r w:rsidRPr="00DC6CA4">
              <w:t>e and requirements/established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2.9</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Hazard warnings and safety signs are recognised and hazards and assessed OHS risks are reported to the immediate authorised persons for directions according to 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2.10</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Unplanned events in the installation and maintenance of overhead conductors and cables used on poles and/or structures are undertaken within the scope of 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2.11</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Known solutions to a variety of problems are applied using acquired es</w:t>
            </w:r>
            <w:r w:rsidRPr="00DC6CA4">
              <w:t>sential knowledge and associated skills.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2.12</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Ongoing checks of quality of the work are undertaken in accordance with instructions and 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3</w:t>
            </w:r>
          </w:p>
        </w:tc>
        <w:tc>
          <w:tcPr>
            <w:tcW w:w="2258" w:type="dxa"/>
            <w:vMerge w:val="restart"/>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Complete the installation and maintenance of overhead conductors and cables used on poles a</w:t>
            </w:r>
            <w:r w:rsidRPr="00DC6CA4">
              <w:t>nd/or structures</w:t>
            </w: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3.1</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Work undertaken is checked against works schedule for confirmation of phasing and conformance with requirements and, anomalies reported in accordance with 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3.2</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Accidents and/or injuries are reported in accordance with requirements/established procedures, where applicable.</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3.3</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Work site is rehabilitated, cleaned up and made safe in accordance with 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3.4</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Tools, equipment and any surplus resources and materials are, where appropriate, cleaned, checked and returned to storage or disposed of in accordance with established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3.5</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Relevant work permit(s) are signed off and, overhead conductors and c</w:t>
            </w:r>
            <w:r w:rsidRPr="00DC6CA4">
              <w:t xml:space="preserve">ables used on poles and/or structures are returned to service in </w:t>
            </w:r>
            <w:r w:rsidRPr="00DC6CA4">
              <w:t>accordance with requirements.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3.6</w:t>
            </w:r>
          </w:p>
        </w:tc>
        <w:tc>
          <w:tcPr>
            <w:tcW w:w="4904"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Conductors/Cables are tested and commissioned in accordance with enterprise requirements and procedures.</w:t>
            </w:r>
          </w:p>
        </w:tc>
      </w:tr>
      <w:tr w:rsidTr="00441C15">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t>3.7</w:t>
            </w:r>
          </w:p>
        </w:tc>
        <w:tc>
          <w:tcPr>
            <w:tcW w:w="4904"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t>Works completion records, reports, as inst</w:t>
            </w:r>
            <w:r w:rsidRPr="00DC6CA4">
              <w:t>alled /modified drawing and/or documentation and information are finalised and processed and appropriate personnel notified.</w:t>
            </w:r>
          </w:p>
        </w:tc>
      </w:tr>
    </w:tbl>
    <w:p w:rsidR="00000000" w:rsidRPr="00DC6CA4" w:rsidP="00DC6CA4">
      <w:pPr>
        <w:pStyle w:val="BodyText"/>
      </w:pPr>
    </w:p>
    <w:p w:rsidR="00000000" w:rsidRPr="00DC6CA4" w:rsidP="00DC6CA4">
      <w:pPr>
        <w:pStyle w:val="AllowPageBreak"/>
      </w:pPr>
    </w:p>
    <w:p w:rsidR="00000000" w:rsidRPr="00DC6CA4" w:rsidP="00DC6CA4">
      <w:pPr>
        <w:pStyle w:val="Heading1"/>
      </w:pPr>
      <w:bookmarkStart w:id="9" w:name="O_462631"/>
      <w:bookmarkEnd w:id="9"/>
      <w:r w:rsidRPr="00DC6CA4">
        <w:t>Required Skills and Knowledge</w:t>
      </w:r>
    </w:p>
    <w:tbl>
      <w:tblPr>
        <w:tblW w:w="0" w:type="auto"/>
        <w:tblLayout w:type="fixed"/>
        <w:tblCellMar>
          <w:left w:w="62" w:type="dxa"/>
          <w:right w:w="62" w:type="dxa"/>
        </w:tblCellMar>
        <w:tblLook w:val="0000"/>
      </w:tblPr>
      <w:tblGrid>
        <w:gridCol w:w="8460"/>
      </w:tblGrid>
      <w:tr w:rsidTr="00441C1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REQUIRED SKILLS AND KNOWLEDGE</w:t>
            </w:r>
          </w:p>
        </w:tc>
      </w:tr>
      <w:tr w:rsidTr="00441C1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8)</w:t>
            </w:r>
            <w:r w:rsidRPr="00DC6CA4">
              <w:t xml:space="preserve"> Essential Knowledge and Associated Skills (EKAS): This describes the essential skills and knowledge and their level, required for this unit.</w:t>
            </w:r>
          </w:p>
          <w:p w:rsidR="00000000" w:rsidRPr="00DC6CA4" w:rsidP="00DC6CA4">
            <w:pPr>
              <w:pStyle w:val="BodyText"/>
            </w:pPr>
            <w:r w:rsidRPr="00DC6CA4">
              <w:t xml:space="preserve">Evidence shall show that knowledge has been acquired of installing and maintaining overhead conductors and cables </w:t>
            </w:r>
            <w:r w:rsidRPr="00DC6CA4">
              <w:t>(poles and structures).</w:t>
            </w:r>
          </w:p>
          <w:p w:rsidR="00000000" w:rsidRPr="00DC6CA4" w:rsidP="00DC6CA4">
            <w:pPr>
              <w:pStyle w:val="BodyText"/>
            </w:pPr>
            <w:r w:rsidRPr="00DC6CA4">
              <w:t>All knowledge and skills detailed in this unit should be contextualised to current industry practices and technologies.</w:t>
            </w:r>
          </w:p>
          <w:p w:rsidR="00000000" w:rsidRPr="00DC6CA4" w:rsidP="00DC6CA4">
            <w:pPr>
              <w:pStyle w:val="BodyText"/>
            </w:pPr>
            <w:r w:rsidRPr="00DC6CA4">
              <w:t xml:space="preserve">KS01-TIS54A </w:t>
            </w:r>
            <w:r w:rsidRPr="00DC6CA4">
              <w:tab/>
              <w:t>Powerline distribution installation</w:t>
            </w:r>
          </w:p>
          <w:p w:rsidR="00000000" w:rsidRPr="00DC6CA4" w:rsidP="00DC6CA4">
            <w:pPr>
              <w:pStyle w:val="BodyText"/>
            </w:pPr>
            <w:r w:rsidRPr="00DC6CA4">
              <w:t>Evidence shall show an understanding of the installation of ove</w:t>
            </w:r>
            <w:r w:rsidRPr="00DC6CA4">
              <w:t>rhead distribution conductors to an extent indicated by the following aspects:</w:t>
            </w:r>
          </w:p>
          <w:p w:rsidR="00000000" w:rsidRPr="00DC6CA4" w:rsidP="00DC6CA4">
            <w:pPr>
              <w:pStyle w:val="BodyText"/>
            </w:pPr>
            <w:r w:rsidRPr="00DC6CA4">
              <w:t>T1</w:t>
            </w:r>
            <w:r w:rsidRPr="00DC6CA4">
              <w:tab/>
              <w:t xml:space="preserve">Standards, codes, legislation, supply authority regulations and or enterprise requirements applicable to installing conductors and associated equipment </w:t>
            </w:r>
          </w:p>
          <w:p w:rsidR="00000000" w:rsidRPr="00DC6CA4" w:rsidP="00DC6CA4">
            <w:pPr>
              <w:pStyle w:val="BodyText"/>
            </w:pPr>
            <w:r w:rsidRPr="00DC6CA4">
              <w:t>T2        Safe work p</w:t>
            </w:r>
            <w:r w:rsidRPr="00DC6CA4">
              <w:t>ractices encompassing:</w:t>
            </w:r>
          </w:p>
          <w:p w:rsidR="00000000" w:rsidRPr="00DC6CA4" w:rsidP="00DC6CA4">
            <w:pPr>
              <w:pStyle w:val="ListBullet"/>
            </w:pPr>
            <w:r w:rsidRPr="00DC6CA4">
              <w:t>Requirements to enable safe working on conductive poles</w:t>
            </w:r>
          </w:p>
          <w:p w:rsidR="00000000" w:rsidRPr="00DC6CA4" w:rsidP="00DC6CA4">
            <w:pPr>
              <w:pStyle w:val="ListBullet"/>
            </w:pPr>
            <w:r w:rsidRPr="00DC6CA4">
              <w:t>Procedures to attach on site earthing devices to de-energised low voltage and high voltage circuits</w:t>
            </w:r>
            <w:r w:rsidRPr="00DC6CA4">
              <w:tab/>
            </w:r>
          </w:p>
          <w:p w:rsidR="00000000" w:rsidRPr="00DC6CA4" w:rsidP="00DC6CA4">
            <w:pPr>
              <w:pStyle w:val="BodyText"/>
            </w:pPr>
            <w:r w:rsidRPr="00DC6CA4">
              <w:t>T3        Requirements for the use of overhead line construction manuals, sy</w:t>
            </w:r>
            <w:r w:rsidRPr="00DC6CA4">
              <w:t xml:space="preserve">stem diagrams/plans and drawings, encompassing: </w:t>
            </w:r>
          </w:p>
          <w:p w:rsidR="00000000" w:rsidRPr="00DC6CA4" w:rsidP="00DC6CA4">
            <w:pPr>
              <w:pStyle w:val="ListBullet"/>
            </w:pPr>
            <w:r w:rsidRPr="00DC6CA4">
              <w:t xml:space="preserve">Material lists </w:t>
            </w:r>
          </w:p>
          <w:p w:rsidR="00000000" w:rsidRPr="00DC6CA4" w:rsidP="00DC6CA4">
            <w:pPr>
              <w:pStyle w:val="ListBullet"/>
            </w:pPr>
            <w:r w:rsidRPr="00DC6CA4">
              <w:t xml:space="preserve">Conductor size, type and route length </w:t>
            </w:r>
          </w:p>
          <w:p w:rsidR="00000000" w:rsidRPr="00DC6CA4" w:rsidP="00DC6CA4">
            <w:pPr>
              <w:pStyle w:val="BodyText"/>
            </w:pPr>
            <w:r w:rsidRPr="00DC6CA4">
              <w:t>T4</w:t>
            </w:r>
            <w:r w:rsidRPr="00DC6CA4">
              <w:tab/>
              <w:t xml:space="preserve">Constructions types and structures for distribution and sub transmission lines </w:t>
            </w:r>
          </w:p>
          <w:p w:rsidR="00000000" w:rsidRPr="00DC6CA4" w:rsidP="00DC6CA4">
            <w:pPr>
              <w:pStyle w:val="BodyText"/>
            </w:pPr>
            <w:r w:rsidRPr="00DC6CA4">
              <w:t>T5</w:t>
            </w:r>
            <w:r w:rsidRPr="00DC6CA4">
              <w:tab/>
              <w:t xml:space="preserve">Types, sizes and characterises of overhead conductors </w:t>
            </w:r>
          </w:p>
          <w:p w:rsidR="00000000" w:rsidRPr="00DC6CA4" w:rsidP="00DC6CA4">
            <w:pPr>
              <w:pStyle w:val="BodyText"/>
            </w:pPr>
            <w:r w:rsidRPr="00DC6CA4">
              <w:t>T6</w:t>
            </w:r>
            <w:r w:rsidRPr="00DC6CA4">
              <w:tab/>
            </w:r>
            <w:r w:rsidRPr="00DC6CA4">
              <w:t xml:space="preserve">Resources for the stringing and maintenance of conductors, encompassing: </w:t>
            </w:r>
          </w:p>
          <w:p w:rsidR="00000000" w:rsidRPr="00DC6CA4" w:rsidP="00DC6CA4">
            <w:pPr>
              <w:pStyle w:val="ListBullet"/>
            </w:pPr>
            <w:r w:rsidRPr="00DC6CA4">
              <w:t xml:space="preserve">Types of low and high voltage overhead electrical conductor connections </w:t>
            </w:r>
          </w:p>
          <w:p w:rsidR="00000000" w:rsidRPr="00DC6CA4" w:rsidP="00DC6CA4">
            <w:pPr>
              <w:pStyle w:val="ListBullet"/>
            </w:pPr>
            <w:r w:rsidRPr="00DC6CA4">
              <w:t xml:space="preserve">Causes and effects of poor electrical connections </w:t>
            </w:r>
          </w:p>
          <w:p w:rsidR="00000000" w:rsidRPr="00DC6CA4" w:rsidP="00DC6CA4">
            <w:pPr>
              <w:pStyle w:val="ListBullet"/>
            </w:pPr>
            <w:r w:rsidRPr="00DC6CA4">
              <w:t>Reasons for and methods used to maintain standard phase se</w:t>
            </w:r>
            <w:r w:rsidRPr="00DC6CA4">
              <w:t xml:space="preserve">quencing </w:t>
            </w:r>
          </w:p>
          <w:p w:rsidR="00000000" w:rsidRPr="00DC6CA4" w:rsidP="00DC6CA4">
            <w:pPr>
              <w:pStyle w:val="ListBullet"/>
            </w:pPr>
            <w:r w:rsidRPr="00DC6CA4">
              <w:t xml:space="preserve">Removing, repairing and replacing of damage conductors </w:t>
            </w:r>
          </w:p>
          <w:p w:rsidR="00000000" w:rsidRPr="00DC6CA4" w:rsidP="00DC6CA4">
            <w:pPr>
              <w:pStyle w:val="ListBullet"/>
            </w:pPr>
            <w:r w:rsidRPr="00DC6CA4">
              <w:t xml:space="preserve">Minimum clearances between overhead conductors and low and high voltage structures </w:t>
            </w:r>
          </w:p>
          <w:p w:rsidR="00000000" w:rsidRPr="00DC6CA4" w:rsidP="00DC6CA4">
            <w:pPr>
              <w:pStyle w:val="BodyText"/>
            </w:pPr>
            <w:r w:rsidRPr="00DC6CA4">
              <w:t>T7</w:t>
            </w:r>
            <w:r w:rsidRPr="00DC6CA4">
              <w:tab/>
              <w:t xml:space="preserve">Techniques for conductor installation encompassing: </w:t>
            </w:r>
          </w:p>
          <w:p w:rsidR="00000000" w:rsidRPr="00DC6CA4" w:rsidP="00DC6CA4">
            <w:pPr>
              <w:pStyle w:val="ListBullet"/>
            </w:pPr>
            <w:r w:rsidRPr="00DC6CA4">
              <w:t>Types and application of tools, equipment and hard</w:t>
            </w:r>
            <w:r w:rsidRPr="00DC6CA4">
              <w:t xml:space="preserve">ware </w:t>
            </w:r>
          </w:p>
          <w:p w:rsidR="00000000" w:rsidRPr="00DC6CA4" w:rsidP="00DC6CA4">
            <w:pPr>
              <w:pStyle w:val="ListBullet"/>
            </w:pPr>
            <w:r w:rsidRPr="00DC6CA4">
              <w:t>Methods of stringing, tensioning and termination of low and high voltage conductors</w:t>
            </w:r>
          </w:p>
        </w:tc>
      </w:tr>
    </w:tbl>
    <w:p w:rsidR="00000000" w:rsidRPr="00DC6CA4" w:rsidP="00DC6CA4">
      <w:pPr>
        <w:pStyle w:val="BodyText"/>
      </w:pPr>
    </w:p>
    <w:p w:rsidR="00000000" w:rsidRPr="00DC6CA4" w:rsidP="00DC6CA4">
      <w:pPr>
        <w:pStyle w:val="AllowPageBreak"/>
      </w:pPr>
    </w:p>
    <w:p w:rsidR="00000000" w:rsidRPr="00DC6CA4" w:rsidP="00DC6CA4">
      <w:pPr>
        <w:pStyle w:val="Heading1"/>
      </w:pPr>
      <w:bookmarkStart w:id="10" w:name="O_462626"/>
      <w:bookmarkEnd w:id="10"/>
      <w:r w:rsidRPr="00DC6CA4">
        <w:t>Evidence Guide</w:t>
      </w:r>
    </w:p>
    <w:tbl>
      <w:tblPr>
        <w:tblW w:w="0" w:type="auto"/>
        <w:tblLayout w:type="fixed"/>
        <w:tblCellMar>
          <w:left w:w="62" w:type="dxa"/>
          <w:right w:w="62" w:type="dxa"/>
        </w:tblCellMar>
        <w:tblLook w:val="0000"/>
      </w:tblPr>
      <w:tblGrid>
        <w:gridCol w:w="8460"/>
      </w:tblGrid>
      <w:tr w:rsidTr="00441C1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EVIDENCE GUIDE</w:t>
            </w:r>
          </w:p>
        </w:tc>
      </w:tr>
      <w:tr w:rsidTr="00441C1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9)</w:t>
            </w:r>
            <w:r w:rsidRPr="00DC6CA4">
              <w:t xml:space="preserve"> This provides essential advice for assessment of the unit of competency and must be read in conjunction </w:t>
            </w:r>
            <w:r w:rsidRPr="00DC6CA4">
              <w:t>with the Performance Criteria and the range statement of the unit of competency and the Training Package Assessment Guidelines.</w:t>
            </w:r>
          </w:p>
          <w:p w:rsidR="00000000" w:rsidRPr="00DC6CA4" w:rsidP="00DC6CA4">
            <w:pPr>
              <w:pStyle w:val="BodyText"/>
            </w:pPr>
            <w:r w:rsidRPr="00DC6CA4">
              <w:t>The Evidence Guide forms an integral part of this Competency Standard Unit and shall be used in conjunction with all component p</w:t>
            </w:r>
            <w:r w:rsidRPr="00DC6CA4">
              <w:t>arts of this unit and, performed in accordance with the Assessment Guidelines of this Training Package.</w:t>
            </w:r>
          </w:p>
        </w:tc>
      </w:tr>
    </w:tbl>
    <w:p w:rsidR="00000000" w:rsidRPr="00DC6CA4" w:rsidP="00DC6CA4">
      <w:pPr>
        <w:pStyle w:val="BodyText"/>
      </w:pPr>
    </w:p>
    <w:tbl>
      <w:tblPr>
        <w:tblW w:w="0" w:type="auto"/>
        <w:tblLayout w:type="fixed"/>
        <w:tblCellMar>
          <w:left w:w="62" w:type="dxa"/>
          <w:right w:w="62" w:type="dxa"/>
        </w:tblCellMar>
        <w:tblLook w:val="0000"/>
      </w:tblPr>
      <w:tblGrid>
        <w:gridCol w:w="1890"/>
        <w:gridCol w:w="6570"/>
      </w:tblGrid>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9.1)</w:t>
            </w:r>
          </w:p>
        </w:tc>
      </w:tr>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t>Longitudinal competency development approaches to assessment, such as Profiling, require data to be reliably gathered in</w:t>
            </w:r>
            <w:r w:rsidRPr="00DC6CA4">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DC6CA4">
              <w:t>is used it is to include the application of the competency in the normal work environment or, at a minimum, the application of the competency in a realistically simulated work environment. It is recognised that, in some circumstances, assessment in part or</w:t>
            </w:r>
            <w:r w:rsidRPr="00DC6CA4">
              <w:t xml:space="preserve"> full can occur outside the workplace. However, it must be in accord with Industry and, Regulatory policy in this regard.</w:t>
            </w:r>
          </w:p>
          <w:p w:rsidR="00000000" w:rsidRPr="00DC6CA4" w:rsidP="00DC6CA4">
            <w:pPr>
              <w:pStyle w:val="BodyText"/>
            </w:pPr>
            <w:r w:rsidRPr="00DC6CA4">
              <w:t>Methods chosen for a particular assessment will be influenced by various factors. These include the extent of the assessment, the most</w:t>
            </w:r>
            <w:r w:rsidRPr="00DC6CA4">
              <w:t xml:space="preserve"> effective locations for the assessment activities to take place, access to physical resources, additional safety measures that may be required and the critical nature of the competencies being assessed.</w:t>
            </w:r>
          </w:p>
          <w:p w:rsidR="00000000" w:rsidRPr="00DC6CA4" w:rsidP="00DC6CA4">
            <w:pPr>
              <w:pStyle w:val="BodyText"/>
            </w:pPr>
            <w:r w:rsidRPr="00DC6CA4">
              <w:t>The critical safety nature of working with electrici</w:t>
            </w:r>
            <w:r w:rsidRPr="00DC6CA4">
              <w:t>ty, electrical equipment, gas or any other hazardous substance/material carries risk in deeming a person competent. Hence, sources of evidence need to be ‘rich’ in nature so as to minimise error in judgment.</w:t>
            </w:r>
          </w:p>
          <w:p w:rsidR="00000000" w:rsidRPr="00DC6CA4" w:rsidP="00DC6CA4">
            <w:pPr>
              <w:pStyle w:val="BodyText"/>
            </w:pPr>
            <w:r w:rsidRPr="00DC6CA4">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DC6CA4">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DC6CA4">
              <w:t>of this Training Package.</w:t>
            </w:r>
          </w:p>
        </w:tc>
      </w:tr>
    </w:tbl>
    <w:p w:rsidR="00000000" w:rsidRPr="00DC6CA4" w:rsidP="00DC6CA4">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9.2)</w:t>
            </w:r>
          </w:p>
        </w:tc>
      </w:tr>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t>Before the critical aspects of evidence are considered all prerequisites shall be met.</w:t>
            </w:r>
          </w:p>
          <w:p w:rsidR="00000000" w:rsidRPr="00DC6CA4" w:rsidP="00DC6CA4">
            <w:pPr>
              <w:pStyle w:val="BodyText"/>
            </w:pPr>
            <w:r w:rsidRPr="00DC6CA4">
              <w:t>Evidence for competence in this unit shall be consider</w:t>
            </w:r>
            <w:r w:rsidRPr="00DC6CA4">
              <w:t>ed holistically. Each element and associated Performance Criteria shall be demonstrated on at least two occasions in accordance with the “Assessment Guidelines – UET12”. Evidence shall also comprise:</w:t>
            </w:r>
          </w:p>
          <w:p w:rsidR="00000000" w:rsidRPr="00DC6CA4" w:rsidP="00DC6CA4">
            <w:pPr>
              <w:pStyle w:val="ListBullet"/>
            </w:pPr>
            <w:r w:rsidRPr="00DC6CA4">
              <w:t>A representative body of Performance Criteria demonstrat</w:t>
            </w:r>
            <w:r w:rsidRPr="00DC6CA4">
              <w:t>ed within the timeframes typically expected of the discipline, work function and industrial environment. In particular this shall incorporate evidence that shows a candidate is able to:</w:t>
            </w:r>
          </w:p>
          <w:p w:rsidR="00000000" w:rsidRPr="00DC6CA4" w:rsidP="00DC6CA4">
            <w:pPr>
              <w:pStyle w:val="ListBullet2"/>
            </w:pPr>
            <w:r w:rsidRPr="00DC6CA4">
              <w:t>Implement Occupational Health and Safety workplace procedures and practices including the use of risk control measures as specified in the Performance Criteria and range; and</w:t>
            </w:r>
          </w:p>
          <w:p w:rsidR="00000000" w:rsidRPr="00DC6CA4" w:rsidP="00DC6CA4">
            <w:pPr>
              <w:pStyle w:val="ListBullet2"/>
            </w:pPr>
            <w:r w:rsidRPr="00DC6CA4">
              <w:t>Apply sustainable energy principles and practices as specified in the Performance</w:t>
            </w:r>
            <w:r w:rsidRPr="00DC6CA4">
              <w:t xml:space="preserve"> Criteria and range; and</w:t>
            </w:r>
          </w:p>
          <w:p w:rsidR="00000000" w:rsidRPr="00DC6CA4" w:rsidP="00DC6CA4">
            <w:pPr>
              <w:pStyle w:val="ListBullet2"/>
            </w:pPr>
            <w:r w:rsidRPr="00DC6CA4">
              <w:t>Demonstrate an understanding of the essential knowledge and associated skills as described in this unit to such an extent that the learner’s performance outcome is reported in accordance with the preferred approach; namely a percen</w:t>
            </w:r>
            <w:r w:rsidRPr="00DC6CA4">
              <w:t>tile graded result, where required by the regulated environment; and</w:t>
            </w:r>
          </w:p>
          <w:p w:rsidR="00000000" w:rsidRPr="00DC6CA4" w:rsidP="00DC6CA4">
            <w:pPr>
              <w:pStyle w:val="ListBullet2"/>
            </w:pPr>
            <w:r w:rsidRPr="00DC6CA4">
              <w:t>Demonstrate an appropriate level of employability skills; and</w:t>
            </w:r>
          </w:p>
          <w:p w:rsidR="00000000" w:rsidRPr="00DC6CA4" w:rsidP="00DC6CA4">
            <w:pPr>
              <w:pStyle w:val="ListBullet"/>
            </w:pPr>
            <w:r w:rsidRPr="00DC6CA4">
              <w:t>Conduct work observing the relevant Anti Discrimination legislation, regulations, policies and workplace procedures; and</w:t>
            </w:r>
          </w:p>
          <w:p w:rsidR="00000000" w:rsidP="00DC6CA4">
            <w:pPr>
              <w:pStyle w:val="ListBullet2"/>
              <w:rPr>
                <w:lang w:val="en-NZ"/>
              </w:rPr>
            </w:pPr>
            <w:r w:rsidRPr="00DC6CA4">
              <w:t>Dem</w:t>
            </w:r>
            <w:r w:rsidRPr="00DC6CA4">
              <w:t>onstrated performance across a representative range of contexts from the prescribed items below:</w:t>
            </w:r>
          </w:p>
        </w:tc>
      </w:tr>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C6CA4">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rPr>
                <w:rStyle w:val="SpecialBold"/>
              </w:rPr>
              <w:t>Range of tools/equipment/materials/procedures/workplaces/other variables</w:t>
            </w:r>
          </w:p>
        </w:tc>
      </w:tr>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C6CA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CA4" w:rsidP="00DC6CA4">
            <w:pPr>
              <w:pStyle w:val="BodyText"/>
            </w:pPr>
            <w:r w:rsidRPr="00DC6CA4">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CA4" w:rsidP="00DC6CA4">
            <w:pPr>
              <w:pStyle w:val="BodyText"/>
            </w:pPr>
            <w:r w:rsidRPr="00DC6CA4">
              <w:rPr>
                <w:rStyle w:val="SpecialBold"/>
              </w:rPr>
              <w:t xml:space="preserve">The minimum number of items on which skill is to be </w:t>
            </w:r>
            <w:r w:rsidRPr="00DC6CA4">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rPr>
                <w:rStyle w:val="SpecialBold"/>
              </w:rPr>
              <w:t>Item List</w:t>
            </w:r>
          </w:p>
        </w:tc>
      </w:tr>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CA4" w:rsidP="00DC6CA4">
            <w:pPr>
              <w:pStyle w:val="BodyText"/>
            </w:pPr>
            <w:r w:rsidRPr="00DC6CA4">
              <w:t>Copper</w:t>
            </w:r>
          </w:p>
          <w:p w:rsidR="00000000" w:rsidRPr="00DC6CA4" w:rsidP="00DC6CA4">
            <w:pPr>
              <w:pStyle w:val="BodyText"/>
            </w:pPr>
            <w:r w:rsidRPr="00DC6CA4">
              <w:t>Aluminium</w:t>
            </w:r>
          </w:p>
          <w:p w:rsidR="00000000" w:rsidRPr="00DC6CA4" w:rsidP="00DC6CA4">
            <w:pPr>
              <w:pStyle w:val="BodyText"/>
            </w:pPr>
            <w:r w:rsidRPr="00DC6CA4">
              <w:t>Steel</w:t>
            </w:r>
          </w:p>
          <w:p w:rsidR="00000000" w:rsidRPr="00DC6CA4" w:rsidP="00DC6CA4">
            <w:pPr>
              <w:pStyle w:val="BodyText"/>
            </w:pPr>
            <w:r w:rsidRPr="00DC6CA4">
              <w:t>LV abc</w:t>
            </w:r>
          </w:p>
          <w:p w:rsidR="00000000" w:rsidRPr="00DC6CA4" w:rsidP="00DC6CA4">
            <w:pPr>
              <w:pStyle w:val="BodyText"/>
            </w:pPr>
            <w:r w:rsidRPr="00DC6CA4">
              <w:t>Aluminium/steel reinforced</w:t>
            </w:r>
          </w:p>
          <w:p w:rsidR="00000000" w:rsidRPr="00DC6CA4" w:rsidP="00DC6CA4">
            <w:pPr>
              <w:pStyle w:val="BodyText"/>
            </w:pPr>
            <w:r w:rsidRPr="00DC6CA4">
              <w:t>HV abc</w:t>
            </w:r>
          </w:p>
          <w:p w:rsidR="00000000" w:rsidRPr="00DC6CA4" w:rsidP="00DC6CA4">
            <w:pPr>
              <w:pStyle w:val="BodyText"/>
            </w:pPr>
            <w:r w:rsidRPr="00DC6CA4">
              <w:t>HV iuc</w:t>
            </w:r>
          </w:p>
          <w:p w:rsidR="00000000" w:rsidP="00DC6CA4">
            <w:pPr>
              <w:pStyle w:val="BodyText"/>
              <w:rPr>
                <w:lang w:val="en-NZ"/>
              </w:rPr>
            </w:pPr>
            <w:r w:rsidRPr="00DC6CA4">
              <w:t>Pilot</w:t>
            </w:r>
          </w:p>
        </w:tc>
      </w:tr>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CA4" w:rsidP="00DC6CA4">
            <w:pPr>
              <w:pStyle w:val="BodyText"/>
            </w:pPr>
            <w:r w:rsidRPr="00DC6CA4">
              <w:t>EWP</w:t>
            </w:r>
          </w:p>
          <w:p w:rsidR="00000000" w:rsidRPr="00DC6CA4" w:rsidP="00DC6CA4">
            <w:pPr>
              <w:pStyle w:val="BodyText"/>
            </w:pPr>
            <w:r w:rsidRPr="00DC6CA4">
              <w:t>Portable platform</w:t>
            </w:r>
          </w:p>
          <w:p w:rsidR="00000000" w:rsidP="00DC6CA4">
            <w:pPr>
              <w:pStyle w:val="BodyText"/>
              <w:rPr>
                <w:lang w:val="en-NZ"/>
              </w:rPr>
            </w:pPr>
            <w:r w:rsidRPr="00DC6CA4">
              <w:t>Ladder</w:t>
            </w:r>
          </w:p>
        </w:tc>
      </w:tr>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CA4" w:rsidP="00DC6CA4">
            <w:pPr>
              <w:pStyle w:val="BodyText"/>
            </w:pPr>
            <w:r w:rsidRPr="00DC6CA4">
              <w:t>Tension equipment*</w:t>
            </w:r>
          </w:p>
          <w:p w:rsidR="00000000" w:rsidRPr="00DC6CA4" w:rsidP="00DC6CA4">
            <w:pPr>
              <w:pStyle w:val="BodyText"/>
            </w:pPr>
            <w:r w:rsidRPr="00DC6CA4">
              <w:t>Cable drum stands</w:t>
            </w:r>
          </w:p>
          <w:p w:rsidR="00000000" w:rsidRPr="00DC6CA4" w:rsidP="00DC6CA4">
            <w:pPr>
              <w:pStyle w:val="BodyText"/>
            </w:pPr>
            <w:r w:rsidRPr="00DC6CA4">
              <w:t>Cable trailers</w:t>
            </w:r>
          </w:p>
          <w:p w:rsidR="00000000" w:rsidRPr="00DC6CA4" w:rsidP="00DC6CA4">
            <w:pPr>
              <w:pStyle w:val="BodyText"/>
            </w:pPr>
            <w:r w:rsidRPr="00DC6CA4">
              <w:t>Ropes</w:t>
            </w:r>
          </w:p>
          <w:p w:rsidR="00000000" w:rsidRPr="00DC6CA4" w:rsidP="00DC6CA4">
            <w:pPr>
              <w:pStyle w:val="BodyText"/>
            </w:pPr>
            <w:r w:rsidRPr="00DC6CA4">
              <w:t>Rollers</w:t>
            </w:r>
          </w:p>
          <w:p w:rsidR="00000000" w:rsidRPr="00DC6CA4" w:rsidP="00DC6CA4">
            <w:pPr>
              <w:pStyle w:val="BodyText"/>
            </w:pPr>
            <w:r w:rsidRPr="00DC6CA4">
              <w:t>Sheaves</w:t>
            </w:r>
          </w:p>
          <w:p w:rsidR="00000000" w:rsidRPr="00DC6CA4" w:rsidP="00DC6CA4">
            <w:pPr>
              <w:pStyle w:val="BodyText"/>
            </w:pPr>
            <w:r w:rsidRPr="00DC6CA4">
              <w:t>Stockings</w:t>
            </w:r>
          </w:p>
          <w:p w:rsidR="00000000" w:rsidRPr="00DC6CA4" w:rsidP="00DC6CA4">
            <w:pPr>
              <w:pStyle w:val="BodyText"/>
            </w:pPr>
            <w:r w:rsidRPr="00DC6CA4">
              <w:t>Stringing equipment</w:t>
            </w:r>
          </w:p>
          <w:p w:rsidR="00000000" w:rsidRPr="00DC6CA4" w:rsidP="00DC6CA4">
            <w:pPr>
              <w:pStyle w:val="BodyText"/>
            </w:pPr>
            <w:r w:rsidRPr="00DC6CA4">
              <w:t>Swivels</w:t>
            </w:r>
          </w:p>
          <w:p w:rsidR="00000000" w:rsidRPr="00DC6CA4" w:rsidP="00DC6CA4">
            <w:pPr>
              <w:pStyle w:val="BodyText"/>
            </w:pPr>
            <w:r w:rsidRPr="00DC6CA4">
              <w:t>Winches</w:t>
            </w:r>
          </w:p>
          <w:p w:rsidR="00000000" w:rsidP="00DC6CA4">
            <w:pPr>
              <w:pStyle w:val="BodyText"/>
              <w:rPr>
                <w:lang w:val="en-NZ"/>
              </w:rPr>
            </w:pPr>
            <w:r w:rsidRPr="00DC6CA4">
              <w:t>(* must do one)</w:t>
            </w:r>
          </w:p>
        </w:tc>
      </w:tr>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CA4" w:rsidP="00DC6CA4">
            <w:pPr>
              <w:pStyle w:val="BodyText"/>
            </w:pPr>
            <w:r w:rsidRPr="00DC6CA4">
              <w:t>Voltage indicators *</w:t>
            </w:r>
          </w:p>
          <w:p w:rsidR="00000000" w:rsidRPr="00DC6CA4" w:rsidP="00DC6CA4">
            <w:pPr>
              <w:pStyle w:val="BodyText"/>
            </w:pPr>
            <w:r w:rsidRPr="00DC6CA4">
              <w:t>Phasing sticks</w:t>
            </w:r>
          </w:p>
          <w:p w:rsidR="00000000" w:rsidRPr="00DC6CA4" w:rsidP="00DC6CA4">
            <w:pPr>
              <w:pStyle w:val="BodyText"/>
            </w:pPr>
            <w:r w:rsidRPr="00DC6CA4">
              <w:t>Fault indicators</w:t>
            </w:r>
          </w:p>
          <w:p w:rsidR="00000000" w:rsidRPr="00DC6CA4" w:rsidP="00DC6CA4">
            <w:pPr>
              <w:pStyle w:val="BodyText"/>
            </w:pPr>
            <w:r w:rsidRPr="00DC6CA4">
              <w:t>Field intensity meter</w:t>
            </w:r>
          </w:p>
          <w:p w:rsidR="00000000" w:rsidRPr="00DC6CA4" w:rsidP="00DC6CA4">
            <w:pPr>
              <w:pStyle w:val="BodyText"/>
            </w:pPr>
            <w:r w:rsidRPr="00DC6CA4">
              <w:t xml:space="preserve">Operating rods </w:t>
            </w:r>
          </w:p>
          <w:p w:rsidR="00000000" w:rsidP="00DC6CA4">
            <w:pPr>
              <w:pStyle w:val="BodyText"/>
              <w:rPr>
                <w:lang w:val="en-NZ"/>
              </w:rPr>
            </w:pPr>
            <w:r w:rsidRPr="00DC6CA4">
              <w:t>(*must do)</w:t>
            </w:r>
          </w:p>
        </w:tc>
      </w:tr>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CA4" w:rsidP="00DC6CA4">
            <w:pPr>
              <w:pStyle w:val="BodyText"/>
            </w:pPr>
            <w:r w:rsidRPr="00DC6CA4">
              <w:t>Lay-out (stringing method)</w:t>
            </w:r>
          </w:p>
          <w:p w:rsidR="00000000" w:rsidRPr="00DC6CA4" w:rsidP="00DC6CA4">
            <w:pPr>
              <w:pStyle w:val="BodyText"/>
            </w:pPr>
            <w:r w:rsidRPr="00DC6CA4">
              <w:t xml:space="preserve">Pull through (stringing </w:t>
            </w:r>
            <w:r w:rsidRPr="00DC6CA4">
              <w:t>method)</w:t>
            </w:r>
          </w:p>
          <w:p w:rsidR="00000000" w:rsidP="00DC6CA4">
            <w:pPr>
              <w:pStyle w:val="BodyText"/>
              <w:rPr>
                <w:lang w:val="en-NZ"/>
              </w:rPr>
            </w:pPr>
            <w:r w:rsidRPr="00DC6CA4">
              <w:t>Pilot rope (stringing method)</w:t>
            </w:r>
          </w:p>
        </w:tc>
      </w:tr>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CA4" w:rsidP="00DC6CA4">
            <w:pPr>
              <w:pStyle w:val="BodyText"/>
            </w:pPr>
            <w:r w:rsidRPr="00DC6CA4">
              <w:t>Dynamometer</w:t>
            </w:r>
          </w:p>
          <w:p w:rsidR="00000000" w:rsidRPr="00DC6CA4" w:rsidP="00DC6CA4">
            <w:pPr>
              <w:pStyle w:val="BodyText"/>
            </w:pPr>
            <w:r w:rsidRPr="00DC6CA4">
              <w:t>Site board</w:t>
            </w:r>
          </w:p>
          <w:p w:rsidR="00000000" w:rsidRPr="00DC6CA4" w:rsidP="00DC6CA4">
            <w:pPr>
              <w:pStyle w:val="BodyText"/>
            </w:pPr>
            <w:r w:rsidRPr="00DC6CA4">
              <w:t>Beat (wave sagging)</w:t>
            </w:r>
          </w:p>
          <w:p w:rsidR="00000000" w:rsidRPr="00DC6CA4" w:rsidP="00DC6CA4">
            <w:pPr>
              <w:pStyle w:val="BodyText"/>
            </w:pPr>
            <w:r w:rsidRPr="00DC6CA4">
              <w:t>Abney level</w:t>
            </w:r>
          </w:p>
          <w:p w:rsidR="00000000" w:rsidP="00DC6CA4">
            <w:pPr>
              <w:pStyle w:val="BodyText"/>
              <w:rPr>
                <w:lang w:val="en-NZ"/>
              </w:rPr>
            </w:pPr>
            <w:r w:rsidRPr="00DC6CA4">
              <w:t>Theodolite</w:t>
            </w:r>
          </w:p>
        </w:tc>
      </w:tr>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CA4">
            <w:pPr>
              <w:pStyle w:val="BodyText"/>
              <w:rPr>
                <w:lang w:val="en-NZ"/>
              </w:rPr>
            </w:pPr>
            <w:r w:rsidRPr="00DC6CA4">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CA4" w:rsidP="00DC6CA4">
            <w:pPr>
              <w:pStyle w:val="BodyText"/>
            </w:pPr>
            <w:r w:rsidRPr="00DC6CA4">
              <w:t>Dealing with an unplanned event by drawing on essential knowledge and associated skills to provide appropriate solutions incorporated in the holistic assessment with the above listed items.</w:t>
            </w:r>
          </w:p>
        </w:tc>
      </w:tr>
    </w:tbl>
    <w:p w:rsidR="00000000" w:rsidRPr="00DC6CA4" w:rsidP="00DC6CA4">
      <w:pPr>
        <w:pStyle w:val="BodyText"/>
      </w:pPr>
    </w:p>
    <w:tbl>
      <w:tblPr>
        <w:tblW w:w="0" w:type="auto"/>
        <w:tblLayout w:type="fixed"/>
        <w:tblCellMar>
          <w:left w:w="62" w:type="dxa"/>
          <w:right w:w="62" w:type="dxa"/>
        </w:tblCellMar>
        <w:tblLook w:val="0000"/>
      </w:tblPr>
      <w:tblGrid>
        <w:gridCol w:w="1890"/>
        <w:gridCol w:w="6570"/>
      </w:tblGrid>
      <w:tr w:rsidTr="00441C1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9.3)</w:t>
            </w:r>
          </w:p>
        </w:tc>
      </w:tr>
      <w:tr w:rsidTr="00441C1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t>This unit should be assessed as it relates to normal work practice using procedures, information and resources typical of a workplace. This should include:</w:t>
            </w:r>
          </w:p>
          <w:p w:rsidR="00000000" w:rsidRPr="00DC6CA4" w:rsidP="00DC6CA4">
            <w:pPr>
              <w:pStyle w:val="ListBullet"/>
            </w:pPr>
            <w:r w:rsidRPr="00DC6CA4">
              <w:t>OHS policy and work procedures and instructions.</w:t>
            </w:r>
          </w:p>
          <w:p w:rsidR="00000000" w:rsidRPr="00DC6CA4" w:rsidP="00DC6CA4">
            <w:pPr>
              <w:pStyle w:val="ListBullet"/>
            </w:pPr>
            <w:r w:rsidRPr="00DC6CA4">
              <w:t>Suitable work environment, facilities, equipment an</w:t>
            </w:r>
            <w:r w:rsidRPr="00DC6CA4">
              <w:t xml:space="preserve">d materials to undertake actual installation and maintenance of overhead conductors and cables on poles and other structures. </w:t>
            </w:r>
          </w:p>
          <w:p w:rsidR="00000000" w:rsidRPr="00DC6CA4" w:rsidP="00DC6CA4">
            <w:pPr>
              <w:pStyle w:val="BodyText"/>
            </w:pPr>
            <w:r w:rsidRPr="00DC6CA4">
              <w:t>In addition to the resources listed above, in Context of and specific resources for assessment, evidence should show demonstrated</w:t>
            </w:r>
            <w:r w:rsidRPr="00DC6CA4">
              <w:t xml:space="preserve"> competency working below ground, in limited spaces, with different structural/construction types and method and in a variety of environments. </w:t>
            </w:r>
          </w:p>
        </w:tc>
      </w:tr>
    </w:tbl>
    <w:p w:rsidR="00000000" w:rsidRPr="00DC6CA4" w:rsidP="00DC6CA4">
      <w:pPr>
        <w:pStyle w:val="BodyText"/>
      </w:pPr>
    </w:p>
    <w:tbl>
      <w:tblPr>
        <w:tblW w:w="0" w:type="auto"/>
        <w:tblLayout w:type="fixed"/>
        <w:tblCellMar>
          <w:left w:w="62" w:type="dxa"/>
          <w:right w:w="62" w:type="dxa"/>
        </w:tblCellMar>
        <w:tblLook w:val="0000"/>
      </w:tblPr>
      <w:tblGrid>
        <w:gridCol w:w="1890"/>
        <w:gridCol w:w="6570"/>
      </w:tblGrid>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9.4)</w:t>
            </w:r>
          </w:p>
        </w:tc>
      </w:tr>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t>This Competency Standard Unit shall be assessed by methods given in Volume 1, Part 3 “Assessment Guidelines”.</w:t>
            </w:r>
          </w:p>
          <w:p w:rsidR="00000000" w:rsidRPr="00DC6CA4" w:rsidP="00DC6CA4">
            <w:pPr>
              <w:pStyle w:val="BodyText"/>
            </w:pPr>
            <w:r w:rsidRPr="00DC6CA4">
              <w:t>Note:</w:t>
            </w:r>
          </w:p>
          <w:p w:rsidR="00000000" w:rsidRPr="00DC6CA4" w:rsidP="00DC6CA4">
            <w:pPr>
              <w:pStyle w:val="BodyText"/>
            </w:pPr>
            <w:r w:rsidRPr="00DC6CA4">
              <w:t xml:space="preserve">Competent performance with inherent safe working practices is expected in the Industry to which this Competency Standard Unit applies. This </w:t>
            </w:r>
            <w:r w:rsidRPr="00DC6CA4">
              <w:t>requires that the specified essential knowledge and associated skills are assessed in a structured environment which is primarily intended for learning/assessment and incorporates all necessary equipment and facilities for learners to develop and demonstra</w:t>
            </w:r>
            <w:r w:rsidRPr="00DC6CA4">
              <w:t>te the essential knowledge and associated skills described in this unit.</w:t>
            </w:r>
          </w:p>
        </w:tc>
      </w:tr>
    </w:tbl>
    <w:p w:rsidR="00000000" w:rsidRPr="00DC6CA4" w:rsidP="00DC6CA4">
      <w:pPr>
        <w:pStyle w:val="BodyText"/>
      </w:pPr>
    </w:p>
    <w:tbl>
      <w:tblPr>
        <w:tblW w:w="0" w:type="auto"/>
        <w:tblLayout w:type="fixed"/>
        <w:tblCellMar>
          <w:left w:w="62" w:type="dxa"/>
          <w:right w:w="62" w:type="dxa"/>
        </w:tblCellMar>
        <w:tblLook w:val="0000"/>
      </w:tblPr>
      <w:tblGrid>
        <w:gridCol w:w="1890"/>
        <w:gridCol w:w="6570"/>
      </w:tblGrid>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9.5)</w:t>
            </w:r>
          </w:p>
        </w:tc>
      </w:tr>
      <w:tr w:rsidTr="00441C1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t>There are no concurrent assessment recommendations for this unit.</w:t>
            </w:r>
          </w:p>
        </w:tc>
      </w:tr>
    </w:tbl>
    <w:p w:rsidR="00000000" w:rsidRPr="00DC6CA4" w:rsidP="00DC6CA4">
      <w:pPr>
        <w:pStyle w:val="BodyText"/>
      </w:pPr>
    </w:p>
    <w:p w:rsidR="00000000" w:rsidRPr="00DC6CA4" w:rsidP="00DC6CA4">
      <w:pPr>
        <w:pStyle w:val="AllowPageBreak"/>
      </w:pPr>
    </w:p>
    <w:p w:rsidR="00000000" w:rsidRPr="00DC6CA4" w:rsidP="00DC6CA4">
      <w:pPr>
        <w:pStyle w:val="Heading1"/>
      </w:pPr>
      <w:bookmarkStart w:id="11" w:name="O_462630"/>
      <w:bookmarkEnd w:id="11"/>
      <w:r w:rsidRPr="00DC6CA4">
        <w:t>Range Statement</w:t>
      </w:r>
    </w:p>
    <w:tbl>
      <w:tblPr>
        <w:tblW w:w="0" w:type="auto"/>
        <w:tblLayout w:type="fixed"/>
        <w:tblCellMar>
          <w:left w:w="62" w:type="dxa"/>
          <w:right w:w="62" w:type="dxa"/>
        </w:tblCellMar>
        <w:tblLook w:val="0000"/>
      </w:tblPr>
      <w:tblGrid>
        <w:gridCol w:w="8460"/>
      </w:tblGrid>
      <w:tr w:rsidTr="00441C1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RANGE STATEMENT</w:t>
            </w:r>
          </w:p>
        </w:tc>
      </w:tr>
      <w:tr w:rsidTr="00441C1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10)</w:t>
            </w:r>
            <w:r w:rsidRPr="00DC6CA4">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DC6CA4" w:rsidP="00DC6CA4">
            <w:pPr>
              <w:pStyle w:val="BodyText"/>
            </w:pPr>
            <w:r w:rsidRPr="00DC6CA4">
              <w:t>This Competency Standard Unit shall be demonstrated in relation to the installation and maintenance of overhead conductors and cables used on poles and structures.</w:t>
            </w:r>
          </w:p>
          <w:p w:rsidR="00000000" w:rsidRPr="00DC6CA4" w:rsidP="00DC6CA4">
            <w:pPr>
              <w:pStyle w:val="BodyText"/>
            </w:pPr>
            <w:r w:rsidRPr="00DC6CA4">
              <w:t>Installation and maintenance may include the stringing, tensioning, terminating of the condu</w:t>
            </w:r>
            <w:r w:rsidRPr="00DC6CA4">
              <w:t>ctor/cable and the removal, repair and replacement of cables, conductors and associated hardware and includes the cleaning of insulators. May include pre-energised/energisation checks and tests. Visual inspections, diagnosing maintenance work associated wi</w:t>
            </w:r>
            <w:r w:rsidRPr="00DC6CA4">
              <w:t>th the fault diagnosis, conducting of visual inspections, confirmation of phasing, and the completion of other enterprise tests is also included. It also encompasses the isolation of systems and circuits, the procedure of issuing/accepting electrical acces</w:t>
            </w:r>
            <w:r w:rsidRPr="00DC6CA4">
              <w:t>s permits and the updating of system data/maintenance records according to requirements and established procedures.</w:t>
            </w:r>
          </w:p>
          <w:p w:rsidR="00000000" w:rsidRPr="00DC6CA4" w:rsidP="00DC6CA4">
            <w:pPr>
              <w:pStyle w:val="BodyText"/>
            </w:pPr>
            <w:r w:rsidRPr="00DC6CA4">
              <w:t>Structures include poles and columns.</w:t>
            </w:r>
          </w:p>
          <w:p w:rsidR="00000000" w:rsidRPr="00DC6CA4" w:rsidP="00DC6CA4">
            <w:pPr>
              <w:pStyle w:val="BodyText"/>
            </w:pPr>
            <w:r w:rsidRPr="00DC6CA4">
              <w:t xml:space="preserve">Types of conductor include copper, aluminium, steel, aluminium conductor steel reinforced (ACSR), low </w:t>
            </w:r>
            <w:r w:rsidRPr="00DC6CA4">
              <w:t>voltage aerial bundled cable (LVABC), high voltage aerial bundled cable (HVABC), insulated unscreened cable (IUC), service cable and fibre optic, pilot and control cables.</w:t>
            </w:r>
          </w:p>
          <w:p w:rsidR="00000000" w:rsidRPr="00DC6CA4" w:rsidP="00DC6CA4">
            <w:pPr>
              <w:pStyle w:val="BodyText"/>
            </w:pPr>
            <w:r w:rsidRPr="00DC6CA4">
              <w:t>Overhead systems include their associated earthing systems, e.g. MEN and CMEN LV sys</w:t>
            </w:r>
            <w:r w:rsidRPr="00DC6CA4">
              <w:t>tems, bridging/bonding and conventional and SWER HV systems.</w:t>
            </w:r>
          </w:p>
          <w:p w:rsidR="00000000" w:rsidRPr="00DC6CA4" w:rsidP="00DC6CA4">
            <w:pPr>
              <w:pStyle w:val="BodyText"/>
            </w:pPr>
            <w:r w:rsidRPr="00DC6CA4">
              <w:t>Plant may include elevating work platform, winches and capstans, specialist tension stringing equipment, cable trailers and cable drum stands.</w:t>
            </w:r>
          </w:p>
          <w:p w:rsidR="00000000" w:rsidRPr="00DC6CA4" w:rsidP="00DC6CA4">
            <w:pPr>
              <w:pStyle w:val="BodyText"/>
            </w:pPr>
            <w:r w:rsidRPr="00DC6CA4">
              <w:t>Testing and recording equipment (LV) includes voltag</w:t>
            </w:r>
            <w:r w:rsidRPr="00DC6CA4">
              <w:t>e detectors, tong ammeters, polarity testers, insulation resistance testers, recording meters and phase sequence indicators.</w:t>
            </w:r>
          </w:p>
          <w:p w:rsidR="00000000" w:rsidRPr="00DC6CA4" w:rsidP="00DC6CA4">
            <w:pPr>
              <w:pStyle w:val="BodyText"/>
            </w:pPr>
            <w:r w:rsidRPr="00DC6CA4">
              <w:t xml:space="preserve">Testing and recording equipment (HV) includes phasing sticks, fault indicators, radio frequency interference detectors and voltage </w:t>
            </w:r>
            <w:r w:rsidRPr="00DC6CA4">
              <w:t>detectors.</w:t>
            </w:r>
          </w:p>
          <w:p w:rsidR="00000000" w:rsidRPr="00DC6CA4" w:rsidP="00DC6CA4">
            <w:pPr>
              <w:pStyle w:val="BodyText"/>
            </w:pPr>
            <w:r w:rsidRPr="00DC6CA4">
              <w:t>The following constants and variables included in the element/Performance Criteria in this unit are fully described in the Definitions Section 1 of this volume and form an integral part of the Range Statement of this unit:</w:t>
            </w:r>
          </w:p>
          <w:p w:rsidR="00000000" w:rsidRPr="00DC6CA4" w:rsidP="00DC6CA4">
            <w:pPr>
              <w:pStyle w:val="ListBullet3"/>
            </w:pPr>
            <w:r w:rsidRPr="00DC6CA4">
              <w:t>Appropriate and relev</w:t>
            </w:r>
            <w:r w:rsidRPr="00DC6CA4">
              <w:t>ant persons (see Personnel)</w:t>
            </w:r>
          </w:p>
          <w:p w:rsidR="00000000" w:rsidRPr="00DC6CA4" w:rsidP="00DC6CA4">
            <w:pPr>
              <w:pStyle w:val="ListBullet3"/>
            </w:pPr>
            <w:r w:rsidRPr="00DC6CA4">
              <w:t>Appropriate authorities</w:t>
            </w:r>
          </w:p>
          <w:p w:rsidR="00000000" w:rsidRPr="00DC6CA4" w:rsidP="00DC6CA4">
            <w:pPr>
              <w:pStyle w:val="ListBullet3"/>
            </w:pPr>
            <w:r w:rsidRPr="00DC6CA4">
              <w:t>Appropriate work platform</w:t>
            </w:r>
          </w:p>
          <w:p w:rsidR="00000000" w:rsidRPr="00DC6CA4" w:rsidP="00DC6CA4">
            <w:pPr>
              <w:pStyle w:val="ListBullet3"/>
            </w:pPr>
            <w:r w:rsidRPr="00DC6CA4">
              <w:t>Assessing risk</w:t>
            </w:r>
          </w:p>
          <w:p w:rsidR="00000000" w:rsidRPr="00DC6CA4" w:rsidP="00DC6CA4">
            <w:pPr>
              <w:pStyle w:val="ListBullet3"/>
            </w:pPr>
            <w:r w:rsidRPr="00DC6CA4">
              <w:t>Assessment</w:t>
            </w:r>
          </w:p>
          <w:p w:rsidR="00000000" w:rsidRPr="00DC6CA4" w:rsidP="00DC6CA4">
            <w:pPr>
              <w:pStyle w:val="ListBullet3"/>
            </w:pPr>
            <w:r w:rsidRPr="00DC6CA4">
              <w:t>Authorisation</w:t>
            </w:r>
          </w:p>
          <w:p w:rsidR="00000000" w:rsidRPr="00DC6CA4" w:rsidP="00DC6CA4">
            <w:pPr>
              <w:pStyle w:val="ListBullet3"/>
            </w:pPr>
            <w:r w:rsidRPr="00DC6CA4">
              <w:t>Confined space</w:t>
            </w:r>
          </w:p>
          <w:p w:rsidR="00000000" w:rsidRPr="00DC6CA4" w:rsidP="00DC6CA4">
            <w:pPr>
              <w:pStyle w:val="ListBullet3"/>
            </w:pPr>
            <w:r w:rsidRPr="00DC6CA4">
              <w:t>Diagnostic, testing and restoration</w:t>
            </w:r>
          </w:p>
          <w:p w:rsidR="00000000" w:rsidRPr="00DC6CA4" w:rsidP="00DC6CA4">
            <w:pPr>
              <w:pStyle w:val="ListBullet3"/>
            </w:pPr>
            <w:r w:rsidRPr="00DC6CA4">
              <w:t>Documenting detail work events, record keeping and or storage of information</w:t>
            </w:r>
          </w:p>
          <w:p w:rsidR="00000000" w:rsidRPr="00DC6CA4" w:rsidP="00DC6CA4">
            <w:pPr>
              <w:pStyle w:val="ListBullet3"/>
            </w:pPr>
            <w:r w:rsidRPr="00DC6CA4">
              <w:t>Drawings and specifications</w:t>
            </w:r>
          </w:p>
          <w:p w:rsidR="00000000" w:rsidRPr="00DC6CA4" w:rsidP="00DC6CA4">
            <w:pPr>
              <w:pStyle w:val="ListBullet3"/>
            </w:pPr>
            <w:r w:rsidRPr="00DC6CA4">
              <w:t>Emergency</w:t>
            </w:r>
          </w:p>
          <w:p w:rsidR="00000000" w:rsidRPr="00DC6CA4" w:rsidP="00DC6CA4">
            <w:pPr>
              <w:pStyle w:val="ListBullet3"/>
            </w:pPr>
            <w:r w:rsidRPr="00DC6CA4">
              <w:t>Environmental and sustainable energy procedures</w:t>
            </w:r>
          </w:p>
          <w:p w:rsidR="00000000" w:rsidRPr="00DC6CA4" w:rsidP="00DC6CA4">
            <w:pPr>
              <w:pStyle w:val="ListBullet3"/>
            </w:pPr>
            <w:r w:rsidRPr="00DC6CA4">
              <w:t>Environmental legislation</w:t>
            </w:r>
          </w:p>
          <w:p w:rsidR="00000000" w:rsidRPr="00DC6CA4" w:rsidP="00DC6CA4">
            <w:pPr>
              <w:pStyle w:val="ListBullet3"/>
            </w:pPr>
            <w:r w:rsidRPr="00DC6CA4">
              <w:t>Environmental management documentation</w:t>
            </w:r>
          </w:p>
          <w:p w:rsidR="00000000" w:rsidRPr="00DC6CA4" w:rsidP="00DC6CA4">
            <w:pPr>
              <w:pStyle w:val="ListBullet3"/>
            </w:pPr>
            <w:r w:rsidRPr="00DC6CA4">
              <w:t>Established procedures</w:t>
            </w:r>
          </w:p>
          <w:p w:rsidR="00000000" w:rsidRPr="00DC6CA4" w:rsidP="00DC6CA4">
            <w:pPr>
              <w:pStyle w:val="ListBullet3"/>
            </w:pPr>
            <w:r w:rsidRPr="00DC6CA4">
              <w:t>Fall prevention</w:t>
            </w:r>
          </w:p>
          <w:p w:rsidR="00000000" w:rsidRPr="00DC6CA4" w:rsidP="00DC6CA4">
            <w:pPr>
              <w:pStyle w:val="ListBullet3"/>
            </w:pPr>
            <w:r w:rsidRPr="00DC6CA4">
              <w:t>Hazards</w:t>
            </w:r>
          </w:p>
          <w:p w:rsidR="00000000" w:rsidRPr="00DC6CA4" w:rsidP="00DC6CA4">
            <w:pPr>
              <w:pStyle w:val="ListBullet3"/>
            </w:pPr>
            <w:r w:rsidRPr="00DC6CA4">
              <w:t>Identifying hazards</w:t>
            </w:r>
          </w:p>
          <w:p w:rsidR="00000000" w:rsidRPr="00DC6CA4" w:rsidP="00DC6CA4">
            <w:pPr>
              <w:pStyle w:val="ListBullet3"/>
            </w:pPr>
            <w:r w:rsidRPr="00DC6CA4">
              <w:t>Inspect</w:t>
            </w:r>
          </w:p>
          <w:p w:rsidR="00000000" w:rsidRPr="00DC6CA4" w:rsidP="00DC6CA4">
            <w:pPr>
              <w:pStyle w:val="ListBullet3"/>
            </w:pPr>
            <w:r w:rsidRPr="00DC6CA4">
              <w:t>Legislation</w:t>
            </w:r>
          </w:p>
          <w:p w:rsidR="00000000" w:rsidRPr="00DC6CA4" w:rsidP="00DC6CA4">
            <w:pPr>
              <w:pStyle w:val="ListBullet3"/>
            </w:pPr>
            <w:r w:rsidRPr="00DC6CA4">
              <w:t>MSDS</w:t>
            </w:r>
          </w:p>
          <w:p w:rsidR="00000000" w:rsidRPr="00DC6CA4" w:rsidP="00DC6CA4">
            <w:pPr>
              <w:pStyle w:val="ListBullet3"/>
            </w:pPr>
            <w:r w:rsidRPr="00DC6CA4">
              <w:t>Notification.</w:t>
            </w:r>
          </w:p>
          <w:p w:rsidR="00000000" w:rsidRPr="00DC6CA4" w:rsidP="00DC6CA4">
            <w:pPr>
              <w:pStyle w:val="ListBullet3"/>
            </w:pPr>
            <w:r w:rsidRPr="00DC6CA4">
              <w:t>OHS practices</w:t>
            </w:r>
          </w:p>
          <w:p w:rsidR="00000000" w:rsidRPr="00DC6CA4" w:rsidP="00DC6CA4">
            <w:pPr>
              <w:pStyle w:val="ListBullet3"/>
            </w:pPr>
            <w:r w:rsidRPr="00DC6CA4">
              <w:t>OHS issues</w:t>
            </w:r>
          </w:p>
          <w:p w:rsidR="00000000" w:rsidRPr="00DC6CA4" w:rsidP="00DC6CA4">
            <w:pPr>
              <w:pStyle w:val="ListBullet3"/>
            </w:pPr>
            <w:r w:rsidRPr="00DC6CA4">
              <w:t>Permits and/or permits to work</w:t>
            </w:r>
          </w:p>
          <w:p w:rsidR="00000000" w:rsidRPr="00DC6CA4" w:rsidP="00DC6CA4">
            <w:pPr>
              <w:pStyle w:val="ListBullet3"/>
            </w:pPr>
            <w:r w:rsidRPr="00DC6CA4">
              <w:t>Personnel</w:t>
            </w:r>
          </w:p>
          <w:p w:rsidR="00000000" w:rsidRPr="00DC6CA4" w:rsidP="00DC6CA4">
            <w:pPr>
              <w:pStyle w:val="ListBullet3"/>
            </w:pPr>
            <w:r w:rsidRPr="00DC6CA4">
              <w:t>Quality assurance systems</w:t>
            </w:r>
          </w:p>
          <w:p w:rsidR="00000000" w:rsidRPr="00DC6CA4" w:rsidP="00DC6CA4">
            <w:pPr>
              <w:pStyle w:val="ListBullet3"/>
            </w:pPr>
            <w:r w:rsidRPr="00DC6CA4">
              <w:t>Requirements</w:t>
            </w:r>
          </w:p>
          <w:p w:rsidR="00000000" w:rsidRPr="00DC6CA4" w:rsidP="00DC6CA4">
            <w:pPr>
              <w:pStyle w:val="ListBullet3"/>
            </w:pPr>
            <w:r w:rsidRPr="00DC6CA4">
              <w:t>Testing procedures</w:t>
            </w:r>
          </w:p>
          <w:p w:rsidR="00000000" w:rsidRPr="00DC6CA4" w:rsidP="00DC6CA4">
            <w:pPr>
              <w:pStyle w:val="ListBullet3"/>
            </w:pPr>
            <w:r w:rsidRPr="00DC6CA4">
              <w:t>Work clearance systems</w:t>
            </w:r>
          </w:p>
        </w:tc>
      </w:tr>
    </w:tbl>
    <w:p w:rsidR="00000000" w:rsidRPr="00DC6CA4" w:rsidP="00DC6CA4">
      <w:pPr>
        <w:pStyle w:val="BodyText"/>
      </w:pPr>
    </w:p>
    <w:p w:rsidR="00000000" w:rsidRPr="00DC6CA4" w:rsidP="00DC6CA4">
      <w:pPr>
        <w:pStyle w:val="AllowPageBreak"/>
      </w:pPr>
    </w:p>
    <w:p w:rsidR="00000000" w:rsidRPr="00DC6CA4" w:rsidP="00DC6CA4">
      <w:pPr>
        <w:pStyle w:val="Heading1"/>
      </w:pPr>
      <w:bookmarkStart w:id="12" w:name="O_462633"/>
      <w:bookmarkEnd w:id="12"/>
      <w:r w:rsidRPr="00DC6CA4">
        <w:t>Unit Sector(s)</w:t>
      </w:r>
    </w:p>
    <w:p w:rsidR="00000000" w:rsidRPr="00DC6CA4" w:rsidP="00DC6CA4">
      <w:pPr>
        <w:pStyle w:val="BodyText"/>
      </w:pPr>
      <w:r w:rsidRPr="00DC6CA4">
        <w:t>Not applicable.</w:t>
      </w:r>
    </w:p>
    <w:p w:rsidR="00000000" w:rsidRPr="00DC6CA4" w:rsidP="00DC6CA4">
      <w:pPr>
        <w:pStyle w:val="AllowPageBreak"/>
      </w:pPr>
    </w:p>
    <w:p w:rsidR="00000000" w:rsidRPr="00DC6CA4" w:rsidP="00DC6CA4">
      <w:pPr>
        <w:pStyle w:val="Heading1"/>
      </w:pPr>
      <w:bookmarkStart w:id="13" w:name="O_462622"/>
      <w:bookmarkEnd w:id="13"/>
      <w:r w:rsidRPr="00DC6CA4">
        <w:t>Competency Field</w:t>
      </w:r>
    </w:p>
    <w:tbl>
      <w:tblPr>
        <w:tblW w:w="0" w:type="auto"/>
        <w:tblLayout w:type="fixed"/>
        <w:tblCellMar>
          <w:left w:w="62" w:type="dxa"/>
          <w:right w:w="62" w:type="dxa"/>
        </w:tblCellMar>
        <w:tblLook w:val="0000"/>
      </w:tblPr>
      <w:tblGrid>
        <w:gridCol w:w="2700"/>
        <w:gridCol w:w="5760"/>
      </w:tblGrid>
      <w:tr w:rsidTr="00441C1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C6CA4">
            <w:pPr>
              <w:pStyle w:val="BodyText"/>
              <w:rPr>
                <w:lang w:val="en-NZ"/>
              </w:rPr>
            </w:pPr>
            <w:r w:rsidRPr="00DC6CA4">
              <w:rPr>
                <w:rStyle w:val="SpecialBold"/>
              </w:rPr>
              <w:t xml:space="preserve">11) </w:t>
            </w:r>
          </w:p>
        </w:tc>
      </w:tr>
      <w:tr w:rsidTr="00441C1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CA4" w:rsidP="00DC6CA4">
            <w:pPr>
              <w:pStyle w:val="BodyText"/>
            </w:pPr>
            <w:r w:rsidRPr="00DC6CA4">
              <w:t>Industry Specific Cross-Discipline Units</w:t>
            </w:r>
          </w:p>
        </w:tc>
      </w:tr>
    </w:tbl>
    <w:p w:rsidR="00000000" w:rsidRPr="00DC6CA4" w:rsidP="00DC6CA4">
      <w:pPr>
        <w:pStyle w:val="BodyText"/>
      </w:pPr>
    </w:p>
    <w:p w:rsidR="00000000" w:rsidRPr="00DC6CA4" w:rsidP="00DC6CA4"/>
    <w:sectPr w:rsidSect="00DC6C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1C15" w:rsidP="00441C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C15" w:rsidP="00DC6C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441C15" w:rsidP="00DC6C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41C15" w:rsidP="00DC6C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A4" w:rsidRPr="00441C15" w:rsidP="00441C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C15" w:rsidRPr="002D2AF8" w:rsidP="00DC6CA4">
    <w:pPr>
      <w:pStyle w:val="Header"/>
      <w:framePr w:wrap="around"/>
    </w:pPr>
    <w:r>
      <w:fldChar w:fldCharType="begin"/>
    </w:r>
    <w:r>
      <w:instrText xml:space="preserve"> TITLE   \* MERGEFORMAT </w:instrText>
    </w:r>
    <w:r>
      <w:fldChar w:fldCharType="separate"/>
    </w:r>
    <w:r>
      <w:t>UETTDRIS54A Install and maintain poles, structures and overhead conductors and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41C15" w:rsidP="00DC6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5CE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B43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A8F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CA4"/>
    <w:pPr>
      <w:spacing w:before="360" w:after="60"/>
      <w:outlineLvl w:val="0"/>
    </w:pPr>
    <w:rPr>
      <w:sz w:val="32"/>
    </w:rPr>
  </w:style>
  <w:style w:type="paragraph" w:styleId="Heading2">
    <w:name w:val="heading 2"/>
    <w:basedOn w:val="HeadingBase"/>
    <w:next w:val="BodyText"/>
    <w:link w:val="Heading2Char"/>
    <w:qFormat/>
    <w:rsid w:val="00DC6CA4"/>
    <w:pPr>
      <w:keepLines/>
      <w:spacing w:before="240" w:after="120"/>
      <w:outlineLvl w:val="1"/>
    </w:pPr>
    <w:rPr>
      <w:sz w:val="28"/>
      <w:szCs w:val="40"/>
    </w:rPr>
  </w:style>
  <w:style w:type="paragraph" w:styleId="Heading3">
    <w:name w:val="heading 3"/>
    <w:basedOn w:val="HeadingBase"/>
    <w:next w:val="BodyText"/>
    <w:link w:val="Heading3Char"/>
    <w:qFormat/>
    <w:rsid w:val="00DC6CA4"/>
    <w:pPr>
      <w:spacing w:before="180" w:after="120"/>
      <w:outlineLvl w:val="2"/>
    </w:pPr>
    <w:rPr>
      <w:spacing w:val="-10"/>
      <w:kern w:val="32"/>
    </w:rPr>
  </w:style>
  <w:style w:type="paragraph" w:styleId="Heading4">
    <w:name w:val="heading 4"/>
    <w:basedOn w:val="HeadingBase"/>
    <w:next w:val="BodyText"/>
    <w:link w:val="Heading4Char"/>
    <w:qFormat/>
    <w:rsid w:val="00DC6CA4"/>
    <w:pPr>
      <w:spacing w:before="160" w:after="120"/>
      <w:outlineLvl w:val="3"/>
    </w:pPr>
    <w:rPr>
      <w:sz w:val="22"/>
    </w:rPr>
  </w:style>
  <w:style w:type="paragraph" w:styleId="Heading5">
    <w:name w:val="heading 5"/>
    <w:basedOn w:val="HeadingBase"/>
    <w:next w:val="Normal"/>
    <w:link w:val="Heading5Char"/>
    <w:qFormat/>
    <w:rsid w:val="00DC6CA4"/>
    <w:pPr>
      <w:spacing w:before="80"/>
      <w:outlineLvl w:val="4"/>
    </w:pPr>
    <w:rPr>
      <w:color w:val="918585"/>
      <w:sz w:val="20"/>
    </w:rPr>
  </w:style>
  <w:style w:type="paragraph" w:styleId="Heading6">
    <w:name w:val="heading 6"/>
    <w:basedOn w:val="HeadingBase"/>
    <w:next w:val="Normal"/>
    <w:link w:val="Heading6Char"/>
    <w:qFormat/>
    <w:rsid w:val="00DC6CA4"/>
    <w:pPr>
      <w:spacing w:before="60"/>
      <w:outlineLvl w:val="5"/>
    </w:pPr>
    <w:rPr>
      <w:color w:val="918585"/>
      <w:sz w:val="20"/>
    </w:rPr>
  </w:style>
  <w:style w:type="paragraph" w:styleId="Heading7">
    <w:name w:val="heading 7"/>
    <w:basedOn w:val="Normal"/>
    <w:next w:val="Normal"/>
    <w:link w:val="Heading7Char"/>
    <w:qFormat/>
    <w:rsid w:val="00DC6CA4"/>
    <w:pPr>
      <w:ind w:left="720"/>
      <w:outlineLvl w:val="6"/>
    </w:pPr>
    <w:rPr>
      <w:i/>
    </w:rPr>
  </w:style>
  <w:style w:type="paragraph" w:styleId="Heading8">
    <w:name w:val="heading 8"/>
    <w:basedOn w:val="Normal"/>
    <w:next w:val="Normal"/>
    <w:link w:val="Heading8Char"/>
    <w:qFormat/>
    <w:rsid w:val="00DC6CA4"/>
    <w:pPr>
      <w:ind w:left="720"/>
      <w:outlineLvl w:val="7"/>
    </w:pPr>
    <w:rPr>
      <w:i/>
    </w:rPr>
  </w:style>
  <w:style w:type="paragraph" w:styleId="Heading9">
    <w:name w:val="heading 9"/>
    <w:basedOn w:val="Normal"/>
    <w:next w:val="Normal"/>
    <w:link w:val="Heading9Char"/>
    <w:qFormat/>
    <w:rsid w:val="00DC6CA4"/>
    <w:pPr>
      <w:ind w:left="720"/>
      <w:outlineLvl w:val="8"/>
    </w:pPr>
    <w:rPr>
      <w:i/>
    </w:rPr>
  </w:style>
  <w:style w:type="character" w:default="1" w:styleId="DefaultParagraphFont">
    <w:name w:val="Default Paragraph Font"/>
    <w:uiPriority w:val="1"/>
    <w:unhideWhenUsed/>
    <w:rsid w:val="00DC6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CA4"/>
  </w:style>
  <w:style w:type="character" w:customStyle="1" w:styleId="Heading1Char">
    <w:name w:val="Heading 1 Char"/>
    <w:basedOn w:val="DefaultParagraphFont"/>
    <w:link w:val="Heading1"/>
    <w:rsid w:val="00DC6CA4"/>
    <w:rPr>
      <w:rFonts w:ascii="Times New Roman" w:eastAsia="Times New Roman" w:hAnsi="Times New Roman" w:cs="Times New Roman"/>
      <w:b/>
      <w:sz w:val="32"/>
      <w:szCs w:val="20"/>
      <w:lang w:eastAsia="en-US"/>
    </w:rPr>
  </w:style>
  <w:style w:type="paragraph" w:styleId="BodyText">
    <w:name w:val="Body Text"/>
    <w:basedOn w:val="Normal"/>
    <w:link w:val="BodyTextChar"/>
    <w:rsid w:val="00DC6C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CA4"/>
    <w:rPr>
      <w:rFonts w:ascii="Times New Roman" w:eastAsia="Times New Roman" w:hAnsi="Times New Roman" w:cs="Times New Roman"/>
      <w:sz w:val="24"/>
      <w:lang w:eastAsia="en-US"/>
    </w:rPr>
  </w:style>
  <w:style w:type="paragraph" w:styleId="Footer">
    <w:name w:val="footer"/>
    <w:basedOn w:val="Normal"/>
    <w:link w:val="FooterChar"/>
    <w:rsid w:val="00DC6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CA4"/>
    <w:rPr>
      <w:rFonts w:ascii="Times New Roman" w:eastAsia="Times New Roman" w:hAnsi="Times New Roman" w:cs="Times New Roman"/>
      <w:sz w:val="16"/>
      <w:lang w:eastAsia="en-US"/>
    </w:rPr>
  </w:style>
  <w:style w:type="paragraph" w:styleId="ListBullet">
    <w:name w:val="List Bullet"/>
    <w:basedOn w:val="List"/>
    <w:rsid w:val="00DC6CA4"/>
    <w:pPr>
      <w:numPr>
        <w:numId w:val="14"/>
      </w:numPr>
      <w:tabs>
        <w:tab w:val="clear" w:pos="340"/>
      </w:tabs>
      <w:spacing w:before="40" w:after="40"/>
    </w:pPr>
  </w:style>
  <w:style w:type="character" w:customStyle="1" w:styleId="SpecialBold">
    <w:name w:val="Special Bold"/>
    <w:basedOn w:val="DefaultParagraphFont"/>
    <w:rsid w:val="00DC6CA4"/>
    <w:rPr>
      <w:b/>
      <w:spacing w:val="0"/>
    </w:rPr>
  </w:style>
  <w:style w:type="paragraph" w:styleId="ListBullet2">
    <w:name w:val="List Bullet 2"/>
    <w:basedOn w:val="List2"/>
    <w:rsid w:val="00DC6CA4"/>
    <w:pPr>
      <w:numPr>
        <w:numId w:val="15"/>
      </w:numPr>
      <w:tabs>
        <w:tab w:val="clear" w:pos="680"/>
      </w:tabs>
    </w:pPr>
  </w:style>
  <w:style w:type="paragraph" w:customStyle="1" w:styleId="SuperHeading">
    <w:name w:val="SuperHeading"/>
    <w:basedOn w:val="Normal"/>
    <w:rsid w:val="00DC6CA4"/>
    <w:pPr>
      <w:spacing w:before="240" w:after="120"/>
      <w:outlineLvl w:val="0"/>
    </w:pPr>
    <w:rPr>
      <w:rFonts w:ascii="Times New Roman" w:hAnsi="Times New Roman"/>
      <w:b/>
      <w:sz w:val="28"/>
    </w:rPr>
  </w:style>
  <w:style w:type="paragraph" w:customStyle="1" w:styleId="AllowPageBreak">
    <w:name w:val="AllowPageBreak"/>
    <w:rsid w:val="00DC6C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6CA4"/>
    <w:pPr>
      <w:numPr>
        <w:numId w:val="3"/>
      </w:numPr>
      <w:tabs>
        <w:tab w:val="clear" w:pos="1021"/>
      </w:tabs>
      <w:ind w:left="1037" w:hanging="357"/>
    </w:pPr>
  </w:style>
  <w:style w:type="character" w:customStyle="1" w:styleId="Heading2Char">
    <w:name w:val="Heading 2 Char"/>
    <w:basedOn w:val="DefaultParagraphFont"/>
    <w:link w:val="Heading2"/>
    <w:rsid w:val="00DC6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CA4"/>
    <w:rPr>
      <w:rFonts w:ascii="Courier New" w:eastAsia="Times New Roman" w:hAnsi="Courier New" w:cs="Times New Roman"/>
      <w:i/>
      <w:szCs w:val="20"/>
      <w:lang w:eastAsia="en-US"/>
    </w:rPr>
  </w:style>
  <w:style w:type="paragraph" w:customStyle="1" w:styleId="HeadingBase">
    <w:name w:val="Heading Base"/>
    <w:rsid w:val="00DC6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CA4"/>
    <w:pPr>
      <w:tabs>
        <w:tab w:val="right" w:leader="dot" w:pos="9072"/>
      </w:tabs>
      <w:ind w:left="567"/>
    </w:pPr>
    <w:rPr>
      <w:szCs w:val="22"/>
    </w:rPr>
  </w:style>
  <w:style w:type="paragraph" w:customStyle="1" w:styleId="TOCBase">
    <w:name w:val="TOC Base"/>
    <w:rsid w:val="00DC6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CA4"/>
    <w:pPr>
      <w:tabs>
        <w:tab w:val="right" w:leader="dot" w:pos="9072"/>
      </w:tabs>
      <w:spacing w:before="40" w:after="40"/>
      <w:ind w:left="284"/>
    </w:pPr>
    <w:rPr>
      <w:rFonts w:ascii="Times New Roman" w:hAnsi="Times New Roman"/>
    </w:rPr>
  </w:style>
  <w:style w:type="paragraph" w:styleId="TOC1">
    <w:name w:val="toc 1"/>
    <w:basedOn w:val="TOCBase"/>
    <w:next w:val="Normal"/>
    <w:rsid w:val="00DC6C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CA4"/>
    <w:pPr>
      <w:spacing w:before="5040"/>
      <w:jc w:val="center"/>
    </w:pPr>
    <w:rPr>
      <w:sz w:val="48"/>
      <w:szCs w:val="72"/>
      <w:lang w:val="en-US"/>
    </w:rPr>
  </w:style>
  <w:style w:type="character" w:customStyle="1" w:styleId="TitleChar">
    <w:name w:val="Title Char"/>
    <w:basedOn w:val="DefaultParagraphFont"/>
    <w:link w:val="Title"/>
    <w:rsid w:val="00DC6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CA4"/>
    <w:pPr>
      <w:tabs>
        <w:tab w:val="left" w:pos="3600"/>
        <w:tab w:val="left" w:pos="3958"/>
      </w:tabs>
    </w:pPr>
  </w:style>
  <w:style w:type="paragraph" w:styleId="List">
    <w:name w:val="List"/>
    <w:basedOn w:val="BodyText"/>
    <w:next w:val="BodyText"/>
    <w:rsid w:val="00DC6CA4"/>
    <w:pPr>
      <w:tabs>
        <w:tab w:val="left" w:pos="340"/>
      </w:tabs>
      <w:spacing w:before="60" w:after="60"/>
      <w:ind w:left="340" w:hanging="340"/>
    </w:pPr>
  </w:style>
  <w:style w:type="paragraph" w:customStyle="1" w:styleId="Note">
    <w:name w:val="Note"/>
    <w:basedOn w:val="BodyText"/>
    <w:rsid w:val="00DC6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CA4"/>
    <w:pPr>
      <w:framePr w:wrap="auto" w:hAnchor="text" w:y="6049"/>
    </w:pPr>
    <w:rPr>
      <w:color w:val="000000"/>
      <w:sz w:val="40"/>
    </w:rPr>
  </w:style>
  <w:style w:type="paragraph" w:customStyle="1" w:styleId="TOCTitle">
    <w:name w:val="TOCTitle"/>
    <w:basedOn w:val="Heading1"/>
    <w:rsid w:val="00DC6CA4"/>
    <w:pPr>
      <w:spacing w:after="240"/>
      <w:jc w:val="center"/>
      <w:outlineLvl w:val="9"/>
    </w:pPr>
    <w:rPr>
      <w:caps/>
    </w:rPr>
  </w:style>
  <w:style w:type="paragraph" w:customStyle="1" w:styleId="Version">
    <w:name w:val="Version"/>
    <w:rsid w:val="00DC6C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CA4"/>
    <w:pPr>
      <w:keepNext w:val="0"/>
      <w:tabs>
        <w:tab w:val="right" w:pos="4176"/>
      </w:tabs>
      <w:ind w:left="198" w:hanging="198"/>
    </w:pPr>
    <w:rPr>
      <w:rFonts w:ascii="Garamond" w:hAnsi="Garamond"/>
    </w:rPr>
  </w:style>
  <w:style w:type="paragraph" w:styleId="IndexHeading">
    <w:name w:val="index heading"/>
    <w:basedOn w:val="Normal"/>
    <w:next w:val="Index1"/>
    <w:semiHidden/>
    <w:rsid w:val="00DC6CA4"/>
    <w:pPr>
      <w:spacing w:before="120" w:after="120"/>
    </w:pPr>
    <w:rPr>
      <w:rFonts w:ascii="Arial" w:hAnsi="Arial"/>
      <w:b/>
      <w:color w:val="918585"/>
      <w:sz w:val="24"/>
    </w:rPr>
  </w:style>
  <w:style w:type="paragraph" w:styleId="Header">
    <w:name w:val="header"/>
    <w:basedOn w:val="Normal"/>
    <w:link w:val="HeaderChar"/>
    <w:rsid w:val="00DC6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CA4"/>
    <w:rPr>
      <w:rFonts w:ascii="Times New Roman" w:eastAsia="Times New Roman" w:hAnsi="Times New Roman" w:cs="Times New Roman"/>
      <w:sz w:val="16"/>
      <w:szCs w:val="20"/>
      <w:lang w:val="en-GB" w:eastAsia="en-US"/>
    </w:rPr>
  </w:style>
  <w:style w:type="paragraph" w:customStyle="1" w:styleId="Chapter">
    <w:name w:val="Chapter"/>
    <w:basedOn w:val="Normal"/>
    <w:rsid w:val="00DC6CA4"/>
    <w:pPr>
      <w:spacing w:before="240"/>
    </w:pPr>
    <w:rPr>
      <w:rFonts w:ascii="Times New Roman" w:hAnsi="Times New Roman"/>
      <w:smallCaps/>
      <w:spacing w:val="80"/>
      <w:sz w:val="28"/>
    </w:rPr>
  </w:style>
  <w:style w:type="paragraph" w:customStyle="1" w:styleId="InChapter">
    <w:name w:val="InChapter"/>
    <w:basedOn w:val="Heading3"/>
    <w:rsid w:val="00DC6CA4"/>
    <w:pPr>
      <w:spacing w:after="240"/>
      <w:outlineLvl w:val="9"/>
    </w:pPr>
    <w:rPr>
      <w:noProof/>
    </w:rPr>
  </w:style>
  <w:style w:type="paragraph" w:styleId="Index2">
    <w:name w:val="index 2"/>
    <w:basedOn w:val="Normal"/>
    <w:next w:val="Normal"/>
    <w:semiHidden/>
    <w:rsid w:val="00DC6CA4"/>
    <w:pPr>
      <w:tabs>
        <w:tab w:val="right" w:pos="4176"/>
      </w:tabs>
      <w:ind w:left="568" w:hanging="284"/>
    </w:pPr>
    <w:rPr>
      <w:rFonts w:ascii="Garamond" w:hAnsi="Garamond"/>
    </w:rPr>
  </w:style>
  <w:style w:type="paragraph" w:customStyle="1" w:styleId="Byline">
    <w:name w:val="Byline"/>
    <w:rsid w:val="00DC6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CA4"/>
    <w:pPr>
      <w:tabs>
        <w:tab w:val="clear" w:pos="3600"/>
        <w:tab w:val="clear" w:pos="3958"/>
      </w:tabs>
      <w:jc w:val="right"/>
    </w:pPr>
  </w:style>
  <w:style w:type="character" w:styleId="Emphasis">
    <w:name w:val="Emphasis"/>
    <w:basedOn w:val="DefaultParagraphFont"/>
    <w:qFormat/>
    <w:rsid w:val="00DC6CA4"/>
    <w:rPr>
      <w:i/>
    </w:rPr>
  </w:style>
  <w:style w:type="paragraph" w:styleId="Caption">
    <w:name w:val="caption"/>
    <w:basedOn w:val="BodyText"/>
    <w:next w:val="Normal"/>
    <w:qFormat/>
    <w:rsid w:val="00DC6CA4"/>
    <w:pPr>
      <w:framePr w:w="2268" w:hSpace="181" w:vSpace="181" w:wrap="around" w:vAnchor="text" w:hAnchor="page" w:x="1135" w:y="285" w:anchorLock="1"/>
    </w:pPr>
    <w:rPr>
      <w:i/>
    </w:rPr>
  </w:style>
  <w:style w:type="paragraph" w:customStyle="1" w:styleId="MiniTOCTitle">
    <w:name w:val="MiniTOCTitle"/>
    <w:basedOn w:val="Heading4"/>
    <w:rsid w:val="00DC6CA4"/>
    <w:pPr>
      <w:spacing w:before="240"/>
      <w:outlineLvl w:val="9"/>
    </w:pPr>
    <w:rPr>
      <w:noProof/>
      <w:sz w:val="24"/>
    </w:rPr>
  </w:style>
  <w:style w:type="paragraph" w:customStyle="1" w:styleId="MiniTOCItem">
    <w:name w:val="MiniTOCItem"/>
    <w:basedOn w:val="ListBullet"/>
    <w:rsid w:val="00DC6CA4"/>
    <w:pPr>
      <w:numPr>
        <w:numId w:val="0"/>
      </w:numPr>
      <w:tabs>
        <w:tab w:val="right" w:leader="dot" w:pos="6521"/>
      </w:tabs>
      <w:spacing w:before="0" w:after="0"/>
    </w:pPr>
  </w:style>
  <w:style w:type="paragraph" w:customStyle="1" w:styleId="TOFTitle">
    <w:name w:val="TOFTitle"/>
    <w:basedOn w:val="TOCTitle"/>
    <w:rsid w:val="00DC6CA4"/>
  </w:style>
  <w:style w:type="paragraph" w:styleId="TableofFigures">
    <w:name w:val="table of figures"/>
    <w:basedOn w:val="Normal"/>
    <w:next w:val="Normal"/>
    <w:semiHidden/>
    <w:rsid w:val="00DC6CA4"/>
    <w:pPr>
      <w:tabs>
        <w:tab w:val="right" w:leader="dot" w:pos="9072"/>
      </w:tabs>
      <w:ind w:left="970" w:hanging="403"/>
    </w:pPr>
    <w:rPr>
      <w:rFonts w:ascii="Times New Roman" w:hAnsi="Times New Roman"/>
      <w:b/>
    </w:rPr>
  </w:style>
  <w:style w:type="paragraph" w:styleId="ListNumber">
    <w:name w:val="List Number"/>
    <w:basedOn w:val="List"/>
    <w:rsid w:val="00DC6CA4"/>
    <w:pPr>
      <w:numPr>
        <w:numId w:val="12"/>
      </w:numPr>
    </w:pPr>
  </w:style>
  <w:style w:type="character" w:customStyle="1" w:styleId="WingdingSymbols">
    <w:name w:val="Wingding Symbols"/>
    <w:rsid w:val="00DC6CA4"/>
    <w:rPr>
      <w:rFonts w:ascii="Wingdings" w:hAnsi="Wingdings"/>
    </w:rPr>
  </w:style>
  <w:style w:type="paragraph" w:customStyle="1" w:styleId="TableHeading">
    <w:name w:val="Table Heading"/>
    <w:basedOn w:val="HeadingBase"/>
    <w:rsid w:val="00DC6CA4"/>
    <w:pPr>
      <w:keepLines/>
      <w:pBdr>
        <w:bottom w:val="single" w:sz="6" w:space="1" w:color="918585"/>
      </w:pBdr>
      <w:spacing w:before="240"/>
    </w:pPr>
  </w:style>
  <w:style w:type="character" w:customStyle="1" w:styleId="HotSpot">
    <w:name w:val="HotSpot"/>
    <w:rsid w:val="00DC6CA4"/>
    <w:rPr>
      <w:color w:val="0033CC"/>
      <w:u w:val="none"/>
    </w:rPr>
  </w:style>
  <w:style w:type="paragraph" w:customStyle="1" w:styleId="BodyTextRight">
    <w:name w:val="Body Text Right"/>
    <w:basedOn w:val="BodyText"/>
    <w:rsid w:val="00DC6CA4"/>
    <w:pPr>
      <w:spacing w:before="0" w:after="0"/>
      <w:jc w:val="right"/>
    </w:pPr>
  </w:style>
  <w:style w:type="paragraph" w:styleId="Index3">
    <w:name w:val="index 3"/>
    <w:basedOn w:val="ListNumber2"/>
    <w:next w:val="Normal"/>
    <w:semiHidden/>
    <w:rsid w:val="00DC6CA4"/>
    <w:pPr>
      <w:numPr>
        <w:numId w:val="0"/>
      </w:numPr>
      <w:tabs>
        <w:tab w:val="right" w:leader="dot" w:pos="4176"/>
      </w:tabs>
    </w:pPr>
  </w:style>
  <w:style w:type="paragraph" w:styleId="ListNumber2">
    <w:name w:val="List Number 2"/>
    <w:basedOn w:val="List2"/>
    <w:rsid w:val="00DC6CA4"/>
    <w:pPr>
      <w:numPr>
        <w:numId w:val="11"/>
      </w:numPr>
      <w:tabs>
        <w:tab w:val="clear" w:pos="1060"/>
      </w:tabs>
    </w:pPr>
  </w:style>
  <w:style w:type="paragraph" w:customStyle="1" w:styleId="MarginNote">
    <w:name w:val="Margin Note"/>
    <w:basedOn w:val="BodyText"/>
    <w:rsid w:val="00DC6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CA4"/>
    <w:rPr>
      <w:sz w:val="32"/>
    </w:rPr>
  </w:style>
  <w:style w:type="paragraph" w:customStyle="1" w:styleId="HeadingProcedure">
    <w:name w:val="Heading Procedure"/>
    <w:basedOn w:val="HeadingBase"/>
    <w:next w:val="Normal"/>
    <w:rsid w:val="00DC6CA4"/>
    <w:pPr>
      <w:tabs>
        <w:tab w:val="left" w:pos="0"/>
      </w:tabs>
      <w:spacing w:before="120" w:after="60"/>
    </w:pPr>
    <w:rPr>
      <w:i/>
      <w:color w:val="918585"/>
      <w:sz w:val="22"/>
    </w:rPr>
  </w:style>
  <w:style w:type="paragraph" w:customStyle="1" w:styleId="TableBodyText">
    <w:name w:val="Table Body Text"/>
    <w:basedOn w:val="BodyText"/>
    <w:rsid w:val="00DC6CA4"/>
    <w:pPr>
      <w:spacing w:before="60" w:after="60"/>
    </w:pPr>
  </w:style>
  <w:style w:type="paragraph" w:styleId="ListContinue">
    <w:name w:val="List Continue"/>
    <w:basedOn w:val="List"/>
    <w:rsid w:val="00DC6CA4"/>
    <w:pPr>
      <w:ind w:firstLine="0"/>
    </w:pPr>
  </w:style>
  <w:style w:type="paragraph" w:customStyle="1" w:styleId="ListNote">
    <w:name w:val="List Note"/>
    <w:basedOn w:val="List"/>
    <w:rsid w:val="00DC6CA4"/>
    <w:pPr>
      <w:pBdr>
        <w:top w:val="single" w:sz="6" w:space="2" w:color="918585"/>
        <w:bottom w:val="single" w:sz="6" w:space="2" w:color="918585"/>
      </w:pBdr>
      <w:tabs>
        <w:tab w:val="left" w:pos="1021"/>
      </w:tabs>
      <w:ind w:firstLine="0"/>
    </w:pPr>
  </w:style>
  <w:style w:type="paragraph" w:customStyle="1" w:styleId="Warning">
    <w:name w:val="Warning"/>
    <w:basedOn w:val="BodyText"/>
    <w:rsid w:val="00DC6CA4"/>
    <w:pPr>
      <w:shd w:val="clear" w:color="auto" w:fill="D9D9D9"/>
      <w:tabs>
        <w:tab w:val="left" w:pos="992"/>
      </w:tabs>
      <w:ind w:left="119" w:right="119"/>
    </w:pPr>
    <w:rPr>
      <w:sz w:val="20"/>
    </w:rPr>
  </w:style>
  <w:style w:type="paragraph" w:customStyle="1" w:styleId="MarginIcons">
    <w:name w:val="Margin Icons"/>
    <w:basedOn w:val="BodyText"/>
    <w:rsid w:val="00DC6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CA4"/>
    <w:rPr>
      <w:rFonts w:ascii="Courier New" w:hAnsi="Courier New"/>
    </w:rPr>
  </w:style>
  <w:style w:type="paragraph" w:customStyle="1" w:styleId="NoteBullet">
    <w:name w:val="Note Bullet"/>
    <w:basedOn w:val="Note"/>
    <w:rsid w:val="00DC6CA4"/>
    <w:pPr>
      <w:tabs>
        <w:tab w:val="clear" w:pos="680"/>
      </w:tabs>
      <w:spacing w:before="60" w:after="60"/>
    </w:pPr>
  </w:style>
  <w:style w:type="paragraph" w:customStyle="1" w:styleId="SubHeading2">
    <w:name w:val="SubHeading2"/>
    <w:basedOn w:val="HeadingBase"/>
    <w:rsid w:val="00DC6CA4"/>
    <w:pPr>
      <w:spacing w:before="240" w:after="60"/>
    </w:pPr>
    <w:rPr>
      <w:sz w:val="20"/>
    </w:rPr>
  </w:style>
  <w:style w:type="paragraph" w:customStyle="1" w:styleId="SubHeading1">
    <w:name w:val="SubHeading1"/>
    <w:basedOn w:val="HeadingBase"/>
    <w:rsid w:val="00DC6CA4"/>
    <w:pPr>
      <w:spacing w:before="240" w:after="60"/>
    </w:pPr>
    <w:rPr>
      <w:color w:val="918585"/>
      <w:sz w:val="22"/>
    </w:rPr>
  </w:style>
  <w:style w:type="paragraph" w:customStyle="1" w:styleId="SideHeading">
    <w:name w:val="Side Heading"/>
    <w:basedOn w:val="HeadingBase"/>
    <w:rsid w:val="00DC6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CA4"/>
    <w:pPr>
      <w:numPr>
        <w:numId w:val="13"/>
      </w:numPr>
    </w:pPr>
  </w:style>
  <w:style w:type="paragraph" w:styleId="PlainText">
    <w:name w:val="Plain Text"/>
    <w:basedOn w:val="Normal"/>
    <w:link w:val="PlainTextChar"/>
    <w:rsid w:val="00DC6CA4"/>
    <w:rPr>
      <w:sz w:val="20"/>
    </w:rPr>
  </w:style>
  <w:style w:type="character" w:customStyle="1" w:styleId="PlainTextChar">
    <w:name w:val="Plain Text Char"/>
    <w:basedOn w:val="DefaultParagraphFont"/>
    <w:link w:val="PlainText"/>
    <w:rsid w:val="00DC6CA4"/>
    <w:rPr>
      <w:rFonts w:ascii="Courier New" w:eastAsia="Times New Roman" w:hAnsi="Courier New" w:cs="Times New Roman"/>
      <w:sz w:val="20"/>
      <w:szCs w:val="20"/>
      <w:lang w:eastAsia="en-US"/>
    </w:rPr>
  </w:style>
  <w:style w:type="character" w:customStyle="1" w:styleId="MenuOption">
    <w:name w:val="Menu Option"/>
    <w:basedOn w:val="DefaultParagraphFont"/>
    <w:rsid w:val="00DC6CA4"/>
    <w:rPr>
      <w:b/>
      <w:smallCaps/>
    </w:rPr>
  </w:style>
  <w:style w:type="paragraph" w:customStyle="1" w:styleId="TableListNumber">
    <w:name w:val="Table List Number"/>
    <w:basedOn w:val="ListNumber"/>
    <w:rsid w:val="00DC6CA4"/>
    <w:pPr>
      <w:numPr>
        <w:numId w:val="0"/>
      </w:numPr>
    </w:pPr>
  </w:style>
  <w:style w:type="paragraph" w:styleId="TOC4">
    <w:name w:val="toc 4"/>
    <w:basedOn w:val="TOCBase"/>
    <w:next w:val="Normal"/>
    <w:semiHidden/>
    <w:rsid w:val="00DC6CA4"/>
    <w:pPr>
      <w:tabs>
        <w:tab w:val="right" w:leader="dot" w:pos="9071"/>
      </w:tabs>
      <w:ind w:left="1701"/>
    </w:pPr>
  </w:style>
  <w:style w:type="paragraph" w:customStyle="1" w:styleId="ListAlpha">
    <w:name w:val="List Alpha"/>
    <w:basedOn w:val="List"/>
    <w:rsid w:val="00DC6CA4"/>
    <w:pPr>
      <w:numPr>
        <w:numId w:val="10"/>
      </w:numPr>
    </w:pPr>
  </w:style>
  <w:style w:type="paragraph" w:customStyle="1" w:styleId="ListAlpha2">
    <w:name w:val="List Alpha 2"/>
    <w:basedOn w:val="List2"/>
    <w:rsid w:val="00DC6CA4"/>
    <w:pPr>
      <w:numPr>
        <w:numId w:val="9"/>
      </w:numPr>
    </w:pPr>
  </w:style>
  <w:style w:type="paragraph" w:styleId="List2">
    <w:name w:val="List 2"/>
    <w:basedOn w:val="BodyText"/>
    <w:rsid w:val="00DC6CA4"/>
    <w:pPr>
      <w:tabs>
        <w:tab w:val="left" w:pos="680"/>
      </w:tabs>
      <w:spacing w:before="60" w:after="60"/>
      <w:ind w:left="680" w:hanging="340"/>
    </w:pPr>
  </w:style>
  <w:style w:type="paragraph" w:styleId="List3">
    <w:name w:val="List 3"/>
    <w:basedOn w:val="BodyText"/>
    <w:rsid w:val="00DC6CA4"/>
    <w:pPr>
      <w:tabs>
        <w:tab w:val="left" w:pos="1021"/>
      </w:tabs>
      <w:spacing w:before="60" w:after="60"/>
      <w:ind w:left="1020" w:hanging="340"/>
    </w:pPr>
  </w:style>
  <w:style w:type="paragraph" w:styleId="List4">
    <w:name w:val="List 4"/>
    <w:basedOn w:val="BodyText"/>
    <w:rsid w:val="00DC6CA4"/>
    <w:pPr>
      <w:tabs>
        <w:tab w:val="left" w:pos="1361"/>
      </w:tabs>
      <w:spacing w:before="60" w:after="60"/>
      <w:ind w:left="1361" w:hanging="340"/>
    </w:pPr>
  </w:style>
  <w:style w:type="paragraph" w:styleId="List5">
    <w:name w:val="List 5"/>
    <w:basedOn w:val="BodyText"/>
    <w:rsid w:val="00DC6CA4"/>
    <w:pPr>
      <w:tabs>
        <w:tab w:val="left" w:pos="1701"/>
      </w:tabs>
      <w:spacing w:before="60" w:after="60"/>
      <w:ind w:left="1701" w:hanging="340"/>
    </w:pPr>
  </w:style>
  <w:style w:type="paragraph" w:styleId="ListBullet4">
    <w:name w:val="List Bullet 4"/>
    <w:basedOn w:val="List4"/>
    <w:rsid w:val="00DC6CA4"/>
    <w:pPr>
      <w:numPr>
        <w:numId w:val="4"/>
      </w:numPr>
    </w:pPr>
  </w:style>
  <w:style w:type="paragraph" w:styleId="ListBullet5">
    <w:name w:val="List Bullet 5"/>
    <w:basedOn w:val="List5"/>
    <w:rsid w:val="00DC6CA4"/>
    <w:pPr>
      <w:numPr>
        <w:numId w:val="5"/>
      </w:numPr>
    </w:pPr>
  </w:style>
  <w:style w:type="paragraph" w:styleId="ListContinue2">
    <w:name w:val="List Continue 2"/>
    <w:basedOn w:val="List2"/>
    <w:rsid w:val="00DC6CA4"/>
    <w:pPr>
      <w:ind w:firstLine="0"/>
    </w:pPr>
  </w:style>
  <w:style w:type="paragraph" w:styleId="ListContinue3">
    <w:name w:val="List Continue 3"/>
    <w:basedOn w:val="List3"/>
    <w:rsid w:val="00DC6CA4"/>
    <w:pPr>
      <w:ind w:left="1021" w:firstLine="0"/>
    </w:pPr>
  </w:style>
  <w:style w:type="paragraph" w:styleId="ListContinue4">
    <w:name w:val="List Continue 4"/>
    <w:basedOn w:val="List4"/>
    <w:rsid w:val="00DC6CA4"/>
    <w:pPr>
      <w:ind w:firstLine="0"/>
    </w:pPr>
  </w:style>
  <w:style w:type="paragraph" w:styleId="ListContinue5">
    <w:name w:val="List Continue 5"/>
    <w:basedOn w:val="List5"/>
    <w:rsid w:val="00DC6CA4"/>
    <w:pPr>
      <w:ind w:firstLine="0"/>
    </w:pPr>
  </w:style>
  <w:style w:type="paragraph" w:styleId="ListNumber3">
    <w:name w:val="List Number 3"/>
    <w:basedOn w:val="List3"/>
    <w:rsid w:val="00DC6CA4"/>
    <w:pPr>
      <w:numPr>
        <w:numId w:val="6"/>
      </w:numPr>
    </w:pPr>
  </w:style>
  <w:style w:type="paragraph" w:styleId="ListNumber4">
    <w:name w:val="List Number 4"/>
    <w:basedOn w:val="List4"/>
    <w:rsid w:val="00DC6CA4"/>
    <w:pPr>
      <w:numPr>
        <w:numId w:val="7"/>
      </w:numPr>
    </w:pPr>
  </w:style>
  <w:style w:type="paragraph" w:styleId="ListNumber5">
    <w:name w:val="List Number 5"/>
    <w:basedOn w:val="List5"/>
    <w:rsid w:val="00DC6CA4"/>
    <w:pPr>
      <w:numPr>
        <w:numId w:val="8"/>
      </w:numPr>
    </w:pPr>
  </w:style>
  <w:style w:type="paragraph" w:styleId="BlockText">
    <w:name w:val="Block Text"/>
    <w:basedOn w:val="Normal"/>
    <w:rsid w:val="00DC6CA4"/>
    <w:pPr>
      <w:spacing w:after="120"/>
      <w:ind w:left="1440" w:right="1440"/>
    </w:pPr>
  </w:style>
  <w:style w:type="character" w:customStyle="1" w:styleId="Subscript">
    <w:name w:val="Subscript"/>
    <w:basedOn w:val="DefaultParagraphFont"/>
    <w:rsid w:val="00DC6CA4"/>
    <w:rPr>
      <w:sz w:val="16"/>
      <w:vertAlign w:val="subscript"/>
    </w:rPr>
  </w:style>
  <w:style w:type="character" w:customStyle="1" w:styleId="Superscript">
    <w:name w:val="Superscript"/>
    <w:basedOn w:val="DefaultParagraphFont"/>
    <w:rsid w:val="00DC6CA4"/>
    <w:rPr>
      <w:sz w:val="16"/>
      <w:vertAlign w:val="superscript"/>
    </w:rPr>
  </w:style>
  <w:style w:type="character" w:customStyle="1" w:styleId="Symbols">
    <w:name w:val="Symbols"/>
    <w:basedOn w:val="DefaultParagraphFont"/>
    <w:rsid w:val="00DC6CA4"/>
    <w:rPr>
      <w:rFonts w:ascii="Symbol" w:hAnsi="Symbol"/>
    </w:rPr>
  </w:style>
  <w:style w:type="character" w:customStyle="1" w:styleId="MenuOptions">
    <w:name w:val="Menu Options"/>
    <w:basedOn w:val="DefaultParagraphFont"/>
    <w:rsid w:val="00DC6CA4"/>
    <w:rPr>
      <w:rFonts w:ascii="Arial Narrow" w:hAnsi="Arial Narrow"/>
      <w:smallCaps/>
    </w:rPr>
  </w:style>
  <w:style w:type="character" w:customStyle="1" w:styleId="Buttons">
    <w:name w:val="Buttons"/>
    <w:basedOn w:val="DefaultParagraphFont"/>
    <w:rsid w:val="00DC6CA4"/>
    <w:rPr>
      <w:b/>
    </w:rPr>
  </w:style>
  <w:style w:type="character" w:customStyle="1" w:styleId="Underlined">
    <w:name w:val="Underlined"/>
    <w:basedOn w:val="DefaultParagraphFont"/>
    <w:rsid w:val="00DC6CA4"/>
    <w:rPr>
      <w:u w:val="single"/>
    </w:rPr>
  </w:style>
  <w:style w:type="paragraph" w:customStyle="1" w:styleId="TableBodyTextRight">
    <w:name w:val="Table Body Text Right"/>
    <w:basedOn w:val="TableBodyText"/>
    <w:rsid w:val="00DC6CA4"/>
    <w:pPr>
      <w:widowControl w:val="0"/>
      <w:autoSpaceDE w:val="0"/>
      <w:autoSpaceDN w:val="0"/>
      <w:adjustRightInd w:val="0"/>
      <w:jc w:val="right"/>
    </w:pPr>
    <w:rPr>
      <w:rFonts w:cs="Arial"/>
      <w:szCs w:val="18"/>
    </w:rPr>
  </w:style>
  <w:style w:type="paragraph" w:customStyle="1" w:styleId="CopyrightText">
    <w:name w:val="Copyright Text"/>
    <w:basedOn w:val="BodyText"/>
    <w:rsid w:val="00DC6CA4"/>
    <w:rPr>
      <w:sz w:val="18"/>
    </w:rPr>
  </w:style>
  <w:style w:type="paragraph" w:customStyle="1" w:styleId="BodySmallRight">
    <w:name w:val="Body Small Right"/>
    <w:basedOn w:val="BodyTextRight"/>
    <w:rsid w:val="00DC6CA4"/>
    <w:rPr>
      <w:sz w:val="18"/>
      <w:szCs w:val="18"/>
    </w:rPr>
  </w:style>
  <w:style w:type="paragraph" w:customStyle="1" w:styleId="MarginEdition">
    <w:name w:val="Margin Edition"/>
    <w:basedOn w:val="MarginNote"/>
    <w:rsid w:val="00DC6CA4"/>
    <w:pPr>
      <w:spacing w:before="0" w:after="0"/>
    </w:pPr>
    <w:rPr>
      <w:rFonts w:ascii="Times New Roman" w:hAnsi="Times New Roman"/>
      <w:color w:val="999999"/>
    </w:rPr>
  </w:style>
  <w:style w:type="paragraph" w:customStyle="1" w:styleId="Spacer">
    <w:name w:val="Spacer"/>
    <w:basedOn w:val="Normal"/>
    <w:rsid w:val="00DC6CA4"/>
    <w:rPr>
      <w:sz w:val="2"/>
      <w:szCs w:val="2"/>
    </w:rPr>
  </w:style>
  <w:style w:type="character" w:customStyle="1" w:styleId="Small">
    <w:name w:val="Small"/>
    <w:basedOn w:val="DefaultParagraphFont"/>
    <w:rsid w:val="00DC6CA4"/>
    <w:rPr>
      <w:sz w:val="16"/>
    </w:rPr>
  </w:style>
  <w:style w:type="paragraph" w:customStyle="1" w:styleId="WideTable">
    <w:name w:val="Wide Table"/>
    <w:basedOn w:val="Normal"/>
    <w:rsid w:val="00DC6CA4"/>
    <w:pPr>
      <w:ind w:left="-1418"/>
    </w:pPr>
    <w:rPr>
      <w:sz w:val="2"/>
      <w:szCs w:val="2"/>
    </w:rPr>
  </w:style>
  <w:style w:type="character" w:styleId="PageNumber">
    <w:name w:val="page number"/>
    <w:basedOn w:val="DefaultParagraphFont"/>
    <w:rsid w:val="00DC6CA4"/>
  </w:style>
  <w:style w:type="paragraph" w:styleId="Quote">
    <w:name w:val="Quote"/>
    <w:basedOn w:val="Heading1"/>
    <w:link w:val="QuoteChar"/>
    <w:qFormat/>
    <w:rsid w:val="00DC6CA4"/>
    <w:rPr>
      <w:b w:val="0"/>
      <w:sz w:val="72"/>
      <w:szCs w:val="72"/>
      <w:lang w:val="en-NZ"/>
    </w:rPr>
  </w:style>
  <w:style w:type="character" w:customStyle="1" w:styleId="QuoteChar">
    <w:name w:val="Quote Char"/>
    <w:basedOn w:val="DefaultParagraphFont"/>
    <w:link w:val="Quote"/>
    <w:rsid w:val="00DC6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CA4"/>
    <w:pPr>
      <w:pageBreakBefore/>
    </w:pPr>
  </w:style>
  <w:style w:type="paragraph" w:customStyle="1" w:styleId="Border">
    <w:name w:val="Border"/>
    <w:basedOn w:val="Normal"/>
    <w:qFormat/>
    <w:rsid w:val="00DC6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CA4"/>
    <w:rPr>
      <w:b/>
      <w:bCs/>
      <w:i/>
      <w:iCs/>
      <w:color w:val="auto"/>
    </w:rPr>
  </w:style>
  <w:style w:type="paragraph" w:styleId="IntenseQuote">
    <w:name w:val="Intense Quote"/>
    <w:basedOn w:val="Normal"/>
    <w:next w:val="Normal"/>
    <w:link w:val="IntenseQuoteChar"/>
    <w:uiPriority w:val="30"/>
    <w:qFormat/>
    <w:rsid w:val="00DC6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CA4"/>
    <w:rPr>
      <w:smallCaps/>
      <w:color w:val="auto"/>
      <w:u w:val="single"/>
    </w:rPr>
  </w:style>
  <w:style w:type="character" w:styleId="IntenseReference">
    <w:name w:val="Intense Reference"/>
    <w:basedOn w:val="DefaultParagraphFont"/>
    <w:uiPriority w:val="32"/>
    <w:qFormat/>
    <w:rsid w:val="00DC6CA4"/>
    <w:rPr>
      <w:b/>
      <w:bCs/>
      <w:smallCaps/>
      <w:color w:val="auto"/>
      <w:spacing w:val="5"/>
      <w:u w:val="single"/>
    </w:rPr>
  </w:style>
  <w:style w:type="paragraph" w:customStyle="1" w:styleId="2ColumnHeading">
    <w:name w:val="2Column Heading"/>
    <w:basedOn w:val="BodyText"/>
    <w:qFormat/>
    <w:rsid w:val="00DC6CA4"/>
    <w:pPr>
      <w:spacing w:after="60"/>
      <w:ind w:left="-2268"/>
    </w:pPr>
    <w:rPr>
      <w:b/>
    </w:rPr>
  </w:style>
  <w:style w:type="paragraph" w:customStyle="1" w:styleId="Heading1TOC">
    <w:name w:val="Heading1 TOC"/>
    <w:basedOn w:val="Normal"/>
    <w:qFormat/>
    <w:rsid w:val="00DC6CA4"/>
    <w:pPr>
      <w:spacing w:before="240" w:after="120"/>
    </w:pPr>
    <w:rPr>
      <w:rFonts w:ascii="Times New Roman" w:hAnsi="Times New Roman"/>
      <w:b/>
      <w:sz w:val="32"/>
    </w:rPr>
  </w:style>
  <w:style w:type="paragraph" w:customStyle="1" w:styleId="Heading2TOC">
    <w:name w:val="Heading2 TOC"/>
    <w:basedOn w:val="Normal"/>
    <w:qFormat/>
    <w:rsid w:val="00DC6CA4"/>
    <w:pPr>
      <w:spacing w:before="240" w:after="60"/>
    </w:pPr>
    <w:rPr>
      <w:rFonts w:ascii="Times New Roman" w:hAnsi="Times New Roman"/>
      <w:b/>
      <w:sz w:val="28"/>
    </w:rPr>
  </w:style>
  <w:style w:type="character" w:customStyle="1" w:styleId="Underline">
    <w:name w:val="Underline"/>
    <w:basedOn w:val="DefaultParagraphFont"/>
    <w:qFormat/>
    <w:rsid w:val="00DC6CA4"/>
    <w:rPr>
      <w:u w:val="single"/>
    </w:rPr>
  </w:style>
  <w:style w:type="character" w:customStyle="1" w:styleId="BoldandItalics">
    <w:name w:val="Bold and Italics"/>
    <w:qFormat/>
    <w:rsid w:val="00DC6CA4"/>
    <w:rPr>
      <w:b/>
      <w:i/>
      <w:u w:val="none"/>
    </w:rPr>
  </w:style>
  <w:style w:type="paragraph" w:styleId="BalloonText">
    <w:name w:val="Balloon Text"/>
    <w:basedOn w:val="Normal"/>
    <w:link w:val="BalloonTextChar"/>
    <w:rsid w:val="00DC6CA4"/>
    <w:rPr>
      <w:rFonts w:ascii="Tahoma" w:hAnsi="Tahoma" w:cs="Tahoma"/>
      <w:sz w:val="16"/>
      <w:szCs w:val="16"/>
    </w:rPr>
  </w:style>
  <w:style w:type="character" w:customStyle="1" w:styleId="BalloonTextChar">
    <w:name w:val="Balloon Text Char"/>
    <w:basedOn w:val="DefaultParagraphFont"/>
    <w:link w:val="BalloonText"/>
    <w:rsid w:val="00DC6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C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CA4"/>
    <w:rPr>
      <w:b/>
      <w:color w:val="660033"/>
      <w:spacing w:val="0"/>
    </w:rPr>
  </w:style>
  <w:style w:type="paragraph" w:customStyle="1" w:styleId="Nameditemlist">
    <w:name w:val="Named item list"/>
    <w:basedOn w:val="BodyText"/>
    <w:qFormat/>
    <w:rsid w:val="00DC6C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2831</Words>
  <Characters>17946</Characters>
  <Application>Microsoft Office Word</Application>
  <DocSecurity>0</DocSecurity>
  <Lines>747</Lines>
  <Paragraphs>340</Paragraphs>
  <ScaleCrop>false</ScaleCrop>
  <Company>Author-it Software Corporation Ltd.</Company>
  <LinksUpToDate>false</LinksUpToDate>
  <CharactersWithSpaces>20437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UETTDRIS54A Install and maintain poles, structures and overhead conductors and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2012-10-10T08:06:00Z</dcterms:created>
  <dcterms:modified xsi:type="dcterms:W3CDTF">2012-10-10T08:06:00Z</dcterms:modified>
</cp:coreProperties>
</file>