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90A" w:rsidP="00D2790A">
      <w:pPr>
        <w:pStyle w:val="Title"/>
      </w:pPr>
      <w:r>
        <w:fldChar w:fldCharType="begin"/>
      </w:r>
      <w:r>
        <w:instrText xml:space="preserve"> TITLE   \* MERGEFORMAT </w:instrText>
      </w:r>
      <w:r>
        <w:fldChar w:fldCharType="separate"/>
      </w:r>
      <w:r>
        <w:t>UETTDRIS53A Install and maintain power system public lighting</w:t>
      </w:r>
      <w:r>
        <w:fldChar w:fldCharType="end"/>
      </w:r>
    </w:p>
    <w:p w:rsidR="00D2790A" w:rsidP="00D2790A">
      <w:pPr>
        <w:pStyle w:val="Version"/>
        <w:sectPr w:rsidSect="00107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9F7" w:rsidP="001079F7">
      <w:pPr>
        <w:pStyle w:val="SuperHeading"/>
      </w:pPr>
      <w:r w:rsidRPr="001079F7">
        <w:t>UETTDRIS53A Install and maintain power system public lighting</w:t>
      </w:r>
    </w:p>
    <w:p w:rsidR="00000000" w:rsidRPr="001079F7" w:rsidP="001079F7">
      <w:pPr>
        <w:pStyle w:val="Heading1"/>
      </w:pPr>
      <w:bookmarkStart w:id="1" w:name="O_462619"/>
      <w:bookmarkEnd w:id="1"/>
      <w:r w:rsidRPr="001079F7">
        <w:t>Modification History</w:t>
      </w:r>
    </w:p>
    <w:p w:rsidR="00000000" w:rsidRPr="001079F7" w:rsidP="001079F7">
      <w:pPr>
        <w:pStyle w:val="BodyText"/>
      </w:pPr>
      <w:r w:rsidRPr="001079F7">
        <w:t>Not applicable.</w:t>
      </w:r>
    </w:p>
    <w:p w:rsidR="00000000" w:rsidRPr="001079F7" w:rsidP="001079F7">
      <w:pPr>
        <w:pStyle w:val="AllowPageBreak"/>
      </w:pPr>
    </w:p>
    <w:p w:rsidR="00000000" w:rsidRPr="001079F7" w:rsidP="001079F7">
      <w:pPr>
        <w:pStyle w:val="Heading1"/>
      </w:pPr>
      <w:bookmarkStart w:id="2" w:name="O_462617"/>
      <w:bookmarkEnd w:id="2"/>
      <w:r w:rsidRPr="001079F7">
        <w:t>Unit Descriptor</w:t>
      </w:r>
    </w:p>
    <w:tbl>
      <w:tblPr>
        <w:tblW w:w="0" w:type="auto"/>
        <w:tblLayout w:type="fixed"/>
        <w:tblCellMar>
          <w:left w:w="62" w:type="dxa"/>
          <w:right w:w="62" w:type="dxa"/>
        </w:tblCellMar>
        <w:tblLook w:val="0000"/>
      </w:tblPr>
      <w:tblGrid>
        <w:gridCol w:w="2700"/>
        <w:gridCol w:w="5760"/>
      </w:tblGrid>
      <w:tr w:rsidTr="00D279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1)</w:t>
            </w:r>
            <w:r w:rsidRPr="001079F7">
              <w:t xml:space="preserve"> </w:t>
            </w:r>
            <w:r w:rsidRPr="001079F7">
              <w:rPr>
                <w:rStyle w:val="SpecialBold"/>
              </w:rPr>
              <w:t>Scope:</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79F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1.1) Descriptor</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This Competency Standard Unit covers the installation, maintenance and repair of public lighting systems. This also includes the inspection, testing and commissioning of the system associated with the street lighting circuit, the associated hardware and th</w:t>
            </w:r>
            <w:r w:rsidRPr="001079F7">
              <w:t>e earthing system. Installation will include the installation of, the associated hardware and components and, the wiring and earthing system. Maintenance may also include work on energised LV overhead or underground public lighting systems including the di</w:t>
            </w:r>
            <w:r w:rsidRPr="001079F7">
              <w:t>agnosis of faults and the updating of relevant system data and or public lighting maintenance records.</w:t>
            </w:r>
          </w:p>
        </w:tc>
      </w:tr>
    </w:tbl>
    <w:p w:rsidR="00000000" w:rsidRPr="001079F7" w:rsidP="001079F7">
      <w:pPr>
        <w:pStyle w:val="BodyText"/>
      </w:pPr>
    </w:p>
    <w:p w:rsidR="00000000" w:rsidRPr="001079F7" w:rsidP="001079F7">
      <w:pPr>
        <w:pStyle w:val="AllowPageBreak"/>
      </w:pPr>
    </w:p>
    <w:p w:rsidR="00000000" w:rsidRPr="001079F7" w:rsidP="001079F7">
      <w:pPr>
        <w:pStyle w:val="Heading1"/>
      </w:pPr>
      <w:bookmarkStart w:id="3" w:name="O_462606"/>
      <w:bookmarkEnd w:id="3"/>
      <w:r w:rsidRPr="001079F7">
        <w:t>Application of the Unit</w:t>
      </w:r>
    </w:p>
    <w:tbl>
      <w:tblPr>
        <w:tblW w:w="0" w:type="auto"/>
        <w:tblLayout w:type="fixed"/>
        <w:tblCellMar>
          <w:left w:w="62" w:type="dxa"/>
          <w:right w:w="62" w:type="dxa"/>
        </w:tblCellMar>
        <w:tblLook w:val="0000"/>
      </w:tblPr>
      <w:tblGrid>
        <w:gridCol w:w="2672"/>
        <w:gridCol w:w="5699"/>
      </w:tblGrid>
      <w:tr w:rsidTr="00D2790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2)</w:t>
            </w:r>
          </w:p>
        </w:tc>
      </w:tr>
      <w:tr w:rsidTr="00D2790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This Competency Standard Unit is intended to augment formally acquired competencies. It is suitable for employment-based programs under an approved contract of training.</w:t>
            </w:r>
          </w:p>
        </w:tc>
      </w:tr>
    </w:tbl>
    <w:p w:rsidR="00000000" w:rsidRPr="001079F7" w:rsidP="001079F7">
      <w:pPr>
        <w:pStyle w:val="BodyText"/>
      </w:pPr>
    </w:p>
    <w:p w:rsidR="00000000" w:rsidRPr="001079F7" w:rsidP="001079F7">
      <w:pPr>
        <w:pStyle w:val="AllowPageBreak"/>
      </w:pPr>
    </w:p>
    <w:p w:rsidR="00000000" w:rsidRPr="001079F7" w:rsidP="001079F7">
      <w:pPr>
        <w:pStyle w:val="Heading1"/>
      </w:pPr>
      <w:bookmarkStart w:id="4" w:name="O_462613"/>
      <w:bookmarkEnd w:id="4"/>
      <w:r w:rsidRPr="001079F7">
        <w:t>Licensing/Regulatory Information</w:t>
      </w:r>
    </w:p>
    <w:tbl>
      <w:tblPr>
        <w:tblW w:w="0" w:type="auto"/>
        <w:tblLayout w:type="fixed"/>
        <w:tblCellMar>
          <w:left w:w="62" w:type="dxa"/>
          <w:right w:w="62" w:type="dxa"/>
        </w:tblCellMar>
        <w:tblLook w:val="0000"/>
      </w:tblPr>
      <w:tblGrid>
        <w:gridCol w:w="2700"/>
        <w:gridCol w:w="5760"/>
      </w:tblGrid>
      <w:tr w:rsidTr="00D279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 xml:space="preserve">3)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The skil</w:t>
            </w:r>
            <w:r w:rsidRPr="001079F7">
              <w:t xml:space="preserve">ls and knowledge described in this unit may require a licence/registration to practice in the work place subject to regulations for undertaking of electrical work. </w:t>
            </w:r>
            <w:r w:rsidRPr="001079F7">
              <w:t>Practice in workplace and during training is also subject to regulations directly related to</w:t>
            </w:r>
            <w:r w:rsidRPr="001079F7">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1079F7">
              <w:t>gulations may exist that limits the age of operating certain equipment.</w:t>
            </w:r>
          </w:p>
        </w:tc>
      </w:tr>
    </w:tbl>
    <w:p w:rsidR="00000000" w:rsidRPr="001079F7" w:rsidP="001079F7">
      <w:pPr>
        <w:pStyle w:val="BodyText"/>
      </w:pPr>
    </w:p>
    <w:p w:rsidR="00000000" w:rsidRPr="001079F7" w:rsidP="001079F7">
      <w:pPr>
        <w:pStyle w:val="AllowPageBreak"/>
      </w:pPr>
    </w:p>
    <w:p w:rsidR="00000000" w:rsidRPr="001079F7" w:rsidP="001079F7">
      <w:pPr>
        <w:pStyle w:val="Heading1"/>
      </w:pPr>
      <w:bookmarkStart w:id="5" w:name="O_462614"/>
      <w:bookmarkEnd w:id="5"/>
      <w:r w:rsidRPr="001079F7">
        <w:t>Pre-Requisites</w:t>
      </w:r>
    </w:p>
    <w:tbl>
      <w:tblPr>
        <w:tblW w:w="0" w:type="auto"/>
        <w:tblLayout w:type="fixed"/>
        <w:tblCellMar>
          <w:left w:w="62" w:type="dxa"/>
          <w:right w:w="62" w:type="dxa"/>
        </w:tblCellMar>
        <w:tblLook w:val="0000"/>
      </w:tblPr>
      <w:tblGrid>
        <w:gridCol w:w="2700"/>
        <w:gridCol w:w="1890"/>
        <w:gridCol w:w="3870"/>
      </w:tblGrid>
      <w:tr w:rsidTr="00D279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 xml:space="preserve">4)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4.1)</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Granting of competency in this unit shall be made only after competency in the following unit(s) has/have been confirmed.</w:t>
            </w:r>
          </w:p>
          <w:p w:rsidR="00000000" w:rsidRPr="001079F7" w:rsidP="001079F7">
            <w:pPr>
              <w:pStyle w:val="BodyText"/>
            </w:pPr>
            <w:r w:rsidRPr="001079F7">
              <w:t xml:space="preserve">Where pre-requisite pathways have been identified. All competencies in the Common Unit Group must be have been completed plus all the </w:t>
            </w:r>
            <w:r w:rsidRPr="001079F7">
              <w:t>competencies in one (1) of the identified Pathway Unit Group(s):</w:t>
            </w:r>
          </w:p>
          <w:p w:rsidR="00000000" w:rsidRPr="001079F7" w:rsidP="001079F7">
            <w:pPr>
              <w:pStyle w:val="BodyText"/>
            </w:pPr>
            <w:r w:rsidRPr="001079F7">
              <w:t>Transmission Overhead</w:t>
            </w:r>
          </w:p>
          <w:p w:rsidR="00000000" w:rsidRPr="001079F7" w:rsidP="001079F7">
            <w:pPr>
              <w:pStyle w:val="BodyText"/>
            </w:pPr>
            <w:r w:rsidRPr="001079F7">
              <w:t>Distribution Overhead</w:t>
            </w:r>
          </w:p>
          <w:p w:rsidR="00000000" w:rsidRPr="001079F7" w:rsidP="001079F7">
            <w:pPr>
              <w:pStyle w:val="BodyText"/>
            </w:pPr>
            <w:r w:rsidRPr="001079F7">
              <w:t>Rail Traction</w:t>
            </w:r>
          </w:p>
          <w:p w:rsidR="00000000" w:rsidRPr="001079F7" w:rsidP="001079F7">
            <w:pPr>
              <w:pStyle w:val="BodyText"/>
            </w:pPr>
            <w:r w:rsidRPr="001079F7">
              <w:t>Distribution Cable Jointing</w:t>
            </w:r>
          </w:p>
          <w:p w:rsidR="00000000" w:rsidP="001079F7">
            <w:pPr>
              <w:pStyle w:val="BodyText"/>
              <w:rPr>
                <w:lang w:val="en-NZ"/>
              </w:rPr>
            </w:pPr>
            <w:r w:rsidRPr="001079F7">
              <w:t>Common Unit Group</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Unit Code</w:t>
            </w:r>
          </w:p>
        </w:tc>
        <w:tc>
          <w:tcPr>
            <w:tcW w:w="387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Unit Title</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Apply Occupational Health and Safety regulations, codes and practices in the workplace</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UEENEEE102A</w:t>
            </w:r>
          </w:p>
        </w:tc>
        <w:tc>
          <w:tcPr>
            <w:tcW w:w="387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Fabricate, assemble and dismantle utilities industry components</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UEENEEE104A</w:t>
            </w:r>
          </w:p>
        </w:tc>
        <w:tc>
          <w:tcPr>
            <w:tcW w:w="387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Solve problems in d.c. Circuits</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UEENEEE105A</w:t>
            </w:r>
          </w:p>
        </w:tc>
        <w:tc>
          <w:tcPr>
            <w:tcW w:w="387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Fix and secure electrotechnolog</w:t>
            </w:r>
            <w:r w:rsidRPr="001079F7">
              <w:t>y equipment</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UEENEEE107A</w:t>
            </w:r>
          </w:p>
        </w:tc>
        <w:tc>
          <w:tcPr>
            <w:tcW w:w="387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Use drawings, diagrams, schedules, standards, codes and specifications</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UEENEEG101A</w:t>
            </w:r>
          </w:p>
        </w:tc>
        <w:tc>
          <w:tcPr>
            <w:tcW w:w="387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Solve problems in electromagnetic devices and related circuits</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UEENEEG102A</w:t>
            </w:r>
          </w:p>
        </w:tc>
        <w:tc>
          <w:tcPr>
            <w:tcW w:w="387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Solve problems in low voltage a.c. Circuits</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UETTDREL11A</w:t>
            </w:r>
          </w:p>
        </w:tc>
        <w:tc>
          <w:tcPr>
            <w:tcW w:w="387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 xml:space="preserve">Apply sustainable energy and environmental procedures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UETTDREL12A</w:t>
            </w:r>
          </w:p>
        </w:tc>
        <w:tc>
          <w:tcPr>
            <w:tcW w:w="387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 xml:space="preserve">Operate plant and equipment near live electrical conductors and apparatus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UETTDREL16A</w:t>
            </w:r>
          </w:p>
        </w:tc>
        <w:tc>
          <w:tcPr>
            <w:tcW w:w="3870" w:type="dxa"/>
            <w:tcBorders>
              <w:top w:val="nil"/>
              <w:left w:val="nil"/>
              <w:bottom w:val="nil"/>
              <w:right w:val="nil"/>
            </w:tcBorders>
            <w:tcMar>
              <w:top w:w="0" w:type="dxa"/>
              <w:left w:w="62" w:type="dxa"/>
              <w:bottom w:w="0" w:type="dxa"/>
              <w:right w:w="62" w:type="dxa"/>
            </w:tcMar>
            <w:vAlign w:val="center"/>
          </w:tcPr>
          <w:p w:rsidR="00000000" w:rsidP="001079F7">
            <w:pPr>
              <w:pStyle w:val="BodyText"/>
              <w:rPr>
                <w:lang w:val="en-NZ"/>
              </w:rPr>
            </w:pPr>
            <w:r w:rsidRPr="001079F7">
              <w:t xml:space="preserve">Working safely near live electrical apparatus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 xml:space="preserve">Transmission Overhead Pathway Group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Unit Code</w:t>
            </w:r>
          </w:p>
        </w:tc>
        <w:tc>
          <w:tcPr>
            <w:tcW w:w="387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Unit Title</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and maintain poles, structures, overhead conductors and cables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UETTDRTP26A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transmission structures and associated hardware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UETTDRTP27A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Maintain transmission structures and associated hardware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UETTDRTP29A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and maintain transmission overhead conductors and cables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Distribution Overhead Pathway Group</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Unit Code</w:t>
            </w:r>
          </w:p>
        </w:tc>
        <w:tc>
          <w:tcPr>
            <w:tcW w:w="387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Unit Title</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UETTDRDP12A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Maintain overhead energised low voltage conductors and cables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UETTDRIS41A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Insta</w:t>
            </w:r>
            <w:r w:rsidRPr="001079F7">
              <w:t xml:space="preserve">ll network infrastructure electrical equipment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UETTDRIS42A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Maintain network infrastructure electrical equipment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Install and maintain poles, structures and associated hardware</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and maintain poles, structures, overhead conductors and cables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UETTDRIS56A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and maintain low voltage overhead services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Rail Traction Pathway Group</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Unit Code</w:t>
            </w:r>
          </w:p>
        </w:tc>
        <w:tc>
          <w:tcPr>
            <w:tcW w:w="387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Unit Title</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Install and maintain poles, structures and associated hardware</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and maintain poles, structures, overhead conductors and cables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UETTDRRT21A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traction overhead wiring systems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UETTDRRT22A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Maintain traction overhead wiring systems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UETTDRRT23A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rail traction bonds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UETTDRRT27A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overhead traction components and equipment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UETTDRRT28A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Maintain overhead traction components and equipment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Distribution Cable Jointing Pathway Group</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Unit Code</w:t>
            </w:r>
          </w:p>
        </w:tc>
        <w:tc>
          <w:tcPr>
            <w:tcW w:w="387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Unit Title</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UETTDRCJ21A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Lay ESI electrical cables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UETTDRCJ26A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and maintain de-energised low voltage underground polymeric cables.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UETTDRCJ27A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and maintain de-energised high voltage underground polymeric cables.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UETTDRIS41A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Install network infrastructure electrical equipment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UETTDRIS42A</w:t>
            </w:r>
          </w:p>
        </w:tc>
        <w:tc>
          <w:tcPr>
            <w:tcW w:w="3870" w:type="dxa"/>
            <w:tcBorders>
              <w:top w:val="nil"/>
              <w:left w:val="nil"/>
              <w:bottom w:val="nil"/>
              <w:right w:val="nil"/>
            </w:tcBorders>
            <w:tcMar>
              <w:top w:w="0" w:type="dxa"/>
              <w:left w:w="62" w:type="dxa"/>
              <w:bottom w:w="0" w:type="dxa"/>
              <w:right w:w="62" w:type="dxa"/>
            </w:tcMar>
            <w:vAlign w:val="bottom"/>
          </w:tcPr>
          <w:p w:rsidR="00000000" w:rsidP="001079F7">
            <w:pPr>
              <w:pStyle w:val="BodyText"/>
              <w:rPr>
                <w:lang w:val="en-NZ"/>
              </w:rPr>
            </w:pPr>
            <w:r w:rsidRPr="001079F7">
              <w:t xml:space="preserve">Maintain network infrastructure electrical equipment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UETTDRIS55A</w:t>
            </w:r>
          </w:p>
        </w:tc>
        <w:tc>
          <w:tcPr>
            <w:tcW w:w="3870" w:type="dxa"/>
            <w:tcBorders>
              <w:top w:val="nil"/>
              <w:left w:val="nil"/>
              <w:bottom w:val="nil"/>
              <w:right w:val="nil"/>
            </w:tcBorders>
            <w:tcMar>
              <w:top w:w="0" w:type="dxa"/>
              <w:left w:w="62" w:type="dxa"/>
              <w:bottom w:w="0" w:type="dxa"/>
              <w:right w:w="62" w:type="dxa"/>
            </w:tcMar>
            <w:vAlign w:val="bottom"/>
          </w:tcPr>
          <w:p w:rsidR="00000000" w:rsidRPr="001079F7" w:rsidP="001079F7">
            <w:pPr>
              <w:pStyle w:val="BodyText"/>
            </w:pPr>
            <w:r w:rsidRPr="001079F7">
              <w:t>Install and maintain low volt</w:t>
            </w:r>
            <w:r w:rsidRPr="001079F7">
              <w:t xml:space="preserve">age underground services </w:t>
            </w:r>
          </w:p>
        </w:tc>
      </w:tr>
    </w:tbl>
    <w:p w:rsidR="00000000" w:rsidRPr="001079F7" w:rsidP="001079F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2790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 xml:space="preserve">4.2)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 xml:space="preserve">Participants are best equipped to achieve this unit if they have reading, writing and numeracy skills indicated by the following scales. Description </w:t>
            </w:r>
            <w:r w:rsidRPr="001079F7">
              <w:t>of each scale is given in Volume 2, Part 3 “Literacy and Numeracy”</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Reading</w:t>
            </w:r>
          </w:p>
        </w:tc>
        <w:tc>
          <w:tcPr>
            <w:tcW w:w="81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3</w:t>
            </w:r>
          </w:p>
        </w:tc>
        <w:tc>
          <w:tcPr>
            <w:tcW w:w="99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Writing</w:t>
            </w:r>
          </w:p>
        </w:tc>
        <w:tc>
          <w:tcPr>
            <w:tcW w:w="90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3</w:t>
            </w:r>
          </w:p>
        </w:tc>
        <w:tc>
          <w:tcPr>
            <w:tcW w:w="126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Numeracy</w:t>
            </w:r>
          </w:p>
        </w:tc>
        <w:tc>
          <w:tcPr>
            <w:tcW w:w="72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3</w:t>
            </w:r>
          </w:p>
        </w:tc>
      </w:tr>
    </w:tbl>
    <w:p w:rsidR="00000000" w:rsidRPr="001079F7" w:rsidP="001079F7">
      <w:pPr>
        <w:pStyle w:val="BodyText"/>
      </w:pPr>
    </w:p>
    <w:p w:rsidR="00000000" w:rsidRPr="001079F7" w:rsidP="001079F7">
      <w:pPr>
        <w:pStyle w:val="AllowPageBreak"/>
      </w:pPr>
    </w:p>
    <w:p w:rsidR="00000000" w:rsidRPr="001079F7" w:rsidP="001079F7">
      <w:pPr>
        <w:pStyle w:val="Heading1"/>
      </w:pPr>
      <w:bookmarkStart w:id="6" w:name="O_462610"/>
      <w:bookmarkEnd w:id="6"/>
      <w:r w:rsidRPr="001079F7">
        <w:t>Employability Skills Information</w:t>
      </w:r>
    </w:p>
    <w:tbl>
      <w:tblPr>
        <w:tblW w:w="0" w:type="auto"/>
        <w:tblLayout w:type="fixed"/>
        <w:tblCellMar>
          <w:left w:w="62" w:type="dxa"/>
          <w:right w:w="62" w:type="dxa"/>
        </w:tblCellMar>
        <w:tblLook w:val="0000"/>
      </w:tblPr>
      <w:tblGrid>
        <w:gridCol w:w="2700"/>
        <w:gridCol w:w="5760"/>
      </w:tblGrid>
      <w:tr w:rsidTr="00D279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 xml:space="preserve">5)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079F7">
              <w:t>requirements.</w:t>
            </w:r>
          </w:p>
        </w:tc>
      </w:tr>
    </w:tbl>
    <w:p w:rsidR="00000000" w:rsidRPr="001079F7" w:rsidP="001079F7">
      <w:pPr>
        <w:pStyle w:val="BodyText"/>
      </w:pPr>
    </w:p>
    <w:p w:rsidR="00000000" w:rsidRPr="001079F7" w:rsidP="001079F7">
      <w:pPr>
        <w:pStyle w:val="AllowPageBreak"/>
      </w:pPr>
    </w:p>
    <w:p w:rsidR="00000000" w:rsidRPr="001079F7" w:rsidP="001079F7">
      <w:pPr>
        <w:pStyle w:val="Heading1"/>
      </w:pPr>
      <w:bookmarkStart w:id="7" w:name="O_462609"/>
      <w:bookmarkEnd w:id="7"/>
      <w:r w:rsidRPr="001079F7">
        <w:t>Elements and Performance Criteria Pre-Content</w:t>
      </w:r>
    </w:p>
    <w:tbl>
      <w:tblPr>
        <w:tblW w:w="0" w:type="auto"/>
        <w:tblLayout w:type="fixed"/>
        <w:tblCellMar>
          <w:left w:w="62" w:type="dxa"/>
          <w:right w:w="62" w:type="dxa"/>
        </w:tblCellMar>
        <w:tblLook w:val="0000"/>
      </w:tblPr>
      <w:tblGrid>
        <w:gridCol w:w="2700"/>
        <w:gridCol w:w="5760"/>
      </w:tblGrid>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6)</w:t>
            </w:r>
            <w:r w:rsidRPr="001079F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Performance Criteria describe the required performance needed to demonstrate achievement of the element</w:t>
            </w:r>
            <w:r w:rsidRPr="001079F7">
              <w:t>. Assessment of performance is to be consistent with the Evidence Guide.</w:t>
            </w:r>
          </w:p>
        </w:tc>
      </w:tr>
    </w:tbl>
    <w:p w:rsidR="00000000" w:rsidRPr="001079F7" w:rsidP="001079F7">
      <w:pPr>
        <w:pStyle w:val="BodyText"/>
      </w:pPr>
    </w:p>
    <w:p w:rsidR="00000000" w:rsidRPr="001079F7" w:rsidP="001079F7">
      <w:pPr>
        <w:pStyle w:val="AllowPageBreak"/>
      </w:pPr>
    </w:p>
    <w:p w:rsidR="00000000" w:rsidRPr="001079F7" w:rsidP="001079F7">
      <w:pPr>
        <w:pStyle w:val="Heading1"/>
      </w:pPr>
      <w:bookmarkStart w:id="8" w:name="O_462608"/>
      <w:bookmarkEnd w:id="8"/>
      <w:r w:rsidRPr="001079F7">
        <w:t>Elements and Performance Criteria</w:t>
      </w:r>
    </w:p>
    <w:tbl>
      <w:tblPr>
        <w:tblW w:w="0" w:type="auto"/>
        <w:tblLayout w:type="fixed"/>
        <w:tblCellMar>
          <w:left w:w="62" w:type="dxa"/>
          <w:right w:w="62" w:type="dxa"/>
        </w:tblCellMar>
        <w:tblLook w:val="0000"/>
      </w:tblPr>
      <w:tblGrid>
        <w:gridCol w:w="406"/>
        <w:gridCol w:w="2294"/>
        <w:gridCol w:w="825"/>
        <w:gridCol w:w="4935"/>
      </w:tblGrid>
      <w:tr w:rsidTr="00D2790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PERFORMANCE CRITERIA</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w:t>
            </w:r>
          </w:p>
        </w:tc>
        <w:tc>
          <w:tcPr>
            <w:tcW w:w="2294"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Prepare for the installation and maintenance of public lighting systems</w:t>
            </w: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1.1</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Works schedule(s), including drawings, plans, requirements, established procedures, and material lists, are received, analysed and confirmed, if necessary, by site inspection.</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1.2</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Relevant requirements and established procedures for the work are communi</w:t>
            </w:r>
            <w:r w:rsidRPr="001079F7">
              <w:t>cated to all personnel and identified for all work sites.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1.3</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 xml:space="preserve">OHS policies and procedures related to requirements and established procedures for the installation and maintenance of public lighting systems </w:t>
            </w:r>
            <w:r w:rsidRPr="001079F7">
              <w:t>are obtained and confirmed for the purposes of the work to be performed and communicated.</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1.4</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Work is prioritised and sequenced following consultation with others for completion within acceptable timeframes and in accordance with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1.5</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Hazards are identified, OHS risks assessed and control measures are prioritised, implemented and monitored including emergency exits kept clear according to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1.6</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Relevant work permits are obtained to access and perform wor</w:t>
            </w:r>
            <w:r w:rsidRPr="001079F7">
              <w:t>k according to requirements and/or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1.7</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Resources including personnel, equipment, tools and personal protective equipment required for the job are obtained and confirmed in working order.</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1.8</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Relevant personnel at worksite are confirmed current in First Aid, Pole Top Rescue and other related work procedures according to requirements.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1.9</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Liaison and communication issues with other/authorised personnel, authorities, clients and land owners ar</w:t>
            </w:r>
            <w:r w:rsidRPr="001079F7">
              <w:t>e resolved to carry out work where necessary.</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1.10</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Site is prepared according to the work schedule and to minimise risk and damage to property, commerce, and individuals in accordance with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1.11</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Personnel participating in the w</w:t>
            </w:r>
            <w:r w:rsidRPr="001079F7">
              <w:t>ork, including plant operators and contractors, are fully briefed and respective responsibilities confirmed where applicable in accordance with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1.12</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Traffic management plan is identified and implemented.</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w:t>
            </w:r>
          </w:p>
        </w:tc>
        <w:tc>
          <w:tcPr>
            <w:tcW w:w="2294"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Carry out installation and maintenance of public lighting systems</w:t>
            </w: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2.1</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OHS, sustainable energy and environmental principles and practices to reduce the incidents of accidents and minimise waste are monitored and followed in accordance with requirements and/</w:t>
            </w:r>
            <w:r w:rsidRPr="001079F7">
              <w:t>or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2.2</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Lifting, climbing, working in confined spaces and aloft, and use of power tools/equipment, techniques and practices are safely followed and, currency according to requirements confirmed.</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2.3</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Essential knowledge and asso</w:t>
            </w:r>
            <w:r w:rsidRPr="001079F7">
              <w:t>ciated skills are applied in the safe installation and maintenance of public lighting systems to ensure completion in an agreed timeframe and, to quality standards with a minimum of waste according to requirements.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2.4</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Excavation/foundation construction is inspected, and confirmed as being in accordance with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2.5</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Associated hardware, fittings and control gear are installed as per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2.6</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Earthing system and street lighting</w:t>
            </w:r>
            <w:r w:rsidRPr="001079F7">
              <w:t xml:space="preserve"> circuit is installed as per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2.7</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Inspection of public lighting and associated hardware is conducted to ascertain that it conforms to requirements/established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2.8</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 xml:space="preserve">Maintenance, including repair and/or replacement of </w:t>
            </w:r>
            <w:r w:rsidRPr="001079F7">
              <w:t>the public lighting system is carried out, in accordance with the work schedule and requirements/established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2.9</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Hazard warnings and safety signs are recognised and hazards and assessed OHS risks are reported to the immediate authorised persons for directions according to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2.10</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Unplanned events in the installation and maintenance of public l</w:t>
            </w:r>
            <w:r w:rsidRPr="001079F7">
              <w:t>ighting systems are undertaken within the scope of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2.11</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Known solutions to a variety of problems are applied using acquired essential knowledge and associated skills.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2.12</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Ongoing checks of quality of the work are undertaken i</w:t>
            </w:r>
            <w:r w:rsidRPr="001079F7">
              <w:t>n accordance with instructions and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3</w:t>
            </w:r>
          </w:p>
        </w:tc>
        <w:tc>
          <w:tcPr>
            <w:tcW w:w="2294" w:type="dxa"/>
            <w:vMerge w:val="restart"/>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Complete the installation and maintenance of public lighting systems</w:t>
            </w: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3.1</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Work undertaken is checked against works schedule for conformance with requirements and anomalies reported in accordance with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3.2</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Accidents and/or injuries are reported in accordance with requirements/established procedures, where</w:t>
            </w:r>
            <w:r w:rsidRPr="001079F7">
              <w:t xml:space="preserve"> applicable.</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3.3</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Work site is rehabilitated, cleaned up and made safe in accordance with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3.4</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Tools, equipment and any surplus resources and materials are, where appropriate, cleaned, checked and returned to storage or disposed of in accordance with established procedures.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3.5</w:t>
            </w:r>
          </w:p>
        </w:tc>
        <w:tc>
          <w:tcPr>
            <w:tcW w:w="493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Relevant work permit(s) are signed off and, the public lighting syste</w:t>
            </w:r>
            <w:r w:rsidRPr="001079F7">
              <w:t>m is returned to service in accordance with requirements.</w:t>
            </w:r>
          </w:p>
        </w:tc>
      </w:tr>
      <w:tr w:rsidTr="00D2790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t>3.6</w:t>
            </w:r>
          </w:p>
        </w:tc>
        <w:tc>
          <w:tcPr>
            <w:tcW w:w="4935"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Works completion records, reports, as installed /modified drawing and/or documentation and information are finalised and processed and appropriate personnel notified.</w:t>
            </w:r>
          </w:p>
        </w:tc>
      </w:tr>
    </w:tbl>
    <w:p w:rsidR="00000000" w:rsidRPr="001079F7" w:rsidP="001079F7">
      <w:pPr>
        <w:pStyle w:val="BodyText"/>
      </w:pPr>
    </w:p>
    <w:p w:rsidR="00000000" w:rsidRPr="001079F7" w:rsidP="001079F7">
      <w:pPr>
        <w:pStyle w:val="AllowPageBreak"/>
      </w:pPr>
    </w:p>
    <w:p w:rsidR="00000000" w:rsidRPr="001079F7" w:rsidP="001079F7">
      <w:pPr>
        <w:pStyle w:val="Heading1"/>
      </w:pPr>
      <w:bookmarkStart w:id="9" w:name="O_462616"/>
      <w:bookmarkEnd w:id="9"/>
      <w:r w:rsidRPr="001079F7">
        <w:t>Requi</w:t>
      </w:r>
      <w:r w:rsidRPr="001079F7">
        <w:t>red Skills and Knowledge</w:t>
      </w:r>
    </w:p>
    <w:tbl>
      <w:tblPr>
        <w:tblW w:w="0" w:type="auto"/>
        <w:tblLayout w:type="fixed"/>
        <w:tblCellMar>
          <w:left w:w="62" w:type="dxa"/>
          <w:right w:w="62" w:type="dxa"/>
        </w:tblCellMar>
        <w:tblLook w:val="0000"/>
      </w:tblPr>
      <w:tblGrid>
        <w:gridCol w:w="8460"/>
      </w:tblGrid>
      <w:tr w:rsidTr="00D2790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REQUIRED SKILLS AND KNOWLEDGE</w:t>
            </w:r>
          </w:p>
        </w:tc>
      </w:tr>
      <w:tr w:rsidTr="00D2790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8)</w:t>
            </w:r>
            <w:r w:rsidRPr="001079F7">
              <w:t xml:space="preserve"> Essential Knowledge and Associated Skills (EKAS): This describes the essential skills and knowledge and their level, required for this unit.</w:t>
            </w:r>
          </w:p>
          <w:p w:rsidR="00000000" w:rsidRPr="001079F7" w:rsidP="001079F7">
            <w:pPr>
              <w:pStyle w:val="BodyText"/>
            </w:pPr>
            <w:r w:rsidRPr="001079F7">
              <w:t>Evidence shall show that knowledge has been acquired of installing and maintaining public lighting systems.</w:t>
            </w:r>
          </w:p>
          <w:p w:rsidR="00000000" w:rsidRPr="001079F7" w:rsidP="001079F7">
            <w:pPr>
              <w:pStyle w:val="BodyText"/>
            </w:pPr>
            <w:r w:rsidRPr="001079F7">
              <w:t>All knowledge and skills detailed in this unit should be contextualised to current industry practices and technologies.</w:t>
            </w:r>
          </w:p>
          <w:p w:rsidR="00000000" w:rsidRPr="001079F7" w:rsidP="001079F7">
            <w:pPr>
              <w:pStyle w:val="BodyText"/>
            </w:pPr>
            <w:r w:rsidRPr="001079F7">
              <w:t xml:space="preserve">KS01-TIS53A </w:t>
            </w:r>
            <w:r w:rsidRPr="001079F7">
              <w:tab/>
              <w:t>Installation an</w:t>
            </w:r>
            <w:r w:rsidRPr="001079F7">
              <w:t>d maintenance of public lighting</w:t>
            </w:r>
          </w:p>
          <w:p w:rsidR="00000000" w:rsidRPr="001079F7" w:rsidP="001079F7">
            <w:pPr>
              <w:pStyle w:val="BodyText"/>
            </w:pPr>
            <w:r w:rsidRPr="001079F7">
              <w:t>Evidence shall show an understanding of procedures for installation and maintenance on public lighting structures and associated equipment to an extent indicated by the following aspects:</w:t>
            </w:r>
          </w:p>
          <w:p w:rsidR="00000000" w:rsidRPr="001079F7" w:rsidP="001079F7">
            <w:pPr>
              <w:pStyle w:val="BodyText"/>
            </w:pPr>
            <w:r w:rsidRPr="001079F7">
              <w:t>T1</w:t>
            </w:r>
            <w:r w:rsidRPr="001079F7">
              <w:tab/>
              <w:t>Standards, codes, legislation, s</w:t>
            </w:r>
            <w:r w:rsidRPr="001079F7">
              <w:t xml:space="preserve">upply authority regulations, local government and or enterprise requirements pertaining to the installation and maintenance of public lighting systems and associated equipment </w:t>
            </w:r>
          </w:p>
          <w:p w:rsidR="00000000" w:rsidRPr="001079F7" w:rsidP="001079F7">
            <w:pPr>
              <w:pStyle w:val="BodyText"/>
            </w:pPr>
            <w:r w:rsidRPr="001079F7">
              <w:t>T2</w:t>
            </w:r>
            <w:r w:rsidRPr="001079F7">
              <w:tab/>
              <w:t>Requirements for the use of enterprise construction manuals, system diagrams</w:t>
            </w:r>
            <w:r w:rsidRPr="001079F7">
              <w:t xml:space="preserve">/plans and drawings, encompassing: </w:t>
            </w:r>
          </w:p>
          <w:p w:rsidR="00000000" w:rsidRPr="001079F7" w:rsidP="001079F7">
            <w:pPr>
              <w:pStyle w:val="ListBullet"/>
            </w:pPr>
            <w:r w:rsidRPr="001079F7">
              <w:t xml:space="preserve">Street lighting circuits </w:t>
            </w:r>
          </w:p>
          <w:p w:rsidR="00000000" w:rsidRPr="001079F7" w:rsidP="001079F7">
            <w:pPr>
              <w:pStyle w:val="ListBullet"/>
            </w:pPr>
            <w:r w:rsidRPr="001079F7">
              <w:t xml:space="preserve">Earthing system </w:t>
            </w:r>
          </w:p>
          <w:p w:rsidR="00000000" w:rsidRPr="001079F7" w:rsidP="001079F7">
            <w:pPr>
              <w:pStyle w:val="BodyText"/>
            </w:pPr>
            <w:r w:rsidRPr="001079F7">
              <w:t>T3</w:t>
            </w:r>
            <w:r w:rsidRPr="001079F7">
              <w:tab/>
              <w:t xml:space="preserve">Types of tools and equipment used for installation and maintenance </w:t>
            </w:r>
          </w:p>
          <w:p w:rsidR="00000000" w:rsidRPr="001079F7" w:rsidP="001079F7">
            <w:pPr>
              <w:pStyle w:val="BodyText"/>
            </w:pPr>
            <w:r w:rsidRPr="001079F7">
              <w:t>T4</w:t>
            </w:r>
            <w:r w:rsidRPr="001079F7">
              <w:tab/>
              <w:t>Types and function of lanterns/luminaires/lamps, control equipment, poles and associated hardware used</w:t>
            </w:r>
            <w:r w:rsidRPr="001079F7">
              <w:t xml:space="preserve"> for street lighting </w:t>
            </w:r>
          </w:p>
          <w:p w:rsidR="00000000" w:rsidRPr="001079F7" w:rsidP="001079F7">
            <w:pPr>
              <w:pStyle w:val="ListBullet"/>
            </w:pPr>
            <w:r w:rsidRPr="001079F7">
              <w:t xml:space="preserve">Note: Examples include hp mercury vapour, LP and HP sodium vapour, fluorescent, quartz-halogen, wood, concrete, steel, composite, choke boxes, photo-electric cells, time switches, contactor boxes </w:t>
            </w:r>
          </w:p>
          <w:p w:rsidR="00000000" w:rsidRPr="001079F7" w:rsidP="001079F7">
            <w:pPr>
              <w:pStyle w:val="BodyText"/>
            </w:pPr>
            <w:r w:rsidRPr="001079F7">
              <w:t>T5</w:t>
            </w:r>
            <w:r w:rsidRPr="001079F7">
              <w:tab/>
              <w:t>Types of lighting systems encompa</w:t>
            </w:r>
            <w:r w:rsidRPr="001079F7">
              <w:t xml:space="preserve">ssing: </w:t>
            </w:r>
          </w:p>
          <w:p w:rsidR="00000000" w:rsidRPr="001079F7" w:rsidP="001079F7">
            <w:pPr>
              <w:pStyle w:val="ListBullet"/>
            </w:pPr>
            <w:r w:rsidRPr="001079F7">
              <w:t xml:space="preserve">Overhead and underground street lighting systems </w:t>
            </w:r>
          </w:p>
          <w:p w:rsidR="00000000" w:rsidRPr="001079F7" w:rsidP="001079F7">
            <w:pPr>
              <w:pStyle w:val="ListBullet"/>
            </w:pPr>
            <w:r w:rsidRPr="001079F7">
              <w:t xml:space="preserve">Controlling and switching of lighting systems </w:t>
            </w:r>
          </w:p>
          <w:p w:rsidR="00000000" w:rsidRPr="001079F7" w:rsidP="001079F7">
            <w:pPr>
              <w:pStyle w:val="BodyText"/>
            </w:pPr>
            <w:r w:rsidRPr="001079F7">
              <w:t>T6</w:t>
            </w:r>
            <w:r w:rsidRPr="001079F7">
              <w:tab/>
              <w:t xml:space="preserve">Techniques for the installation of street lighting systems </w:t>
            </w:r>
          </w:p>
          <w:p w:rsidR="00000000" w:rsidRPr="001079F7" w:rsidP="001079F7">
            <w:pPr>
              <w:pStyle w:val="BodyText"/>
            </w:pPr>
            <w:r w:rsidRPr="001079F7">
              <w:t>T7</w:t>
            </w:r>
            <w:r w:rsidRPr="001079F7">
              <w:tab/>
              <w:t xml:space="preserve">Techniques for the maintenance of street lighting systems </w:t>
            </w:r>
          </w:p>
          <w:p w:rsidR="00000000" w:rsidRPr="001079F7" w:rsidP="001079F7">
            <w:pPr>
              <w:pStyle w:val="ListBullet"/>
            </w:pPr>
            <w:r w:rsidRPr="001079F7">
              <w:t xml:space="preserve">Note: Examples include diagnosing of faults, removing, repairing, replacement and cleaning of public lighting and associated hardware </w:t>
            </w:r>
          </w:p>
          <w:p w:rsidR="00000000" w:rsidRPr="001079F7" w:rsidP="001079F7">
            <w:pPr>
              <w:pStyle w:val="BodyText"/>
            </w:pPr>
            <w:r w:rsidRPr="001079F7">
              <w:t>T8</w:t>
            </w:r>
            <w:r w:rsidRPr="001079F7">
              <w:tab/>
              <w:t xml:space="preserve">Application of specific testing equipment </w:t>
            </w:r>
          </w:p>
          <w:p w:rsidR="00000000" w:rsidRPr="001079F7" w:rsidP="001079F7">
            <w:pPr>
              <w:pStyle w:val="ListBullet"/>
            </w:pPr>
            <w:r w:rsidRPr="001079F7">
              <w:t>Note: Examples include voltage detectors, insulation resistance testers, c</w:t>
            </w:r>
            <w:r w:rsidRPr="001079F7">
              <w:t xml:space="preserve">lamp-on ammeters, continuity testers, fault indictors </w:t>
            </w:r>
          </w:p>
          <w:p w:rsidR="00000000" w:rsidRPr="001079F7" w:rsidP="001079F7">
            <w:pPr>
              <w:pStyle w:val="BodyText"/>
            </w:pPr>
            <w:r w:rsidRPr="001079F7">
              <w:t>T9</w:t>
            </w:r>
            <w:r w:rsidRPr="001079F7">
              <w:tab/>
              <w:t xml:space="preserve">Techniques for the inspection, testing and commissioning of street lighting systems </w:t>
            </w:r>
          </w:p>
        </w:tc>
      </w:tr>
    </w:tbl>
    <w:p w:rsidR="00000000" w:rsidRPr="001079F7" w:rsidP="001079F7">
      <w:pPr>
        <w:pStyle w:val="BodyText"/>
      </w:pPr>
    </w:p>
    <w:p w:rsidR="00000000" w:rsidRPr="001079F7" w:rsidP="001079F7">
      <w:pPr>
        <w:pStyle w:val="AllowPageBreak"/>
      </w:pPr>
    </w:p>
    <w:p w:rsidR="00000000" w:rsidRPr="001079F7" w:rsidP="001079F7">
      <w:pPr>
        <w:pStyle w:val="Heading1"/>
      </w:pPr>
      <w:bookmarkStart w:id="10" w:name="O_462611"/>
      <w:bookmarkEnd w:id="10"/>
      <w:r w:rsidRPr="001079F7">
        <w:t>Evidence Guide</w:t>
      </w:r>
    </w:p>
    <w:tbl>
      <w:tblPr>
        <w:tblW w:w="0" w:type="auto"/>
        <w:tblLayout w:type="fixed"/>
        <w:tblCellMar>
          <w:left w:w="62" w:type="dxa"/>
          <w:right w:w="62" w:type="dxa"/>
        </w:tblCellMar>
        <w:tblLook w:val="0000"/>
      </w:tblPr>
      <w:tblGrid>
        <w:gridCol w:w="8460"/>
      </w:tblGrid>
      <w:tr w:rsidTr="00D2790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EVIDENCE GUIDE</w:t>
            </w:r>
          </w:p>
        </w:tc>
      </w:tr>
      <w:tr w:rsidTr="00D2790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9)</w:t>
            </w:r>
            <w:r w:rsidRPr="001079F7">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1079F7" w:rsidP="001079F7">
            <w:pPr>
              <w:pStyle w:val="BodyText"/>
            </w:pPr>
            <w:r w:rsidRPr="001079F7">
              <w:t>The Evidence Guide form</w:t>
            </w:r>
            <w:r w:rsidRPr="001079F7">
              <w:t>s an integral part of this Competency Standard Unit and shall be used in conjunction with all component parts of this unit and, performed in accordance with the Assessment Guidelines of this Training Package.</w:t>
            </w:r>
          </w:p>
        </w:tc>
      </w:tr>
    </w:tbl>
    <w:p w:rsidR="00000000" w:rsidRPr="001079F7" w:rsidP="001079F7">
      <w:pPr>
        <w:pStyle w:val="BodyText"/>
      </w:pPr>
    </w:p>
    <w:tbl>
      <w:tblPr>
        <w:tblW w:w="0" w:type="auto"/>
        <w:tblLayout w:type="fixed"/>
        <w:tblCellMar>
          <w:left w:w="62" w:type="dxa"/>
          <w:right w:w="62" w:type="dxa"/>
        </w:tblCellMar>
        <w:tblLook w:val="0000"/>
      </w:tblPr>
      <w:tblGrid>
        <w:gridCol w:w="1890"/>
        <w:gridCol w:w="6570"/>
      </w:tblGrid>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9.1)</w:t>
            </w:r>
          </w:p>
        </w:tc>
      </w:tr>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Longitudinal co</w:t>
            </w:r>
            <w:r w:rsidRPr="001079F7">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1079F7">
              <w:t>It is the Industry’s preferred model for apprenticeships. However, where summative (or final) assessment is used it is to include the application of the competency in the normal work environment or, at a minimum, the application of the competency in a real</w:t>
            </w:r>
            <w:r w:rsidRPr="001079F7">
              <w:t>istically simulated work environment. It is recognised that, in some circumstances, assessment in part or full can occur outside the workplace. However, it must be in accord with Industry and, Regulatory policy in this regard.</w:t>
            </w:r>
          </w:p>
          <w:p w:rsidR="00000000" w:rsidRPr="001079F7" w:rsidP="001079F7">
            <w:pPr>
              <w:pStyle w:val="BodyText"/>
            </w:pPr>
            <w:r w:rsidRPr="001079F7">
              <w:t>Methods chosen for a particul</w:t>
            </w:r>
            <w:r w:rsidRPr="001079F7">
              <w:t>ar assessment will be influenced by various factors. These include the extent of the assessment, the most effective locations for the assessment activities to take place, access to physical resources, additional safety measures that may be required and the</w:t>
            </w:r>
            <w:r w:rsidRPr="001079F7">
              <w:t xml:space="preserve"> critical nature of the competencies being assessed.</w:t>
            </w:r>
          </w:p>
          <w:p w:rsidR="00000000" w:rsidRPr="001079F7" w:rsidP="001079F7">
            <w:pPr>
              <w:pStyle w:val="BodyText"/>
            </w:pPr>
            <w:r w:rsidRPr="001079F7">
              <w:t xml:space="preserve">The critical safety nature of working with electricity, electrical equipment, gas or any other hazardous substance/material carries risk in deeming a person competent. Hence, sources of evidence need to </w:t>
            </w:r>
            <w:r w:rsidRPr="001079F7">
              <w:t>be ‘rich’ in nature so as to minimise error in judgment.</w:t>
            </w:r>
          </w:p>
          <w:p w:rsidR="00000000" w:rsidRPr="001079F7" w:rsidP="001079F7">
            <w:pPr>
              <w:pStyle w:val="BodyText"/>
            </w:pPr>
            <w:r w:rsidRPr="001079F7">
              <w:t>Activities associated with normal every day work have a bearing on the decision as to how much and how detailed the data gathered will contribute to its ‘richness’</w:t>
            </w:r>
            <w:r w:rsidRPr="001079F7">
              <w:t>. Some skills are more critical to safety and operational requirements while the same skills may be more or less frequently practiced. These points are raised for the assessors to consider when choosing an assessment method and developing assessment instru</w:t>
            </w:r>
            <w:r w:rsidRPr="001079F7">
              <w:t>ments. Sample assessment instruments are included for Assessors in the Assessment Guidelines of this Training Package.</w:t>
            </w:r>
          </w:p>
        </w:tc>
      </w:tr>
    </w:tbl>
    <w:p w:rsidR="00000000" w:rsidRPr="001079F7" w:rsidP="001079F7">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9.2)</w:t>
            </w:r>
          </w:p>
        </w:tc>
      </w:tr>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Before the critical aspects of evidence are cons</w:t>
            </w:r>
            <w:r w:rsidRPr="001079F7">
              <w:t>idered all prerequisites shall be met.</w:t>
            </w:r>
          </w:p>
          <w:p w:rsidR="00000000" w:rsidRPr="001079F7" w:rsidP="001079F7">
            <w:pPr>
              <w:pStyle w:val="BodyText"/>
            </w:pPr>
            <w:r w:rsidRPr="001079F7">
              <w:t>Evidence for competence in this unit shall be considered holistically. Each element and associated Performance Criteria shall be demonstrated on at least two occasions in accordance with the “Assessment Guidelines – U</w:t>
            </w:r>
            <w:r w:rsidRPr="001079F7">
              <w:t>ET12”. Evidence shall also comprise:</w:t>
            </w:r>
          </w:p>
          <w:p w:rsidR="00000000" w:rsidRPr="001079F7" w:rsidP="001079F7">
            <w:pPr>
              <w:pStyle w:val="ListBullet"/>
            </w:pPr>
            <w:r w:rsidRPr="001079F7">
              <w:t xml:space="preserve">A representative body of Performance Criteria demonstrated within the timeframes typically expected of the discipline, work function and industrial environment. In particular this shall incorporate evidence that shows </w:t>
            </w:r>
            <w:r w:rsidRPr="001079F7">
              <w:t>a candidate is able to:</w:t>
            </w:r>
          </w:p>
          <w:p w:rsidR="00000000" w:rsidRPr="001079F7" w:rsidP="001079F7">
            <w:pPr>
              <w:pStyle w:val="ListBullet2"/>
            </w:pPr>
            <w:r w:rsidRPr="001079F7">
              <w:t>Implement Occupational Health and Safety workplace procedures and practices including the use of risk control measures as specified in the Performance Criteria and range; and</w:t>
            </w:r>
          </w:p>
          <w:p w:rsidR="00000000" w:rsidRPr="001079F7" w:rsidP="001079F7">
            <w:pPr>
              <w:pStyle w:val="ListBullet2"/>
            </w:pPr>
            <w:r w:rsidRPr="001079F7">
              <w:t>Apply sustainable energy principles and practices as specified in the Performance Criteria and range; and</w:t>
            </w:r>
          </w:p>
          <w:p w:rsidR="00000000" w:rsidRPr="001079F7" w:rsidP="001079F7">
            <w:pPr>
              <w:pStyle w:val="ListBullet2"/>
            </w:pPr>
            <w:r w:rsidRPr="001079F7">
              <w:t>Demonstrate an understanding of the essential knowledge and associated skills as described in this unit to such an extent that the learner’s performan</w:t>
            </w:r>
            <w:r w:rsidRPr="001079F7">
              <w:t>ce outcome is reported in accordance with the preferred approach; namely a percentile graded result, where required by the regulated environment; and</w:t>
            </w:r>
          </w:p>
          <w:p w:rsidR="00000000" w:rsidRPr="001079F7" w:rsidP="001079F7">
            <w:pPr>
              <w:pStyle w:val="ListBullet2"/>
            </w:pPr>
            <w:r w:rsidRPr="001079F7">
              <w:t>Demonstrate an appropriate level of employability skills; and</w:t>
            </w:r>
          </w:p>
          <w:p w:rsidR="00000000" w:rsidRPr="001079F7" w:rsidP="001079F7">
            <w:pPr>
              <w:pStyle w:val="ListBullet"/>
            </w:pPr>
            <w:r w:rsidRPr="001079F7">
              <w:t>Conduct work observing the relevant Anti Di</w:t>
            </w:r>
            <w:r w:rsidRPr="001079F7">
              <w:t>scrimination legislation, regulations, policies and workplace procedures; and</w:t>
            </w:r>
          </w:p>
          <w:p w:rsidR="00000000" w:rsidP="001079F7">
            <w:pPr>
              <w:pStyle w:val="ListBullet2"/>
              <w:rPr>
                <w:lang w:val="en-NZ"/>
              </w:rPr>
            </w:pPr>
            <w:r w:rsidRPr="001079F7">
              <w:t>Demonstrated performance across a representative range of contexts from the prescribed items below:</w:t>
            </w:r>
          </w:p>
        </w:tc>
      </w:tr>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079F7">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9F7">
            <w:pPr>
              <w:pStyle w:val="BodyText"/>
              <w:rPr>
                <w:lang w:val="en-NZ"/>
              </w:rPr>
            </w:pPr>
            <w:r w:rsidRPr="001079F7">
              <w:rPr>
                <w:rStyle w:val="SpecialBold"/>
              </w:rPr>
              <w:t>Range of tools/equipment/materials/procedures/workplaces/other variables</w:t>
            </w:r>
          </w:p>
        </w:tc>
      </w:tr>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079F7">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9F7" w:rsidP="001079F7">
            <w:pPr>
              <w:pStyle w:val="BodyText"/>
            </w:pPr>
            <w:r w:rsidRPr="001079F7">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9F7" w:rsidP="001079F7">
            <w:pPr>
              <w:pStyle w:val="BodyText"/>
            </w:pPr>
            <w:r w:rsidRPr="001079F7">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9F7">
            <w:pPr>
              <w:pStyle w:val="BodyText"/>
              <w:rPr>
                <w:lang w:val="en-NZ"/>
              </w:rPr>
            </w:pPr>
            <w:r w:rsidRPr="001079F7">
              <w:rPr>
                <w:rStyle w:val="SpecialBold"/>
              </w:rPr>
              <w:t>Item List</w:t>
            </w:r>
          </w:p>
        </w:tc>
      </w:tr>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9F7">
            <w:pPr>
              <w:pStyle w:val="BodyText"/>
              <w:rPr>
                <w:lang w:val="en-NZ"/>
              </w:rPr>
            </w:pPr>
            <w:r w:rsidRPr="001079F7">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9F7">
            <w:pPr>
              <w:pStyle w:val="BodyText"/>
              <w:rPr>
                <w:lang w:val="en-NZ"/>
              </w:rPr>
            </w:pPr>
            <w:r w:rsidRPr="001079F7">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9F7" w:rsidP="001079F7">
            <w:pPr>
              <w:pStyle w:val="BodyText"/>
            </w:pPr>
            <w:r w:rsidRPr="001079F7">
              <w:t>Wood</w:t>
            </w:r>
          </w:p>
          <w:p w:rsidR="00000000" w:rsidRPr="001079F7" w:rsidP="001079F7">
            <w:pPr>
              <w:pStyle w:val="BodyText"/>
            </w:pPr>
            <w:r w:rsidRPr="001079F7">
              <w:t>Concrete</w:t>
            </w:r>
          </w:p>
          <w:p w:rsidR="00000000" w:rsidRPr="001079F7" w:rsidP="001079F7">
            <w:pPr>
              <w:pStyle w:val="BodyText"/>
            </w:pPr>
            <w:r w:rsidRPr="001079F7">
              <w:t>Steel</w:t>
            </w:r>
          </w:p>
          <w:p w:rsidR="00000000" w:rsidP="001079F7">
            <w:pPr>
              <w:pStyle w:val="BodyText"/>
              <w:rPr>
                <w:lang w:val="en-NZ"/>
              </w:rPr>
            </w:pPr>
            <w:r w:rsidRPr="001079F7">
              <w:t>Composite</w:t>
            </w:r>
          </w:p>
        </w:tc>
      </w:tr>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9F7">
            <w:pPr>
              <w:pStyle w:val="BodyText"/>
              <w:rPr>
                <w:lang w:val="en-NZ"/>
              </w:rPr>
            </w:pPr>
            <w:r w:rsidRPr="001079F7">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9F7">
            <w:pPr>
              <w:pStyle w:val="BodyText"/>
              <w:rPr>
                <w:lang w:val="en-NZ"/>
              </w:rPr>
            </w:pPr>
            <w:r w:rsidRPr="001079F7">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9F7" w:rsidP="001079F7">
            <w:pPr>
              <w:pStyle w:val="BodyText"/>
            </w:pPr>
            <w:r w:rsidRPr="001079F7">
              <w:t>HP mercury vapour,</w:t>
            </w:r>
          </w:p>
          <w:p w:rsidR="00000000" w:rsidRPr="001079F7" w:rsidP="001079F7">
            <w:pPr>
              <w:pStyle w:val="BodyText"/>
            </w:pPr>
            <w:r w:rsidRPr="001079F7">
              <w:t>LP and HP sodium vapour</w:t>
            </w:r>
          </w:p>
          <w:p w:rsidR="00000000" w:rsidRPr="001079F7" w:rsidP="001079F7">
            <w:pPr>
              <w:pStyle w:val="BodyText"/>
            </w:pPr>
            <w:r w:rsidRPr="001079F7">
              <w:t>Fluorescent</w:t>
            </w:r>
          </w:p>
          <w:p w:rsidR="00000000" w:rsidP="001079F7">
            <w:pPr>
              <w:pStyle w:val="BodyText"/>
              <w:rPr>
                <w:lang w:val="en-NZ"/>
              </w:rPr>
            </w:pPr>
            <w:r w:rsidRPr="001079F7">
              <w:t>Quartz-halogen</w:t>
            </w:r>
          </w:p>
        </w:tc>
      </w:tr>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9F7">
            <w:pPr>
              <w:pStyle w:val="BodyText"/>
              <w:rPr>
                <w:lang w:val="en-NZ"/>
              </w:rPr>
            </w:pPr>
            <w:r w:rsidRPr="001079F7">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9F7">
            <w:pPr>
              <w:pStyle w:val="BodyText"/>
              <w:rPr>
                <w:lang w:val="en-NZ"/>
              </w:rPr>
            </w:pPr>
            <w:r w:rsidRPr="001079F7">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9F7" w:rsidP="001079F7">
            <w:pPr>
              <w:pStyle w:val="BodyText"/>
            </w:pPr>
            <w:r w:rsidRPr="001079F7">
              <w:t>Voltage detectors*</w:t>
            </w:r>
          </w:p>
          <w:p w:rsidR="00000000" w:rsidRPr="001079F7" w:rsidP="001079F7">
            <w:pPr>
              <w:pStyle w:val="BodyText"/>
            </w:pPr>
            <w:r w:rsidRPr="001079F7">
              <w:t>Insulation resistance testers</w:t>
            </w:r>
          </w:p>
          <w:p w:rsidR="00000000" w:rsidRPr="001079F7" w:rsidP="001079F7">
            <w:pPr>
              <w:pStyle w:val="BodyText"/>
            </w:pPr>
            <w:r w:rsidRPr="001079F7">
              <w:t>Clamp-on ammeters</w:t>
            </w:r>
          </w:p>
          <w:p w:rsidR="00000000" w:rsidRPr="001079F7" w:rsidP="001079F7">
            <w:pPr>
              <w:pStyle w:val="BodyText"/>
            </w:pPr>
            <w:r w:rsidRPr="001079F7">
              <w:t>Continuity testers</w:t>
            </w:r>
          </w:p>
          <w:p w:rsidR="00000000" w:rsidRPr="001079F7" w:rsidP="001079F7">
            <w:pPr>
              <w:pStyle w:val="BodyText"/>
            </w:pPr>
            <w:r w:rsidRPr="001079F7">
              <w:t xml:space="preserve">Fault indicators </w:t>
            </w:r>
          </w:p>
          <w:p w:rsidR="00000000" w:rsidP="001079F7">
            <w:pPr>
              <w:pStyle w:val="BodyText"/>
              <w:rPr>
                <w:lang w:val="en-NZ"/>
              </w:rPr>
            </w:pPr>
            <w:r w:rsidRPr="001079F7">
              <w:t>(* must use)</w:t>
            </w:r>
          </w:p>
        </w:tc>
      </w:tr>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9F7">
            <w:pPr>
              <w:pStyle w:val="BodyText"/>
              <w:rPr>
                <w:lang w:val="en-NZ"/>
              </w:rPr>
            </w:pPr>
            <w:r w:rsidRPr="001079F7">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9F7">
            <w:pPr>
              <w:pStyle w:val="BodyText"/>
              <w:rPr>
                <w:lang w:val="en-NZ"/>
              </w:rPr>
            </w:pPr>
            <w:r w:rsidRPr="001079F7">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9F7" w:rsidP="001079F7">
            <w:pPr>
              <w:pStyle w:val="BodyText"/>
            </w:pPr>
            <w:r w:rsidRPr="001079F7">
              <w:t>Dealing with an unplanned event by drawing on essential knowledge and associated skills to provide appropriate solutions incorporated in the holistic assessment with the above listed items.</w:t>
            </w:r>
          </w:p>
        </w:tc>
      </w:tr>
    </w:tbl>
    <w:p w:rsidR="00000000" w:rsidRPr="001079F7" w:rsidP="001079F7">
      <w:pPr>
        <w:pStyle w:val="BodyText"/>
      </w:pPr>
    </w:p>
    <w:tbl>
      <w:tblPr>
        <w:tblW w:w="0" w:type="auto"/>
        <w:tblLayout w:type="fixed"/>
        <w:tblCellMar>
          <w:left w:w="62" w:type="dxa"/>
          <w:right w:w="62" w:type="dxa"/>
        </w:tblCellMar>
        <w:tblLook w:val="0000"/>
      </w:tblPr>
      <w:tblGrid>
        <w:gridCol w:w="1890"/>
        <w:gridCol w:w="6570"/>
      </w:tblGrid>
      <w:tr w:rsidTr="00D2790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Context of and specific resources for</w:t>
            </w:r>
            <w:r w:rsidRPr="001079F7">
              <w:rPr>
                <w:rStyle w:val="SpecialBold"/>
              </w:rPr>
              <w:t xml:space="preserve"> assessment</w:t>
            </w:r>
          </w:p>
        </w:tc>
        <w:tc>
          <w:tcPr>
            <w:tcW w:w="657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9.3)</w:t>
            </w:r>
          </w:p>
        </w:tc>
      </w:tr>
      <w:tr w:rsidTr="00D2790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This unit should be assessed as it relates to normal work practice using procedures, information and resources typical of a workplace. This should include:</w:t>
            </w:r>
          </w:p>
          <w:p w:rsidR="00000000" w:rsidRPr="001079F7" w:rsidP="001079F7">
            <w:pPr>
              <w:pStyle w:val="ListBullet"/>
            </w:pPr>
            <w:r w:rsidRPr="001079F7">
              <w:t>OHS policy and work procedures and instructions.</w:t>
            </w:r>
          </w:p>
          <w:p w:rsidR="00000000" w:rsidRPr="001079F7" w:rsidP="001079F7">
            <w:pPr>
              <w:pStyle w:val="ListBullet"/>
            </w:pPr>
            <w:r w:rsidRPr="001079F7">
              <w:t xml:space="preserve">Suitable work environment, facilities, equipment and materials to undertake actual installation and maintenance of public lighting systems. </w:t>
            </w:r>
          </w:p>
          <w:p w:rsidR="00000000" w:rsidRPr="001079F7" w:rsidP="001079F7">
            <w:pPr>
              <w:pStyle w:val="BodyText"/>
            </w:pPr>
            <w:r w:rsidRPr="001079F7">
              <w:t>In addition to the resources listed above, in Context of and specific resources for assessment, evidence should sho</w:t>
            </w:r>
            <w:r w:rsidRPr="001079F7">
              <w:t>w demonstrated competency working below ground, in limited spaces, with different structural/construction types and method and in a variety of environments.</w:t>
            </w:r>
          </w:p>
        </w:tc>
      </w:tr>
    </w:tbl>
    <w:p w:rsidR="00000000" w:rsidRPr="001079F7" w:rsidP="001079F7">
      <w:pPr>
        <w:pStyle w:val="BodyText"/>
      </w:pPr>
    </w:p>
    <w:tbl>
      <w:tblPr>
        <w:tblW w:w="0" w:type="auto"/>
        <w:tblLayout w:type="fixed"/>
        <w:tblCellMar>
          <w:left w:w="62" w:type="dxa"/>
          <w:right w:w="62" w:type="dxa"/>
        </w:tblCellMar>
        <w:tblLook w:val="0000"/>
      </w:tblPr>
      <w:tblGrid>
        <w:gridCol w:w="1890"/>
        <w:gridCol w:w="6570"/>
      </w:tblGrid>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9.4)</w:t>
            </w:r>
          </w:p>
        </w:tc>
      </w:tr>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This Competency Standard Unit shall be assessed by methods given in Volume 1, Part 3 “Assessment Guidelines”.</w:t>
            </w:r>
          </w:p>
          <w:p w:rsidR="00000000" w:rsidRPr="001079F7" w:rsidP="001079F7">
            <w:pPr>
              <w:pStyle w:val="BodyText"/>
            </w:pPr>
            <w:r w:rsidRPr="001079F7">
              <w:t>Note:</w:t>
            </w:r>
          </w:p>
          <w:p w:rsidR="00000000" w:rsidRPr="001079F7" w:rsidP="001079F7">
            <w:pPr>
              <w:pStyle w:val="BodyText"/>
            </w:pPr>
            <w:r w:rsidRPr="001079F7">
              <w:t xml:space="preserve">Competent performance with inherent safe working practices is expected in the Industry to which this Competency Standard Unit applies. This </w:t>
            </w:r>
            <w:r w:rsidRPr="001079F7">
              <w:t>requires that the specified essential knowledge and associated skills are assessed in a structured environment which is primarily intended for learning/assessment and incorporates all necessary equipment and facilities for learners to develop and demonstra</w:t>
            </w:r>
            <w:r w:rsidRPr="001079F7">
              <w:t>te the essential knowledge and associated skills described in this unit.</w:t>
            </w:r>
          </w:p>
        </w:tc>
      </w:tr>
    </w:tbl>
    <w:p w:rsidR="00000000" w:rsidRPr="001079F7" w:rsidP="001079F7">
      <w:pPr>
        <w:pStyle w:val="BodyText"/>
      </w:pPr>
    </w:p>
    <w:tbl>
      <w:tblPr>
        <w:tblW w:w="0" w:type="auto"/>
        <w:tblLayout w:type="fixed"/>
        <w:tblCellMar>
          <w:left w:w="62" w:type="dxa"/>
          <w:right w:w="62" w:type="dxa"/>
        </w:tblCellMar>
        <w:tblLook w:val="0000"/>
      </w:tblPr>
      <w:tblGrid>
        <w:gridCol w:w="1890"/>
        <w:gridCol w:w="6570"/>
      </w:tblGrid>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9.5)</w:t>
            </w:r>
          </w:p>
        </w:tc>
      </w:tr>
      <w:tr w:rsidTr="00D279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There are no concurrent assessment recommendations for this unit.</w:t>
            </w:r>
          </w:p>
        </w:tc>
      </w:tr>
    </w:tbl>
    <w:p w:rsidR="00000000" w:rsidRPr="001079F7" w:rsidP="001079F7">
      <w:pPr>
        <w:pStyle w:val="BodyText"/>
      </w:pPr>
    </w:p>
    <w:p w:rsidR="00000000" w:rsidRPr="001079F7" w:rsidP="001079F7">
      <w:pPr>
        <w:pStyle w:val="AllowPageBreak"/>
      </w:pPr>
    </w:p>
    <w:p w:rsidR="00000000" w:rsidRPr="001079F7" w:rsidP="001079F7">
      <w:pPr>
        <w:pStyle w:val="Heading1"/>
      </w:pPr>
      <w:bookmarkStart w:id="11" w:name="O_462615"/>
      <w:bookmarkEnd w:id="11"/>
      <w:r w:rsidRPr="001079F7">
        <w:t>Range Statement</w:t>
      </w:r>
    </w:p>
    <w:tbl>
      <w:tblPr>
        <w:tblW w:w="0" w:type="auto"/>
        <w:tblLayout w:type="fixed"/>
        <w:tblCellMar>
          <w:left w:w="62" w:type="dxa"/>
          <w:right w:w="62" w:type="dxa"/>
        </w:tblCellMar>
        <w:tblLook w:val="0000"/>
      </w:tblPr>
      <w:tblGrid>
        <w:gridCol w:w="8460"/>
      </w:tblGrid>
      <w:tr w:rsidTr="00D2790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RANGE STATEMENT</w:t>
            </w:r>
          </w:p>
        </w:tc>
      </w:tr>
      <w:tr w:rsidTr="00D2790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10)</w:t>
            </w:r>
            <w:r w:rsidRPr="001079F7">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1079F7" w:rsidP="001079F7">
            <w:pPr>
              <w:pStyle w:val="BodyText"/>
            </w:pPr>
            <w:r w:rsidRPr="001079F7">
              <w:t>Competency shall be demonst</w:t>
            </w:r>
            <w:r w:rsidRPr="001079F7">
              <w:t xml:space="preserve">rated in relation to the installation, maintenance and repair of public lighting systems, including the inspection, testing and commissioning of the system associated with the street lighting circuit, the associated hardware and the earthing system. </w:t>
            </w:r>
          </w:p>
          <w:p w:rsidR="00000000" w:rsidRPr="001079F7" w:rsidP="001079F7">
            <w:pPr>
              <w:pStyle w:val="BodyText"/>
            </w:pPr>
            <w:r w:rsidRPr="001079F7">
              <w:t>Maint</w:t>
            </w:r>
            <w:r w:rsidRPr="001079F7">
              <w:t>enance may include the removal, repair, replacement and cleaning of public lighting and associated hardware.</w:t>
            </w:r>
          </w:p>
          <w:p w:rsidR="00000000" w:rsidRPr="001079F7" w:rsidP="001079F7">
            <w:pPr>
              <w:pStyle w:val="BodyText"/>
            </w:pPr>
            <w:r w:rsidRPr="001079F7">
              <w:t>Public lighting system may include lanterns/luminaires, lamps or control equipment in overhead and underground reticulated areas, poles and columns</w:t>
            </w:r>
            <w:r w:rsidRPr="001079F7">
              <w:t>.</w:t>
            </w:r>
          </w:p>
          <w:p w:rsidR="00000000" w:rsidRPr="001079F7" w:rsidP="001079F7">
            <w:pPr>
              <w:pStyle w:val="BodyText"/>
            </w:pPr>
            <w:r w:rsidRPr="001079F7">
              <w:t>Associated hardware may include brackets, choke boxes, photo-electric cells, time switches, contactor boxes and appropriate nuts and bolts.</w:t>
            </w:r>
          </w:p>
          <w:p w:rsidR="00000000" w:rsidRPr="001079F7" w:rsidP="001079F7">
            <w:pPr>
              <w:pStyle w:val="BodyText"/>
            </w:pPr>
            <w:r w:rsidRPr="001079F7">
              <w:t>Testing equipment may include LV detectors and fault indicators.</w:t>
            </w:r>
          </w:p>
          <w:p w:rsidR="00000000" w:rsidRPr="001079F7" w:rsidP="001079F7">
            <w:pPr>
              <w:pStyle w:val="BodyText"/>
            </w:pPr>
            <w:r w:rsidRPr="001079F7">
              <w:t>The following constants and variables included in</w:t>
            </w:r>
            <w:r w:rsidRPr="001079F7">
              <w:t xml:space="preserve"> the element/Performance Criteria in this unit are fully described in the Definitions Section 1 of this volume and form an integral part of the Range Statement of this unit:</w:t>
            </w:r>
          </w:p>
          <w:p w:rsidR="00000000" w:rsidRPr="001079F7" w:rsidP="001079F7">
            <w:pPr>
              <w:pStyle w:val="ListBullet3"/>
            </w:pPr>
            <w:r w:rsidRPr="001079F7">
              <w:t>Appropriate and relevant persons (see Personnel)</w:t>
            </w:r>
          </w:p>
          <w:p w:rsidR="00000000" w:rsidRPr="001079F7" w:rsidP="001079F7">
            <w:pPr>
              <w:pStyle w:val="ListBullet3"/>
            </w:pPr>
            <w:r w:rsidRPr="001079F7">
              <w:t xml:space="preserve">Appropriate authorities </w:t>
            </w:r>
          </w:p>
          <w:p w:rsidR="00000000" w:rsidRPr="001079F7" w:rsidP="001079F7">
            <w:pPr>
              <w:pStyle w:val="ListBullet3"/>
            </w:pPr>
            <w:r w:rsidRPr="001079F7">
              <w:t>Appropr</w:t>
            </w:r>
            <w:r w:rsidRPr="001079F7">
              <w:t>iate work platform.</w:t>
            </w:r>
          </w:p>
          <w:p w:rsidR="00000000" w:rsidRPr="001079F7" w:rsidP="001079F7">
            <w:pPr>
              <w:pStyle w:val="ListBullet3"/>
            </w:pPr>
            <w:r w:rsidRPr="001079F7">
              <w:t>Assessing risk</w:t>
            </w:r>
          </w:p>
          <w:p w:rsidR="00000000" w:rsidRPr="001079F7" w:rsidP="001079F7">
            <w:pPr>
              <w:pStyle w:val="ListBullet3"/>
            </w:pPr>
            <w:r w:rsidRPr="001079F7">
              <w:t>Assessment</w:t>
            </w:r>
          </w:p>
          <w:p w:rsidR="00000000" w:rsidRPr="001079F7" w:rsidP="001079F7">
            <w:pPr>
              <w:pStyle w:val="ListBullet3"/>
            </w:pPr>
            <w:r w:rsidRPr="001079F7">
              <w:t>Authorisation</w:t>
            </w:r>
          </w:p>
          <w:p w:rsidR="00000000" w:rsidRPr="001079F7" w:rsidP="001079F7">
            <w:pPr>
              <w:pStyle w:val="ListBullet3"/>
            </w:pPr>
            <w:r w:rsidRPr="001079F7">
              <w:t>Confined space</w:t>
            </w:r>
          </w:p>
          <w:p w:rsidR="00000000" w:rsidRPr="001079F7" w:rsidP="001079F7">
            <w:pPr>
              <w:pStyle w:val="ListBullet3"/>
            </w:pPr>
            <w:r w:rsidRPr="001079F7">
              <w:t>Diagnostic, testing and restoration</w:t>
            </w:r>
          </w:p>
          <w:p w:rsidR="00000000" w:rsidRPr="001079F7" w:rsidP="001079F7">
            <w:pPr>
              <w:pStyle w:val="ListBullet3"/>
            </w:pPr>
            <w:r w:rsidRPr="001079F7">
              <w:t>Documenting detail work events, record keeping and or storage of information</w:t>
            </w:r>
          </w:p>
          <w:p w:rsidR="00000000" w:rsidRPr="001079F7" w:rsidP="001079F7">
            <w:pPr>
              <w:pStyle w:val="ListBullet3"/>
            </w:pPr>
            <w:r w:rsidRPr="001079F7">
              <w:t>Drawings and specifications</w:t>
            </w:r>
          </w:p>
          <w:p w:rsidR="00000000" w:rsidRPr="001079F7" w:rsidP="001079F7">
            <w:pPr>
              <w:pStyle w:val="ListBullet3"/>
            </w:pPr>
            <w:r w:rsidRPr="001079F7">
              <w:t>Emergency</w:t>
            </w:r>
          </w:p>
          <w:p w:rsidR="00000000" w:rsidRPr="001079F7" w:rsidP="001079F7">
            <w:pPr>
              <w:pStyle w:val="ListBullet3"/>
            </w:pPr>
            <w:r w:rsidRPr="001079F7">
              <w:t>Environmental and sustainable energy procedures</w:t>
            </w:r>
          </w:p>
          <w:p w:rsidR="00000000" w:rsidRPr="001079F7" w:rsidP="001079F7">
            <w:pPr>
              <w:pStyle w:val="ListBullet3"/>
            </w:pPr>
            <w:r w:rsidRPr="001079F7">
              <w:t>Environmental legislation</w:t>
            </w:r>
          </w:p>
          <w:p w:rsidR="00000000" w:rsidRPr="001079F7" w:rsidP="001079F7">
            <w:pPr>
              <w:pStyle w:val="ListBullet3"/>
            </w:pPr>
            <w:r w:rsidRPr="001079F7">
              <w:t>Environmental management documentation</w:t>
            </w:r>
          </w:p>
          <w:p w:rsidR="00000000" w:rsidRPr="001079F7" w:rsidP="001079F7">
            <w:pPr>
              <w:pStyle w:val="ListBullet3"/>
            </w:pPr>
            <w:r w:rsidRPr="001079F7">
              <w:t>Established procedures</w:t>
            </w:r>
          </w:p>
          <w:p w:rsidR="00000000" w:rsidRPr="001079F7" w:rsidP="001079F7">
            <w:pPr>
              <w:pStyle w:val="ListBullet3"/>
            </w:pPr>
            <w:r w:rsidRPr="001079F7">
              <w:t>Fall prevention</w:t>
            </w:r>
          </w:p>
          <w:p w:rsidR="00000000" w:rsidRPr="001079F7" w:rsidP="001079F7">
            <w:pPr>
              <w:pStyle w:val="ListBullet3"/>
            </w:pPr>
            <w:r w:rsidRPr="001079F7">
              <w:t>Hazards</w:t>
            </w:r>
          </w:p>
          <w:p w:rsidR="00000000" w:rsidRPr="001079F7" w:rsidP="001079F7">
            <w:pPr>
              <w:pStyle w:val="ListBullet3"/>
            </w:pPr>
            <w:r w:rsidRPr="001079F7">
              <w:t>Identifying hazards</w:t>
            </w:r>
          </w:p>
          <w:p w:rsidR="00000000" w:rsidRPr="001079F7" w:rsidP="001079F7">
            <w:pPr>
              <w:pStyle w:val="ListBullet3"/>
            </w:pPr>
            <w:r w:rsidRPr="001079F7">
              <w:t>Inspect</w:t>
            </w:r>
          </w:p>
          <w:p w:rsidR="00000000" w:rsidRPr="001079F7" w:rsidP="001079F7">
            <w:pPr>
              <w:pStyle w:val="ListBullet3"/>
            </w:pPr>
            <w:r w:rsidRPr="001079F7">
              <w:t>Legislation</w:t>
            </w:r>
          </w:p>
          <w:p w:rsidR="00000000" w:rsidRPr="001079F7" w:rsidP="001079F7">
            <w:pPr>
              <w:pStyle w:val="ListBullet3"/>
            </w:pPr>
            <w:r w:rsidRPr="001079F7">
              <w:t>MSDS</w:t>
            </w:r>
          </w:p>
          <w:p w:rsidR="00000000" w:rsidRPr="001079F7" w:rsidP="001079F7">
            <w:pPr>
              <w:pStyle w:val="ListBullet3"/>
            </w:pPr>
            <w:r w:rsidRPr="001079F7">
              <w:t>Notification.</w:t>
            </w:r>
          </w:p>
          <w:p w:rsidR="00000000" w:rsidRPr="001079F7" w:rsidP="001079F7">
            <w:pPr>
              <w:pStyle w:val="ListBullet3"/>
            </w:pPr>
            <w:r w:rsidRPr="001079F7">
              <w:t>OHS practices</w:t>
            </w:r>
          </w:p>
          <w:p w:rsidR="00000000" w:rsidRPr="001079F7" w:rsidP="001079F7">
            <w:pPr>
              <w:pStyle w:val="ListBullet3"/>
            </w:pPr>
            <w:r w:rsidRPr="001079F7">
              <w:t>OHS issues</w:t>
            </w:r>
          </w:p>
          <w:p w:rsidR="00000000" w:rsidRPr="001079F7" w:rsidP="001079F7">
            <w:pPr>
              <w:pStyle w:val="ListBullet3"/>
            </w:pPr>
            <w:r w:rsidRPr="001079F7">
              <w:t>Permits and/</w:t>
            </w:r>
            <w:r w:rsidRPr="001079F7">
              <w:t>or permits to work</w:t>
            </w:r>
          </w:p>
          <w:p w:rsidR="00000000" w:rsidRPr="001079F7" w:rsidP="001079F7">
            <w:pPr>
              <w:pStyle w:val="ListBullet3"/>
            </w:pPr>
            <w:r w:rsidRPr="001079F7">
              <w:t>Personnel</w:t>
            </w:r>
          </w:p>
          <w:p w:rsidR="00000000" w:rsidRPr="001079F7" w:rsidP="001079F7">
            <w:pPr>
              <w:pStyle w:val="ListBullet3"/>
            </w:pPr>
            <w:r w:rsidRPr="001079F7">
              <w:t>Quality assurance systems</w:t>
            </w:r>
          </w:p>
          <w:p w:rsidR="00000000" w:rsidRPr="001079F7" w:rsidP="001079F7">
            <w:pPr>
              <w:pStyle w:val="ListBullet3"/>
            </w:pPr>
            <w:r w:rsidRPr="001079F7">
              <w:t>Requirements</w:t>
            </w:r>
          </w:p>
          <w:p w:rsidR="00000000" w:rsidRPr="001079F7" w:rsidP="001079F7">
            <w:pPr>
              <w:pStyle w:val="ListBullet3"/>
            </w:pPr>
            <w:r w:rsidRPr="001079F7">
              <w:t>Testing procedures</w:t>
            </w:r>
          </w:p>
          <w:p w:rsidR="00000000" w:rsidRPr="001079F7" w:rsidP="001079F7">
            <w:pPr>
              <w:pStyle w:val="ListBullet3"/>
            </w:pPr>
            <w:r w:rsidRPr="001079F7">
              <w:t>Work clearance systems</w:t>
            </w:r>
          </w:p>
        </w:tc>
      </w:tr>
    </w:tbl>
    <w:p w:rsidR="00000000" w:rsidRPr="001079F7" w:rsidP="001079F7">
      <w:pPr>
        <w:pStyle w:val="BodyText"/>
      </w:pPr>
    </w:p>
    <w:p w:rsidR="00000000" w:rsidRPr="001079F7" w:rsidP="001079F7">
      <w:pPr>
        <w:pStyle w:val="AllowPageBreak"/>
      </w:pPr>
    </w:p>
    <w:p w:rsidR="00000000" w:rsidRPr="001079F7" w:rsidP="001079F7">
      <w:pPr>
        <w:pStyle w:val="Heading1"/>
      </w:pPr>
      <w:bookmarkStart w:id="12" w:name="O_462618"/>
      <w:bookmarkEnd w:id="12"/>
      <w:r w:rsidRPr="001079F7">
        <w:t>Unit Sector(s)</w:t>
      </w:r>
    </w:p>
    <w:p w:rsidR="00000000" w:rsidRPr="001079F7" w:rsidP="001079F7">
      <w:pPr>
        <w:pStyle w:val="BodyText"/>
      </w:pPr>
      <w:r w:rsidRPr="001079F7">
        <w:t>Not applicable.</w:t>
      </w:r>
    </w:p>
    <w:p w:rsidR="00000000" w:rsidRPr="001079F7" w:rsidP="001079F7">
      <w:pPr>
        <w:pStyle w:val="AllowPageBreak"/>
      </w:pPr>
    </w:p>
    <w:p w:rsidR="00000000" w:rsidRPr="001079F7" w:rsidP="001079F7">
      <w:pPr>
        <w:pStyle w:val="Heading1"/>
      </w:pPr>
      <w:bookmarkStart w:id="13" w:name="O_462607"/>
      <w:bookmarkEnd w:id="13"/>
      <w:r w:rsidRPr="001079F7">
        <w:t>Competency Field</w:t>
      </w:r>
    </w:p>
    <w:tbl>
      <w:tblPr>
        <w:tblW w:w="0" w:type="auto"/>
        <w:tblLayout w:type="fixed"/>
        <w:tblCellMar>
          <w:left w:w="62" w:type="dxa"/>
          <w:right w:w="62" w:type="dxa"/>
        </w:tblCellMar>
        <w:tblLook w:val="0000"/>
      </w:tblPr>
      <w:tblGrid>
        <w:gridCol w:w="2700"/>
        <w:gridCol w:w="5760"/>
      </w:tblGrid>
      <w:tr w:rsidTr="00D279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079F7">
            <w:pPr>
              <w:pStyle w:val="BodyText"/>
              <w:rPr>
                <w:lang w:val="en-NZ"/>
              </w:rPr>
            </w:pPr>
            <w:r w:rsidRPr="001079F7">
              <w:rPr>
                <w:rStyle w:val="SpecialBold"/>
              </w:rPr>
              <w:t xml:space="preserve">11) </w:t>
            </w:r>
          </w:p>
        </w:tc>
      </w:tr>
      <w:tr w:rsidTr="00D279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9F7" w:rsidP="001079F7">
            <w:pPr>
              <w:pStyle w:val="BodyText"/>
            </w:pPr>
            <w:r w:rsidRPr="001079F7">
              <w:t>Industry Specific Cross-Discipline Units</w:t>
            </w:r>
          </w:p>
        </w:tc>
      </w:tr>
    </w:tbl>
    <w:p w:rsidR="00000000" w:rsidRPr="001079F7" w:rsidP="001079F7">
      <w:pPr>
        <w:pStyle w:val="BodyText"/>
      </w:pPr>
    </w:p>
    <w:p w:rsidR="00000000" w:rsidRPr="001079F7" w:rsidP="001079F7"/>
    <w:sectPr w:rsidSect="00107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790A" w:rsidP="00D27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0A" w:rsidP="00107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D2790A" w:rsidP="001079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2790A" w:rsidP="001079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790A" w:rsidP="00D2790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0A" w:rsidP="001079F7">
    <w:pPr>
      <w:pStyle w:val="Header"/>
      <w:framePr w:wrap="around"/>
    </w:pPr>
    <w:r>
      <w:fldChar w:fldCharType="begin"/>
    </w:r>
    <w:r>
      <w:instrText xml:space="preserve"> TITLE   \* MERGEFORMAT </w:instrText>
    </w:r>
    <w:r>
      <w:fldChar w:fldCharType="separate"/>
    </w:r>
    <w:r>
      <w:t>UETTDRIS53A Install and maintain power system public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790A" w:rsidP="001079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2C0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C04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60F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9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79F7"/>
    <w:pPr>
      <w:spacing w:before="360" w:after="60"/>
      <w:outlineLvl w:val="0"/>
    </w:pPr>
    <w:rPr>
      <w:sz w:val="32"/>
    </w:rPr>
  </w:style>
  <w:style w:type="paragraph" w:styleId="Heading2">
    <w:name w:val="heading 2"/>
    <w:basedOn w:val="HeadingBase"/>
    <w:next w:val="BodyText"/>
    <w:link w:val="Heading2Char"/>
    <w:qFormat/>
    <w:rsid w:val="001079F7"/>
    <w:pPr>
      <w:keepLines/>
      <w:spacing w:before="240" w:after="120"/>
      <w:outlineLvl w:val="1"/>
    </w:pPr>
    <w:rPr>
      <w:sz w:val="28"/>
      <w:szCs w:val="40"/>
    </w:rPr>
  </w:style>
  <w:style w:type="paragraph" w:styleId="Heading3">
    <w:name w:val="heading 3"/>
    <w:basedOn w:val="HeadingBase"/>
    <w:next w:val="BodyText"/>
    <w:link w:val="Heading3Char"/>
    <w:qFormat/>
    <w:rsid w:val="001079F7"/>
    <w:pPr>
      <w:spacing w:before="180" w:after="120"/>
      <w:outlineLvl w:val="2"/>
    </w:pPr>
    <w:rPr>
      <w:spacing w:val="-10"/>
      <w:kern w:val="32"/>
    </w:rPr>
  </w:style>
  <w:style w:type="paragraph" w:styleId="Heading4">
    <w:name w:val="heading 4"/>
    <w:basedOn w:val="HeadingBase"/>
    <w:next w:val="BodyText"/>
    <w:link w:val="Heading4Char"/>
    <w:qFormat/>
    <w:rsid w:val="001079F7"/>
    <w:pPr>
      <w:spacing w:before="160" w:after="120"/>
      <w:outlineLvl w:val="3"/>
    </w:pPr>
    <w:rPr>
      <w:sz w:val="22"/>
    </w:rPr>
  </w:style>
  <w:style w:type="paragraph" w:styleId="Heading5">
    <w:name w:val="heading 5"/>
    <w:basedOn w:val="HeadingBase"/>
    <w:next w:val="Normal"/>
    <w:link w:val="Heading5Char"/>
    <w:qFormat/>
    <w:rsid w:val="001079F7"/>
    <w:pPr>
      <w:spacing w:before="80"/>
      <w:outlineLvl w:val="4"/>
    </w:pPr>
    <w:rPr>
      <w:color w:val="918585"/>
      <w:sz w:val="20"/>
    </w:rPr>
  </w:style>
  <w:style w:type="paragraph" w:styleId="Heading6">
    <w:name w:val="heading 6"/>
    <w:basedOn w:val="HeadingBase"/>
    <w:next w:val="Normal"/>
    <w:link w:val="Heading6Char"/>
    <w:qFormat/>
    <w:rsid w:val="001079F7"/>
    <w:pPr>
      <w:spacing w:before="60"/>
      <w:outlineLvl w:val="5"/>
    </w:pPr>
    <w:rPr>
      <w:color w:val="918585"/>
      <w:sz w:val="20"/>
    </w:rPr>
  </w:style>
  <w:style w:type="paragraph" w:styleId="Heading7">
    <w:name w:val="heading 7"/>
    <w:basedOn w:val="Normal"/>
    <w:next w:val="Normal"/>
    <w:link w:val="Heading7Char"/>
    <w:qFormat/>
    <w:rsid w:val="001079F7"/>
    <w:pPr>
      <w:ind w:left="720"/>
      <w:outlineLvl w:val="6"/>
    </w:pPr>
    <w:rPr>
      <w:i/>
    </w:rPr>
  </w:style>
  <w:style w:type="paragraph" w:styleId="Heading8">
    <w:name w:val="heading 8"/>
    <w:basedOn w:val="Normal"/>
    <w:next w:val="Normal"/>
    <w:link w:val="Heading8Char"/>
    <w:qFormat/>
    <w:rsid w:val="001079F7"/>
    <w:pPr>
      <w:ind w:left="720"/>
      <w:outlineLvl w:val="7"/>
    </w:pPr>
    <w:rPr>
      <w:i/>
    </w:rPr>
  </w:style>
  <w:style w:type="paragraph" w:styleId="Heading9">
    <w:name w:val="heading 9"/>
    <w:basedOn w:val="Normal"/>
    <w:next w:val="Normal"/>
    <w:link w:val="Heading9Char"/>
    <w:qFormat/>
    <w:rsid w:val="001079F7"/>
    <w:pPr>
      <w:ind w:left="720"/>
      <w:outlineLvl w:val="8"/>
    </w:pPr>
    <w:rPr>
      <w:i/>
    </w:rPr>
  </w:style>
  <w:style w:type="character" w:default="1" w:styleId="DefaultParagraphFont">
    <w:name w:val="Default Paragraph Font"/>
    <w:uiPriority w:val="1"/>
    <w:unhideWhenUsed/>
    <w:rsid w:val="00107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9F7"/>
  </w:style>
  <w:style w:type="character" w:customStyle="1" w:styleId="Heading1Char">
    <w:name w:val="Heading 1 Char"/>
    <w:link w:val="Heading1"/>
    <w:rsid w:val="001079F7"/>
    <w:rPr>
      <w:rFonts w:ascii="Times New Roman" w:eastAsia="Times New Roman" w:hAnsi="Times New Roman" w:cs="Times New Roman"/>
      <w:b/>
      <w:sz w:val="32"/>
      <w:szCs w:val="20"/>
      <w:lang w:eastAsia="en-US"/>
    </w:rPr>
  </w:style>
  <w:style w:type="paragraph" w:styleId="BodyText">
    <w:name w:val="Body Text"/>
    <w:basedOn w:val="Normal"/>
    <w:link w:val="BodyTextChar"/>
    <w:rsid w:val="001079F7"/>
    <w:pPr>
      <w:spacing w:before="120" w:after="120"/>
      <w:contextualSpacing/>
    </w:pPr>
    <w:rPr>
      <w:rFonts w:ascii="Times New Roman" w:hAnsi="Times New Roman"/>
      <w:sz w:val="24"/>
      <w:szCs w:val="22"/>
    </w:rPr>
  </w:style>
  <w:style w:type="character" w:customStyle="1" w:styleId="BodyTextChar">
    <w:name w:val="Body Text Char"/>
    <w:link w:val="BodyText"/>
    <w:rsid w:val="001079F7"/>
    <w:rPr>
      <w:rFonts w:ascii="Times New Roman" w:eastAsia="Times New Roman" w:hAnsi="Times New Roman" w:cs="Times New Roman"/>
      <w:sz w:val="24"/>
      <w:lang w:val="en-US" w:eastAsia="en-US"/>
    </w:rPr>
  </w:style>
  <w:style w:type="paragraph" w:styleId="Footer">
    <w:name w:val="footer"/>
    <w:basedOn w:val="Normal"/>
    <w:link w:val="FooterChar"/>
    <w:rsid w:val="00107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79F7"/>
    <w:rPr>
      <w:rFonts w:ascii="Times New Roman" w:eastAsia="Times New Roman" w:hAnsi="Times New Roman" w:cs="Times New Roman"/>
      <w:sz w:val="16"/>
      <w:lang w:val="en-US" w:eastAsia="en-US"/>
    </w:rPr>
  </w:style>
  <w:style w:type="paragraph" w:styleId="ListBullet">
    <w:name w:val="List Bullet"/>
    <w:basedOn w:val="List"/>
    <w:rsid w:val="001079F7"/>
    <w:pPr>
      <w:numPr>
        <w:numId w:val="14"/>
      </w:numPr>
      <w:tabs>
        <w:tab w:val="clear" w:pos="340"/>
      </w:tabs>
      <w:spacing w:before="40" w:after="40"/>
    </w:pPr>
  </w:style>
  <w:style w:type="character" w:customStyle="1" w:styleId="SpecialBold">
    <w:name w:val="Special Bold"/>
    <w:rsid w:val="001079F7"/>
    <w:rPr>
      <w:b/>
      <w:spacing w:val="0"/>
    </w:rPr>
  </w:style>
  <w:style w:type="paragraph" w:styleId="ListBullet2">
    <w:name w:val="List Bullet 2"/>
    <w:basedOn w:val="List2"/>
    <w:rsid w:val="001079F7"/>
    <w:pPr>
      <w:numPr>
        <w:numId w:val="15"/>
      </w:numPr>
      <w:tabs>
        <w:tab w:val="clear" w:pos="680"/>
      </w:tabs>
    </w:pPr>
  </w:style>
  <w:style w:type="paragraph" w:styleId="Header">
    <w:name w:val="header"/>
    <w:basedOn w:val="Normal"/>
    <w:link w:val="HeaderChar"/>
    <w:rsid w:val="00107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79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79F7"/>
    <w:pPr>
      <w:spacing w:before="240" w:after="120"/>
      <w:outlineLvl w:val="0"/>
    </w:pPr>
    <w:rPr>
      <w:rFonts w:ascii="Times New Roman" w:hAnsi="Times New Roman"/>
      <w:b/>
      <w:sz w:val="28"/>
    </w:rPr>
  </w:style>
  <w:style w:type="paragraph" w:customStyle="1" w:styleId="AllowPageBreak">
    <w:name w:val="AllowPageBreak"/>
    <w:rsid w:val="001079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79F7"/>
    <w:pPr>
      <w:numPr>
        <w:numId w:val="3"/>
      </w:numPr>
      <w:tabs>
        <w:tab w:val="clear" w:pos="1021"/>
      </w:tabs>
      <w:ind w:left="1037" w:hanging="357"/>
    </w:pPr>
  </w:style>
  <w:style w:type="character" w:customStyle="1" w:styleId="Heading2Char">
    <w:name w:val="Heading 2 Char"/>
    <w:link w:val="Heading2"/>
    <w:rsid w:val="001079F7"/>
    <w:rPr>
      <w:rFonts w:ascii="Times New Roman" w:eastAsia="Times New Roman" w:hAnsi="Times New Roman" w:cs="Times New Roman"/>
      <w:b/>
      <w:sz w:val="28"/>
      <w:szCs w:val="40"/>
      <w:lang w:eastAsia="en-US"/>
    </w:rPr>
  </w:style>
  <w:style w:type="character" w:customStyle="1" w:styleId="Heading3Char">
    <w:name w:val="Heading 3 Char"/>
    <w:link w:val="Heading3"/>
    <w:rsid w:val="001079F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79F7"/>
    <w:rPr>
      <w:rFonts w:ascii="Times New Roman" w:eastAsia="Times New Roman" w:hAnsi="Times New Roman" w:cs="Times New Roman"/>
      <w:b/>
      <w:szCs w:val="20"/>
      <w:lang w:eastAsia="en-US"/>
    </w:rPr>
  </w:style>
  <w:style w:type="character" w:customStyle="1" w:styleId="Heading5Char">
    <w:name w:val="Heading 5 Char"/>
    <w:link w:val="Heading5"/>
    <w:rsid w:val="001079F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7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9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79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79F7"/>
    <w:rPr>
      <w:rFonts w:ascii="Courier New" w:eastAsia="Times New Roman" w:hAnsi="Courier New" w:cs="Times New Roman"/>
      <w:i/>
      <w:szCs w:val="20"/>
      <w:lang w:val="en-US" w:eastAsia="en-US"/>
    </w:rPr>
  </w:style>
  <w:style w:type="paragraph" w:customStyle="1" w:styleId="HeadingBase">
    <w:name w:val="Heading Base"/>
    <w:rsid w:val="00107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9F7"/>
    <w:pPr>
      <w:tabs>
        <w:tab w:val="right" w:leader="dot" w:pos="9072"/>
      </w:tabs>
      <w:ind w:left="567"/>
    </w:pPr>
    <w:rPr>
      <w:szCs w:val="22"/>
    </w:rPr>
  </w:style>
  <w:style w:type="paragraph" w:customStyle="1" w:styleId="TOCBase">
    <w:name w:val="TOC Base"/>
    <w:rsid w:val="00107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9F7"/>
    <w:pPr>
      <w:tabs>
        <w:tab w:val="right" w:leader="dot" w:pos="9072"/>
      </w:tabs>
      <w:spacing w:before="40" w:after="40"/>
      <w:ind w:left="284"/>
    </w:pPr>
    <w:rPr>
      <w:rFonts w:ascii="Times New Roman" w:hAnsi="Times New Roman"/>
    </w:rPr>
  </w:style>
  <w:style w:type="paragraph" w:styleId="TOC1">
    <w:name w:val="toc 1"/>
    <w:basedOn w:val="TOCBase"/>
    <w:next w:val="Normal"/>
    <w:rsid w:val="001079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9F7"/>
    <w:pPr>
      <w:spacing w:before="5040"/>
      <w:jc w:val="center"/>
    </w:pPr>
    <w:rPr>
      <w:sz w:val="48"/>
      <w:szCs w:val="72"/>
      <w:lang w:val="en-US"/>
    </w:rPr>
  </w:style>
  <w:style w:type="character" w:customStyle="1" w:styleId="TitleChar">
    <w:name w:val="Title Char"/>
    <w:link w:val="Title"/>
    <w:rsid w:val="00107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9F7"/>
    <w:pPr>
      <w:tabs>
        <w:tab w:val="left" w:pos="3600"/>
        <w:tab w:val="left" w:pos="3958"/>
      </w:tabs>
    </w:pPr>
  </w:style>
  <w:style w:type="paragraph" w:styleId="List">
    <w:name w:val="List"/>
    <w:basedOn w:val="BodyText"/>
    <w:next w:val="BodyText"/>
    <w:rsid w:val="001079F7"/>
    <w:pPr>
      <w:tabs>
        <w:tab w:val="left" w:pos="340"/>
      </w:tabs>
      <w:spacing w:before="60" w:after="60"/>
      <w:ind w:left="340" w:hanging="340"/>
    </w:pPr>
  </w:style>
  <w:style w:type="paragraph" w:customStyle="1" w:styleId="Note">
    <w:name w:val="Note"/>
    <w:basedOn w:val="BodyText"/>
    <w:rsid w:val="00107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9F7"/>
    <w:pPr>
      <w:framePr w:wrap="auto" w:hAnchor="text" w:y="6049"/>
    </w:pPr>
    <w:rPr>
      <w:color w:val="000000"/>
      <w:sz w:val="40"/>
    </w:rPr>
  </w:style>
  <w:style w:type="paragraph" w:customStyle="1" w:styleId="TOCTitle">
    <w:name w:val="TOCTitle"/>
    <w:basedOn w:val="Heading1"/>
    <w:rsid w:val="001079F7"/>
    <w:pPr>
      <w:spacing w:after="240"/>
      <w:jc w:val="center"/>
      <w:outlineLvl w:val="9"/>
    </w:pPr>
    <w:rPr>
      <w:caps/>
    </w:rPr>
  </w:style>
  <w:style w:type="paragraph" w:customStyle="1" w:styleId="Version">
    <w:name w:val="Version"/>
    <w:rsid w:val="00107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9F7"/>
    <w:pPr>
      <w:keepNext w:val="0"/>
      <w:tabs>
        <w:tab w:val="right" w:pos="4176"/>
      </w:tabs>
      <w:ind w:left="198" w:hanging="198"/>
    </w:pPr>
    <w:rPr>
      <w:rFonts w:ascii="Garamond" w:hAnsi="Garamond"/>
    </w:rPr>
  </w:style>
  <w:style w:type="paragraph" w:styleId="IndexHeading">
    <w:name w:val="index heading"/>
    <w:basedOn w:val="Normal"/>
    <w:next w:val="Index1"/>
    <w:semiHidden/>
    <w:rsid w:val="001079F7"/>
    <w:pPr>
      <w:spacing w:before="120" w:after="120"/>
    </w:pPr>
    <w:rPr>
      <w:rFonts w:ascii="Arial" w:hAnsi="Arial"/>
      <w:b/>
      <w:color w:val="918585"/>
      <w:sz w:val="24"/>
    </w:rPr>
  </w:style>
  <w:style w:type="paragraph" w:customStyle="1" w:styleId="Chapter">
    <w:name w:val="Chapter"/>
    <w:basedOn w:val="Normal"/>
    <w:rsid w:val="001079F7"/>
    <w:pPr>
      <w:spacing w:before="240"/>
    </w:pPr>
    <w:rPr>
      <w:rFonts w:ascii="Times New Roman" w:hAnsi="Times New Roman"/>
      <w:smallCaps/>
      <w:spacing w:val="80"/>
      <w:sz w:val="28"/>
    </w:rPr>
  </w:style>
  <w:style w:type="paragraph" w:customStyle="1" w:styleId="InChapter">
    <w:name w:val="InChapter"/>
    <w:basedOn w:val="Heading3"/>
    <w:rsid w:val="001079F7"/>
    <w:pPr>
      <w:spacing w:after="240"/>
      <w:outlineLvl w:val="9"/>
    </w:pPr>
    <w:rPr>
      <w:noProof/>
    </w:rPr>
  </w:style>
  <w:style w:type="paragraph" w:styleId="Index2">
    <w:name w:val="index 2"/>
    <w:basedOn w:val="Normal"/>
    <w:next w:val="Normal"/>
    <w:semiHidden/>
    <w:rsid w:val="001079F7"/>
    <w:pPr>
      <w:tabs>
        <w:tab w:val="right" w:pos="4176"/>
      </w:tabs>
      <w:ind w:left="568" w:hanging="284"/>
    </w:pPr>
    <w:rPr>
      <w:rFonts w:ascii="Garamond" w:hAnsi="Garamond"/>
    </w:rPr>
  </w:style>
  <w:style w:type="paragraph" w:customStyle="1" w:styleId="Byline">
    <w:name w:val="Byline"/>
    <w:rsid w:val="00107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9F7"/>
    <w:pPr>
      <w:tabs>
        <w:tab w:val="clear" w:pos="3600"/>
        <w:tab w:val="clear" w:pos="3958"/>
      </w:tabs>
      <w:jc w:val="right"/>
    </w:pPr>
  </w:style>
  <w:style w:type="character" w:styleId="Emphasis">
    <w:name w:val="Emphasis"/>
    <w:qFormat/>
    <w:rsid w:val="001079F7"/>
    <w:rPr>
      <w:i/>
    </w:rPr>
  </w:style>
  <w:style w:type="paragraph" w:styleId="Caption">
    <w:name w:val="caption"/>
    <w:basedOn w:val="BodyText"/>
    <w:next w:val="Normal"/>
    <w:qFormat/>
    <w:rsid w:val="001079F7"/>
    <w:pPr>
      <w:framePr w:w="2268" w:hSpace="181" w:vSpace="181" w:wrap="around" w:vAnchor="text" w:hAnchor="page" w:x="1135" w:y="285" w:anchorLock="1"/>
    </w:pPr>
    <w:rPr>
      <w:i/>
    </w:rPr>
  </w:style>
  <w:style w:type="paragraph" w:customStyle="1" w:styleId="MiniTOCTitle">
    <w:name w:val="MiniTOCTitle"/>
    <w:basedOn w:val="Heading4"/>
    <w:rsid w:val="001079F7"/>
    <w:pPr>
      <w:spacing w:before="240"/>
      <w:outlineLvl w:val="9"/>
    </w:pPr>
    <w:rPr>
      <w:noProof/>
      <w:sz w:val="24"/>
    </w:rPr>
  </w:style>
  <w:style w:type="paragraph" w:customStyle="1" w:styleId="MiniTOCItem">
    <w:name w:val="MiniTOCItem"/>
    <w:basedOn w:val="ListBullet"/>
    <w:rsid w:val="001079F7"/>
    <w:pPr>
      <w:numPr>
        <w:numId w:val="0"/>
      </w:numPr>
      <w:tabs>
        <w:tab w:val="right" w:leader="dot" w:pos="6521"/>
      </w:tabs>
      <w:spacing w:before="0" w:after="0"/>
    </w:pPr>
  </w:style>
  <w:style w:type="paragraph" w:customStyle="1" w:styleId="TOFTitle">
    <w:name w:val="TOFTitle"/>
    <w:basedOn w:val="TOCTitle"/>
    <w:rsid w:val="001079F7"/>
  </w:style>
  <w:style w:type="paragraph" w:styleId="TableofFigures">
    <w:name w:val="table of figures"/>
    <w:basedOn w:val="Normal"/>
    <w:next w:val="Normal"/>
    <w:semiHidden/>
    <w:rsid w:val="001079F7"/>
    <w:pPr>
      <w:tabs>
        <w:tab w:val="right" w:leader="dot" w:pos="9072"/>
      </w:tabs>
      <w:ind w:left="970" w:hanging="403"/>
    </w:pPr>
    <w:rPr>
      <w:rFonts w:ascii="Times New Roman" w:hAnsi="Times New Roman"/>
      <w:b/>
    </w:rPr>
  </w:style>
  <w:style w:type="paragraph" w:styleId="ListNumber">
    <w:name w:val="List Number"/>
    <w:basedOn w:val="List"/>
    <w:rsid w:val="001079F7"/>
    <w:pPr>
      <w:numPr>
        <w:numId w:val="12"/>
      </w:numPr>
    </w:pPr>
  </w:style>
  <w:style w:type="character" w:customStyle="1" w:styleId="WingdingSymbols">
    <w:name w:val="Wingding Symbols"/>
    <w:rsid w:val="001079F7"/>
    <w:rPr>
      <w:rFonts w:ascii="Wingdings" w:hAnsi="Wingdings"/>
    </w:rPr>
  </w:style>
  <w:style w:type="paragraph" w:customStyle="1" w:styleId="TableHeading">
    <w:name w:val="Table Heading"/>
    <w:basedOn w:val="HeadingBase"/>
    <w:rsid w:val="001079F7"/>
    <w:pPr>
      <w:keepLines/>
      <w:pBdr>
        <w:bottom w:val="single" w:sz="6" w:space="1" w:color="918585"/>
      </w:pBdr>
      <w:spacing w:before="240"/>
    </w:pPr>
  </w:style>
  <w:style w:type="character" w:customStyle="1" w:styleId="HotSpot">
    <w:name w:val="HotSpot"/>
    <w:rsid w:val="001079F7"/>
    <w:rPr>
      <w:color w:val="0033CC"/>
      <w:u w:val="none"/>
    </w:rPr>
  </w:style>
  <w:style w:type="paragraph" w:customStyle="1" w:styleId="BodyTextRight">
    <w:name w:val="Body Text Right"/>
    <w:basedOn w:val="BodyText"/>
    <w:rsid w:val="001079F7"/>
    <w:pPr>
      <w:spacing w:before="0" w:after="0"/>
      <w:jc w:val="right"/>
    </w:pPr>
  </w:style>
  <w:style w:type="paragraph" w:styleId="Index3">
    <w:name w:val="index 3"/>
    <w:basedOn w:val="ListNumber2"/>
    <w:next w:val="Normal"/>
    <w:semiHidden/>
    <w:rsid w:val="001079F7"/>
    <w:pPr>
      <w:numPr>
        <w:numId w:val="0"/>
      </w:numPr>
      <w:tabs>
        <w:tab w:val="right" w:leader="dot" w:pos="4176"/>
      </w:tabs>
    </w:pPr>
  </w:style>
  <w:style w:type="paragraph" w:styleId="ListNumber2">
    <w:name w:val="List Number 2"/>
    <w:basedOn w:val="List2"/>
    <w:rsid w:val="001079F7"/>
    <w:pPr>
      <w:numPr>
        <w:numId w:val="11"/>
      </w:numPr>
      <w:tabs>
        <w:tab w:val="clear" w:pos="1060"/>
      </w:tabs>
    </w:pPr>
  </w:style>
  <w:style w:type="paragraph" w:customStyle="1" w:styleId="MarginNote">
    <w:name w:val="Margin Note"/>
    <w:basedOn w:val="BodyText"/>
    <w:rsid w:val="00107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79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79F7"/>
    <w:rPr>
      <w:sz w:val="32"/>
    </w:rPr>
  </w:style>
  <w:style w:type="paragraph" w:customStyle="1" w:styleId="HeadingProcedure">
    <w:name w:val="Heading Procedure"/>
    <w:basedOn w:val="HeadingBase"/>
    <w:next w:val="Normal"/>
    <w:rsid w:val="001079F7"/>
    <w:pPr>
      <w:tabs>
        <w:tab w:val="left" w:pos="0"/>
      </w:tabs>
      <w:spacing w:before="120" w:after="60"/>
    </w:pPr>
    <w:rPr>
      <w:i/>
      <w:color w:val="918585"/>
      <w:sz w:val="22"/>
    </w:rPr>
  </w:style>
  <w:style w:type="paragraph" w:customStyle="1" w:styleId="TableBodyText">
    <w:name w:val="Table Body Text"/>
    <w:basedOn w:val="BodyText"/>
    <w:rsid w:val="001079F7"/>
    <w:pPr>
      <w:spacing w:before="60" w:after="60"/>
    </w:pPr>
  </w:style>
  <w:style w:type="paragraph" w:styleId="ListContinue">
    <w:name w:val="List Continue"/>
    <w:basedOn w:val="List"/>
    <w:rsid w:val="001079F7"/>
    <w:pPr>
      <w:ind w:firstLine="0"/>
    </w:pPr>
  </w:style>
  <w:style w:type="paragraph" w:customStyle="1" w:styleId="ListNote">
    <w:name w:val="List Note"/>
    <w:basedOn w:val="List"/>
    <w:rsid w:val="001079F7"/>
    <w:pPr>
      <w:pBdr>
        <w:top w:val="single" w:sz="6" w:space="2" w:color="918585"/>
        <w:bottom w:val="single" w:sz="6" w:space="2" w:color="918585"/>
      </w:pBdr>
      <w:tabs>
        <w:tab w:val="left" w:pos="1021"/>
      </w:tabs>
      <w:ind w:firstLine="0"/>
    </w:pPr>
  </w:style>
  <w:style w:type="paragraph" w:customStyle="1" w:styleId="Warning">
    <w:name w:val="Warning"/>
    <w:basedOn w:val="BodyText"/>
    <w:rsid w:val="001079F7"/>
    <w:pPr>
      <w:shd w:val="clear" w:color="auto" w:fill="D9D9D9"/>
      <w:tabs>
        <w:tab w:val="left" w:pos="992"/>
      </w:tabs>
      <w:ind w:left="119" w:right="119"/>
    </w:pPr>
    <w:rPr>
      <w:sz w:val="20"/>
    </w:rPr>
  </w:style>
  <w:style w:type="paragraph" w:customStyle="1" w:styleId="MarginIcons">
    <w:name w:val="Margin Icons"/>
    <w:basedOn w:val="BodyText"/>
    <w:rsid w:val="001079F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79F7"/>
    <w:rPr>
      <w:rFonts w:ascii="Courier New" w:hAnsi="Courier New"/>
    </w:rPr>
  </w:style>
  <w:style w:type="paragraph" w:customStyle="1" w:styleId="NoteBullet">
    <w:name w:val="Note Bullet"/>
    <w:basedOn w:val="Note"/>
    <w:rsid w:val="001079F7"/>
    <w:pPr>
      <w:tabs>
        <w:tab w:val="clear" w:pos="680"/>
      </w:tabs>
      <w:spacing w:before="60" w:after="60"/>
    </w:pPr>
  </w:style>
  <w:style w:type="paragraph" w:customStyle="1" w:styleId="SubHeading2">
    <w:name w:val="SubHeading2"/>
    <w:basedOn w:val="HeadingBase"/>
    <w:rsid w:val="001079F7"/>
    <w:pPr>
      <w:spacing w:before="240" w:after="60"/>
    </w:pPr>
    <w:rPr>
      <w:sz w:val="20"/>
    </w:rPr>
  </w:style>
  <w:style w:type="paragraph" w:customStyle="1" w:styleId="SubHeading1">
    <w:name w:val="SubHeading1"/>
    <w:basedOn w:val="HeadingBase"/>
    <w:rsid w:val="001079F7"/>
    <w:pPr>
      <w:spacing w:before="240" w:after="60"/>
    </w:pPr>
    <w:rPr>
      <w:color w:val="918585"/>
      <w:sz w:val="22"/>
    </w:rPr>
  </w:style>
  <w:style w:type="paragraph" w:customStyle="1" w:styleId="SideHeading">
    <w:name w:val="Side Heading"/>
    <w:basedOn w:val="HeadingBase"/>
    <w:rsid w:val="00107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9F7"/>
    <w:pPr>
      <w:numPr>
        <w:numId w:val="13"/>
      </w:numPr>
    </w:pPr>
  </w:style>
  <w:style w:type="paragraph" w:styleId="PlainText">
    <w:name w:val="Plain Text"/>
    <w:basedOn w:val="Normal"/>
    <w:link w:val="PlainTextChar"/>
    <w:rsid w:val="001079F7"/>
    <w:rPr>
      <w:sz w:val="20"/>
    </w:rPr>
  </w:style>
  <w:style w:type="character" w:customStyle="1" w:styleId="PlainTextChar">
    <w:name w:val="Plain Text Char"/>
    <w:basedOn w:val="DefaultParagraphFont"/>
    <w:link w:val="PlainText"/>
    <w:rsid w:val="001079F7"/>
    <w:rPr>
      <w:rFonts w:ascii="Courier New" w:eastAsia="Times New Roman" w:hAnsi="Courier New" w:cs="Times New Roman"/>
      <w:sz w:val="20"/>
      <w:szCs w:val="20"/>
      <w:lang w:val="en-US" w:eastAsia="en-US"/>
    </w:rPr>
  </w:style>
  <w:style w:type="character" w:customStyle="1" w:styleId="MenuOption">
    <w:name w:val="Menu Option"/>
    <w:rsid w:val="001079F7"/>
    <w:rPr>
      <w:b/>
      <w:smallCaps/>
    </w:rPr>
  </w:style>
  <w:style w:type="paragraph" w:customStyle="1" w:styleId="TableListNumber">
    <w:name w:val="Table List Number"/>
    <w:basedOn w:val="ListNumber"/>
    <w:rsid w:val="001079F7"/>
    <w:pPr>
      <w:numPr>
        <w:numId w:val="0"/>
      </w:numPr>
    </w:pPr>
  </w:style>
  <w:style w:type="paragraph" w:styleId="TOC4">
    <w:name w:val="toc 4"/>
    <w:basedOn w:val="TOCBase"/>
    <w:next w:val="Normal"/>
    <w:semiHidden/>
    <w:rsid w:val="001079F7"/>
    <w:pPr>
      <w:tabs>
        <w:tab w:val="right" w:leader="dot" w:pos="9071"/>
      </w:tabs>
      <w:ind w:left="1701"/>
    </w:pPr>
  </w:style>
  <w:style w:type="paragraph" w:customStyle="1" w:styleId="ListAlpha">
    <w:name w:val="List Alpha"/>
    <w:basedOn w:val="List"/>
    <w:rsid w:val="001079F7"/>
    <w:pPr>
      <w:numPr>
        <w:numId w:val="10"/>
      </w:numPr>
    </w:pPr>
  </w:style>
  <w:style w:type="paragraph" w:customStyle="1" w:styleId="ListAlpha2">
    <w:name w:val="List Alpha 2"/>
    <w:basedOn w:val="List2"/>
    <w:rsid w:val="001079F7"/>
    <w:pPr>
      <w:numPr>
        <w:numId w:val="9"/>
      </w:numPr>
    </w:pPr>
  </w:style>
  <w:style w:type="paragraph" w:styleId="List2">
    <w:name w:val="List 2"/>
    <w:basedOn w:val="BodyText"/>
    <w:rsid w:val="001079F7"/>
    <w:pPr>
      <w:tabs>
        <w:tab w:val="left" w:pos="680"/>
      </w:tabs>
      <w:spacing w:before="60" w:after="60"/>
      <w:ind w:left="680" w:hanging="340"/>
    </w:pPr>
  </w:style>
  <w:style w:type="paragraph" w:styleId="List3">
    <w:name w:val="List 3"/>
    <w:basedOn w:val="BodyText"/>
    <w:rsid w:val="001079F7"/>
    <w:pPr>
      <w:tabs>
        <w:tab w:val="left" w:pos="1021"/>
      </w:tabs>
      <w:spacing w:before="60" w:after="60"/>
      <w:ind w:left="1020" w:hanging="340"/>
    </w:pPr>
  </w:style>
  <w:style w:type="paragraph" w:styleId="List4">
    <w:name w:val="List 4"/>
    <w:basedOn w:val="BodyText"/>
    <w:rsid w:val="001079F7"/>
    <w:pPr>
      <w:tabs>
        <w:tab w:val="left" w:pos="1361"/>
      </w:tabs>
      <w:spacing w:before="60" w:after="60"/>
      <w:ind w:left="1361" w:hanging="340"/>
    </w:pPr>
  </w:style>
  <w:style w:type="paragraph" w:styleId="List5">
    <w:name w:val="List 5"/>
    <w:basedOn w:val="BodyText"/>
    <w:rsid w:val="001079F7"/>
    <w:pPr>
      <w:tabs>
        <w:tab w:val="left" w:pos="1701"/>
      </w:tabs>
      <w:spacing w:before="60" w:after="60"/>
      <w:ind w:left="1701" w:hanging="340"/>
    </w:pPr>
  </w:style>
  <w:style w:type="paragraph" w:styleId="ListBullet4">
    <w:name w:val="List Bullet 4"/>
    <w:basedOn w:val="List4"/>
    <w:rsid w:val="001079F7"/>
    <w:pPr>
      <w:numPr>
        <w:numId w:val="4"/>
      </w:numPr>
    </w:pPr>
  </w:style>
  <w:style w:type="paragraph" w:styleId="ListBullet5">
    <w:name w:val="List Bullet 5"/>
    <w:basedOn w:val="List5"/>
    <w:rsid w:val="001079F7"/>
    <w:pPr>
      <w:numPr>
        <w:numId w:val="5"/>
      </w:numPr>
    </w:pPr>
  </w:style>
  <w:style w:type="paragraph" w:styleId="ListContinue2">
    <w:name w:val="List Continue 2"/>
    <w:basedOn w:val="List2"/>
    <w:rsid w:val="001079F7"/>
    <w:pPr>
      <w:ind w:firstLine="0"/>
    </w:pPr>
  </w:style>
  <w:style w:type="paragraph" w:styleId="ListContinue3">
    <w:name w:val="List Continue 3"/>
    <w:basedOn w:val="List3"/>
    <w:rsid w:val="001079F7"/>
    <w:pPr>
      <w:ind w:left="1021" w:firstLine="0"/>
    </w:pPr>
  </w:style>
  <w:style w:type="paragraph" w:styleId="ListContinue4">
    <w:name w:val="List Continue 4"/>
    <w:basedOn w:val="List4"/>
    <w:rsid w:val="001079F7"/>
    <w:pPr>
      <w:ind w:firstLine="0"/>
    </w:pPr>
  </w:style>
  <w:style w:type="paragraph" w:styleId="ListContinue5">
    <w:name w:val="List Continue 5"/>
    <w:basedOn w:val="List5"/>
    <w:rsid w:val="001079F7"/>
    <w:pPr>
      <w:ind w:firstLine="0"/>
    </w:pPr>
  </w:style>
  <w:style w:type="paragraph" w:styleId="ListNumber3">
    <w:name w:val="List Number 3"/>
    <w:basedOn w:val="List3"/>
    <w:rsid w:val="001079F7"/>
    <w:pPr>
      <w:numPr>
        <w:numId w:val="6"/>
      </w:numPr>
    </w:pPr>
  </w:style>
  <w:style w:type="paragraph" w:styleId="ListNumber4">
    <w:name w:val="List Number 4"/>
    <w:basedOn w:val="List4"/>
    <w:rsid w:val="001079F7"/>
    <w:pPr>
      <w:numPr>
        <w:numId w:val="7"/>
      </w:numPr>
    </w:pPr>
  </w:style>
  <w:style w:type="paragraph" w:styleId="ListNumber5">
    <w:name w:val="List Number 5"/>
    <w:basedOn w:val="List5"/>
    <w:rsid w:val="001079F7"/>
    <w:pPr>
      <w:numPr>
        <w:numId w:val="8"/>
      </w:numPr>
    </w:pPr>
  </w:style>
  <w:style w:type="paragraph" w:styleId="BlockText">
    <w:name w:val="Block Text"/>
    <w:basedOn w:val="Normal"/>
    <w:rsid w:val="001079F7"/>
    <w:pPr>
      <w:spacing w:after="120"/>
      <w:ind w:left="1440" w:right="1440"/>
    </w:pPr>
  </w:style>
  <w:style w:type="character" w:customStyle="1" w:styleId="Subscript">
    <w:name w:val="Subscript"/>
    <w:rsid w:val="001079F7"/>
    <w:rPr>
      <w:sz w:val="16"/>
      <w:vertAlign w:val="subscript"/>
    </w:rPr>
  </w:style>
  <w:style w:type="character" w:customStyle="1" w:styleId="Superscript">
    <w:name w:val="Superscript"/>
    <w:rsid w:val="001079F7"/>
    <w:rPr>
      <w:sz w:val="16"/>
      <w:vertAlign w:val="superscript"/>
    </w:rPr>
  </w:style>
  <w:style w:type="character" w:customStyle="1" w:styleId="Symbols">
    <w:name w:val="Symbols"/>
    <w:rsid w:val="001079F7"/>
    <w:rPr>
      <w:rFonts w:ascii="Symbol" w:hAnsi="Symbol"/>
    </w:rPr>
  </w:style>
  <w:style w:type="character" w:customStyle="1" w:styleId="MenuOptions">
    <w:name w:val="Menu Options"/>
    <w:rsid w:val="001079F7"/>
    <w:rPr>
      <w:rFonts w:ascii="Arial Narrow" w:hAnsi="Arial Narrow"/>
      <w:smallCaps/>
    </w:rPr>
  </w:style>
  <w:style w:type="character" w:customStyle="1" w:styleId="Buttons">
    <w:name w:val="Buttons"/>
    <w:rsid w:val="001079F7"/>
    <w:rPr>
      <w:b/>
    </w:rPr>
  </w:style>
  <w:style w:type="character" w:customStyle="1" w:styleId="Underlined">
    <w:name w:val="Underlined"/>
    <w:rsid w:val="001079F7"/>
    <w:rPr>
      <w:u w:val="single"/>
    </w:rPr>
  </w:style>
  <w:style w:type="paragraph" w:customStyle="1" w:styleId="TableBodyTextRight">
    <w:name w:val="Table Body Text Right"/>
    <w:basedOn w:val="TableBodyText"/>
    <w:rsid w:val="001079F7"/>
    <w:pPr>
      <w:widowControl w:val="0"/>
      <w:autoSpaceDE w:val="0"/>
      <w:autoSpaceDN w:val="0"/>
      <w:adjustRightInd w:val="0"/>
      <w:jc w:val="right"/>
    </w:pPr>
    <w:rPr>
      <w:rFonts w:cs="Arial"/>
      <w:szCs w:val="18"/>
    </w:rPr>
  </w:style>
  <w:style w:type="paragraph" w:customStyle="1" w:styleId="CopyrightText">
    <w:name w:val="Copyright Text"/>
    <w:basedOn w:val="BodyText"/>
    <w:rsid w:val="001079F7"/>
    <w:rPr>
      <w:sz w:val="18"/>
    </w:rPr>
  </w:style>
  <w:style w:type="paragraph" w:customStyle="1" w:styleId="BodySmallRight">
    <w:name w:val="Body Small Right"/>
    <w:basedOn w:val="BodyTextRight"/>
    <w:rsid w:val="001079F7"/>
    <w:rPr>
      <w:sz w:val="18"/>
      <w:szCs w:val="18"/>
    </w:rPr>
  </w:style>
  <w:style w:type="paragraph" w:customStyle="1" w:styleId="MarginEdition">
    <w:name w:val="Margin Edition"/>
    <w:basedOn w:val="MarginNote"/>
    <w:rsid w:val="001079F7"/>
    <w:pPr>
      <w:spacing w:before="0" w:after="0"/>
    </w:pPr>
    <w:rPr>
      <w:rFonts w:ascii="Times New Roman" w:hAnsi="Times New Roman"/>
      <w:color w:val="999999"/>
    </w:rPr>
  </w:style>
  <w:style w:type="paragraph" w:customStyle="1" w:styleId="Spacer">
    <w:name w:val="Spacer"/>
    <w:basedOn w:val="Normal"/>
    <w:rsid w:val="001079F7"/>
    <w:rPr>
      <w:sz w:val="2"/>
      <w:szCs w:val="2"/>
    </w:rPr>
  </w:style>
  <w:style w:type="character" w:customStyle="1" w:styleId="Small">
    <w:name w:val="Small"/>
    <w:rsid w:val="001079F7"/>
    <w:rPr>
      <w:sz w:val="16"/>
    </w:rPr>
  </w:style>
  <w:style w:type="paragraph" w:customStyle="1" w:styleId="WideTable">
    <w:name w:val="Wide Table"/>
    <w:basedOn w:val="Normal"/>
    <w:rsid w:val="001079F7"/>
    <w:pPr>
      <w:ind w:left="-1418"/>
    </w:pPr>
    <w:rPr>
      <w:sz w:val="2"/>
      <w:szCs w:val="2"/>
    </w:rPr>
  </w:style>
  <w:style w:type="character" w:styleId="PageNumber">
    <w:name w:val="page number"/>
    <w:rsid w:val="001079F7"/>
  </w:style>
  <w:style w:type="paragraph" w:styleId="Quote">
    <w:name w:val="Quote"/>
    <w:basedOn w:val="Heading1"/>
    <w:link w:val="QuoteChar"/>
    <w:qFormat/>
    <w:rsid w:val="001079F7"/>
    <w:rPr>
      <w:b w:val="0"/>
      <w:sz w:val="72"/>
      <w:szCs w:val="72"/>
      <w:lang w:val="en-NZ"/>
    </w:rPr>
  </w:style>
  <w:style w:type="character" w:customStyle="1" w:styleId="QuoteChar">
    <w:name w:val="Quote Char"/>
    <w:link w:val="Quote"/>
    <w:rsid w:val="00107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9F7"/>
    <w:pPr>
      <w:pageBreakBefore/>
    </w:pPr>
  </w:style>
  <w:style w:type="paragraph" w:customStyle="1" w:styleId="Border">
    <w:name w:val="Border"/>
    <w:basedOn w:val="Normal"/>
    <w:qFormat/>
    <w:rsid w:val="001079F7"/>
    <w:pPr>
      <w:pBdr>
        <w:top w:val="single" w:sz="18" w:space="1" w:color="auto"/>
      </w:pBdr>
    </w:pPr>
    <w:rPr>
      <w:rFonts w:ascii="Times New Roman" w:hAnsi="Times New Roman"/>
      <w:color w:val="FFFFFF"/>
      <w:sz w:val="2"/>
    </w:rPr>
  </w:style>
  <w:style w:type="character" w:styleId="IntenseEmphasis">
    <w:name w:val="Intense Emphasis"/>
    <w:uiPriority w:val="21"/>
    <w:qFormat/>
    <w:rsid w:val="001079F7"/>
    <w:rPr>
      <w:b/>
      <w:bCs/>
      <w:i/>
      <w:iCs/>
      <w:color w:val="auto"/>
    </w:rPr>
  </w:style>
  <w:style w:type="paragraph" w:styleId="IntenseQuote">
    <w:name w:val="Intense Quote"/>
    <w:basedOn w:val="Normal"/>
    <w:next w:val="Normal"/>
    <w:link w:val="IntenseQuoteChar"/>
    <w:uiPriority w:val="30"/>
    <w:qFormat/>
    <w:rsid w:val="001079F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79F7"/>
    <w:rPr>
      <w:rFonts w:ascii="Courier New" w:eastAsia="Times New Roman" w:hAnsi="Courier New" w:cs="Times New Roman"/>
      <w:b/>
      <w:bCs/>
      <w:i/>
      <w:iCs/>
      <w:szCs w:val="20"/>
      <w:lang w:val="en-US" w:eastAsia="en-US"/>
    </w:rPr>
  </w:style>
  <w:style w:type="character" w:styleId="SubtleReference">
    <w:name w:val="Subtle Reference"/>
    <w:uiPriority w:val="31"/>
    <w:qFormat/>
    <w:rsid w:val="001079F7"/>
    <w:rPr>
      <w:smallCaps/>
      <w:color w:val="auto"/>
      <w:u w:val="single"/>
    </w:rPr>
  </w:style>
  <w:style w:type="character" w:styleId="IntenseReference">
    <w:name w:val="Intense Reference"/>
    <w:uiPriority w:val="32"/>
    <w:qFormat/>
    <w:rsid w:val="001079F7"/>
    <w:rPr>
      <w:b/>
      <w:bCs/>
      <w:smallCaps/>
      <w:color w:val="auto"/>
      <w:spacing w:val="5"/>
      <w:u w:val="single"/>
    </w:rPr>
  </w:style>
  <w:style w:type="paragraph" w:customStyle="1" w:styleId="2ColumnHeading">
    <w:name w:val="2Column Heading"/>
    <w:basedOn w:val="BodyText"/>
    <w:qFormat/>
    <w:rsid w:val="001079F7"/>
    <w:pPr>
      <w:spacing w:after="60"/>
      <w:ind w:left="-2268"/>
    </w:pPr>
    <w:rPr>
      <w:b/>
    </w:rPr>
  </w:style>
  <w:style w:type="paragraph" w:customStyle="1" w:styleId="Heading1TOC">
    <w:name w:val="Heading1 TOC"/>
    <w:basedOn w:val="Normal"/>
    <w:qFormat/>
    <w:rsid w:val="001079F7"/>
    <w:pPr>
      <w:spacing w:before="240" w:after="120"/>
    </w:pPr>
    <w:rPr>
      <w:rFonts w:ascii="Times New Roman" w:hAnsi="Times New Roman"/>
      <w:b/>
      <w:sz w:val="32"/>
    </w:rPr>
  </w:style>
  <w:style w:type="paragraph" w:customStyle="1" w:styleId="Heading2TOC">
    <w:name w:val="Heading2 TOC"/>
    <w:basedOn w:val="Normal"/>
    <w:qFormat/>
    <w:rsid w:val="001079F7"/>
    <w:pPr>
      <w:spacing w:before="240" w:after="60"/>
    </w:pPr>
    <w:rPr>
      <w:rFonts w:ascii="Times New Roman" w:hAnsi="Times New Roman"/>
      <w:b/>
      <w:sz w:val="28"/>
    </w:rPr>
  </w:style>
  <w:style w:type="character" w:customStyle="1" w:styleId="Underline">
    <w:name w:val="Underline"/>
    <w:qFormat/>
    <w:rsid w:val="001079F7"/>
    <w:rPr>
      <w:u w:val="single"/>
    </w:rPr>
  </w:style>
  <w:style w:type="character" w:customStyle="1" w:styleId="BoldandItalics">
    <w:name w:val="Bold and Italics"/>
    <w:qFormat/>
    <w:rsid w:val="001079F7"/>
    <w:rPr>
      <w:b/>
      <w:i/>
      <w:u w:val="none"/>
    </w:rPr>
  </w:style>
  <w:style w:type="paragraph" w:styleId="BalloonText">
    <w:name w:val="Balloon Text"/>
    <w:basedOn w:val="Normal"/>
    <w:link w:val="BalloonTextChar"/>
    <w:rsid w:val="001079F7"/>
    <w:rPr>
      <w:rFonts w:ascii="Tahoma" w:hAnsi="Tahoma" w:cs="Tahoma"/>
      <w:sz w:val="16"/>
      <w:szCs w:val="16"/>
    </w:rPr>
  </w:style>
  <w:style w:type="character" w:customStyle="1" w:styleId="BalloonTextChar">
    <w:name w:val="Balloon Text Char"/>
    <w:link w:val="BalloonText"/>
    <w:rsid w:val="001079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79F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79F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2809</Words>
  <Characters>17878</Characters>
  <Application>Microsoft Office Word</Application>
  <DocSecurity>0</DocSecurity>
  <Lines>766</Lines>
  <Paragraphs>325</Paragraphs>
  <ScaleCrop>false</ScaleCrop>
  <Company>Author-it Software Corporation Ltd.</Company>
  <LinksUpToDate>false</LinksUpToDate>
  <CharactersWithSpaces>20459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UETTDRIS53A Install and maintain power system public lighting</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2012-05-26T12:13:00Z</dcterms:created>
  <dcterms:modified xsi:type="dcterms:W3CDTF">2012-05-26T12:13:00Z</dcterms:modified>
</cp:coreProperties>
</file>