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B26" w:rsidP="00C02B26">
      <w:pPr>
        <w:pStyle w:val="Title"/>
      </w:pPr>
      <w:r>
        <w:fldChar w:fldCharType="begin"/>
      </w:r>
      <w:r>
        <w:instrText xml:space="preserve"> TITLE   \* MERGEFORMAT </w:instrText>
      </w:r>
      <w:r>
        <w:fldChar w:fldCharType="separate"/>
      </w:r>
      <w:r>
        <w:t>UETTDRIS52A Install and maintain poles, structures and associated hardware</w:t>
      </w:r>
      <w:r>
        <w:fldChar w:fldCharType="end"/>
      </w:r>
    </w:p>
    <w:p w:rsidR="00C02B26" w:rsidP="00C02B26">
      <w:pPr>
        <w:pStyle w:val="Version"/>
        <w:sectPr w:rsidSect="00C34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46B" w:rsidP="00C3446B">
      <w:pPr>
        <w:pStyle w:val="SuperHeading"/>
      </w:pPr>
      <w:r w:rsidRPr="00C3446B">
        <w:t>UETTDRIS52A Install and maintain poles, structures and associated hardware</w:t>
      </w:r>
    </w:p>
    <w:p w:rsidR="00000000" w:rsidRPr="00C3446B" w:rsidP="00C3446B">
      <w:pPr>
        <w:pStyle w:val="Heading1"/>
      </w:pPr>
      <w:bookmarkStart w:id="1" w:name="O_462604"/>
      <w:bookmarkEnd w:id="1"/>
      <w:r w:rsidRPr="00C3446B">
        <w:t>Modification History</w:t>
      </w:r>
    </w:p>
    <w:p w:rsidR="00000000" w:rsidRPr="00C3446B" w:rsidP="00C3446B">
      <w:pPr>
        <w:pStyle w:val="BodyText"/>
      </w:pPr>
      <w:r w:rsidRPr="00C3446B">
        <w:t>Not applicable.</w:t>
      </w:r>
    </w:p>
    <w:p w:rsidR="00000000" w:rsidRPr="00C3446B" w:rsidP="00C3446B">
      <w:pPr>
        <w:pStyle w:val="AllowPageBreak"/>
      </w:pPr>
    </w:p>
    <w:p w:rsidR="00000000" w:rsidRPr="00C3446B" w:rsidP="00C3446B">
      <w:pPr>
        <w:pStyle w:val="Heading1"/>
      </w:pPr>
      <w:bookmarkStart w:id="2" w:name="O_462602"/>
      <w:bookmarkEnd w:id="2"/>
      <w:r w:rsidRPr="00C3446B">
        <w:t>Unit Descriptor</w:t>
      </w:r>
    </w:p>
    <w:tbl>
      <w:tblPr>
        <w:tblW w:w="0" w:type="auto"/>
        <w:tblLayout w:type="fixed"/>
        <w:tblCellMar>
          <w:left w:w="62" w:type="dxa"/>
          <w:right w:w="62" w:type="dxa"/>
        </w:tblCellMar>
        <w:tblLook w:val="0000"/>
      </w:tblPr>
      <w:tblGrid>
        <w:gridCol w:w="2700"/>
        <w:gridCol w:w="5760"/>
      </w:tblGrid>
      <w:tr w:rsidTr="00C02B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1)</w:t>
            </w:r>
            <w:r w:rsidRPr="00C3446B">
              <w:t xml:space="preserve"> </w:t>
            </w:r>
            <w:r w:rsidRPr="00C3446B">
              <w:rPr>
                <w:rStyle w:val="SpecialBold"/>
              </w:rPr>
              <w:t>Scope:</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44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1.1) Descriptor</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This Competency Standard Unit covers the installation and maintenance of poles and/or structures and associated hardware, other than towers, which may consist of wood, steel, concrete or composite type material. It includes the fixing and or securing of ha</w:t>
            </w:r>
            <w:r w:rsidRPr="00C3446B">
              <w:t xml:space="preserve">rdware associated as well as the repair and or replacement of poles and or structures used in the distribution and or rail traction industry sectors. It encompasses the implementation of a suitable traffic management plan. </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3" w:name="O_462591"/>
      <w:bookmarkEnd w:id="3"/>
      <w:r w:rsidRPr="00C3446B">
        <w:t>Application o</w:t>
      </w:r>
      <w:r w:rsidRPr="00C3446B">
        <w:t>f the Unit</w:t>
      </w:r>
    </w:p>
    <w:tbl>
      <w:tblPr>
        <w:tblW w:w="0" w:type="auto"/>
        <w:tblLayout w:type="fixed"/>
        <w:tblCellMar>
          <w:left w:w="62" w:type="dxa"/>
          <w:right w:w="62" w:type="dxa"/>
        </w:tblCellMar>
        <w:tblLook w:val="0000"/>
      </w:tblPr>
      <w:tblGrid>
        <w:gridCol w:w="2672"/>
        <w:gridCol w:w="5699"/>
      </w:tblGrid>
      <w:tr w:rsidTr="00C02B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2)</w:t>
            </w:r>
          </w:p>
        </w:tc>
      </w:tr>
      <w:tr w:rsidTr="00C02B2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This Competency Standard Unit is intended to augment formally acquired competencies. It is suitable for employment-based programs under an approved contract of training.</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4" w:name="O_462598"/>
      <w:bookmarkEnd w:id="4"/>
      <w:r w:rsidRPr="00C3446B">
        <w:t>Licensing/Regulatory Information</w:t>
      </w:r>
    </w:p>
    <w:tbl>
      <w:tblPr>
        <w:tblW w:w="0" w:type="auto"/>
        <w:tblLayout w:type="fixed"/>
        <w:tblCellMar>
          <w:left w:w="62" w:type="dxa"/>
          <w:right w:w="62" w:type="dxa"/>
        </w:tblCellMar>
        <w:tblLook w:val="0000"/>
      </w:tblPr>
      <w:tblGrid>
        <w:gridCol w:w="2700"/>
        <w:gridCol w:w="5760"/>
      </w:tblGrid>
      <w:tr w:rsidTr="00C02B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 xml:space="preserve">3) </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The skills and knowledge described in this unit may require a licence/registration to practice in the work place subject to regulations for undertaking of electrical work. Practice in workplace and</w:t>
            </w:r>
            <w:r w:rsidRPr="00C3446B">
              <w:t xml:space="preserve"> during training is also subject to regulations directly related to Occupational Health and </w:t>
            </w:r>
            <w:r w:rsidRPr="00C3446B">
              <w:t>Safety, electricity/telecommunications/gas/water industry safety and compliance, industrial relations, environmental protection, anti discrimination and training. C</w:t>
            </w:r>
            <w:r w:rsidRPr="00C3446B">
              <w:t>ommonwealth, State/Territory or Local Government legislation and regulations may exist that limits the age of operating certain equipment.</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5" w:name="O_462599"/>
      <w:bookmarkEnd w:id="5"/>
      <w:r w:rsidRPr="00C3446B">
        <w:t>Pre-Requisites</w:t>
      </w:r>
    </w:p>
    <w:tbl>
      <w:tblPr>
        <w:tblW w:w="0" w:type="auto"/>
        <w:tblLayout w:type="fixed"/>
        <w:tblCellMar>
          <w:left w:w="62" w:type="dxa"/>
          <w:right w:w="62" w:type="dxa"/>
        </w:tblCellMar>
        <w:tblLook w:val="0000"/>
      </w:tblPr>
      <w:tblGrid>
        <w:gridCol w:w="2700"/>
        <w:gridCol w:w="2070"/>
        <w:gridCol w:w="3690"/>
      </w:tblGrid>
      <w:tr w:rsidTr="00C02B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 xml:space="preserve">4) </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4.1)</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Granting of competency in this unit shall be made only after competency in the following unit(s) has/have been confirmed.</w:t>
            </w:r>
          </w:p>
          <w:p w:rsidR="00000000" w:rsidRPr="00C3446B" w:rsidP="00C3446B">
            <w:pPr>
              <w:pStyle w:val="BodyText"/>
            </w:pPr>
            <w:r w:rsidRPr="00C3446B">
              <w:t>Where pre-requisite pathways have been identified. All competencies in the Common Unit Group must be have been completed.</w:t>
            </w:r>
          </w:p>
          <w:p w:rsidR="00000000" w:rsidP="00C3446B">
            <w:pPr>
              <w:pStyle w:val="BodyText"/>
              <w:rPr>
                <w:lang w:val="en-NZ"/>
              </w:rPr>
            </w:pPr>
            <w:r w:rsidRPr="00C3446B">
              <w:t xml:space="preserve">Common Unit </w:t>
            </w:r>
            <w:r w:rsidRPr="00C3446B">
              <w:t>Group</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Unit Code</w:t>
            </w:r>
          </w:p>
        </w:tc>
        <w:tc>
          <w:tcPr>
            <w:tcW w:w="369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Unit Title</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C3446B">
            <w:pPr>
              <w:pStyle w:val="BodyText"/>
              <w:rPr>
                <w:lang w:val="en-NZ"/>
              </w:rPr>
            </w:pPr>
            <w:r w:rsidRPr="00C3446B">
              <w:t>Apply Occupational Health and Safety regulations, codes and practices in the workplace</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C3446B">
            <w:pPr>
              <w:pStyle w:val="BodyText"/>
              <w:rPr>
                <w:lang w:val="en-NZ"/>
              </w:rPr>
            </w:pPr>
            <w:r w:rsidRPr="00C3446B">
              <w:t>Fabricate, assemble and dismantle utilities industry components</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C3446B">
            <w:pPr>
              <w:pStyle w:val="BodyText"/>
              <w:rPr>
                <w:lang w:val="en-NZ"/>
              </w:rPr>
            </w:pPr>
            <w:r w:rsidRPr="00C3446B">
              <w:t>Fix and secure ele</w:t>
            </w:r>
            <w:r w:rsidRPr="00C3446B">
              <w:t>ctrotechnology equipment</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C3446B">
            <w:pPr>
              <w:pStyle w:val="BodyText"/>
              <w:rPr>
                <w:lang w:val="en-NZ"/>
              </w:rPr>
            </w:pPr>
            <w:r w:rsidRPr="00C3446B">
              <w:t>Use drawings, diagrams, schedules, standards, codes and specifications</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C3446B">
            <w:pPr>
              <w:pStyle w:val="BodyText"/>
              <w:rPr>
                <w:lang w:val="en-NZ"/>
              </w:rPr>
            </w:pPr>
            <w:r w:rsidRPr="00C3446B">
              <w:t xml:space="preserve">Apply sustainable energy and environmental procedures </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RPr="00C3446B" w:rsidP="00C3446B">
            <w:pPr>
              <w:pStyle w:val="BodyText"/>
            </w:pPr>
            <w:r w:rsidRPr="00C3446B">
              <w:t xml:space="preserve">Working safely near live electrical apparatus </w:t>
            </w:r>
          </w:p>
        </w:tc>
      </w:tr>
    </w:tbl>
    <w:p w:rsidR="00000000" w:rsidRPr="00C3446B" w:rsidP="00C3446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02B2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 xml:space="preserve">4.2) </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Participants are best equipped to achieve this unit if they have reading, writing and numeracy skills indicated by the following scales. Description of each scale is given in Volume 2, Part 3 “Literacy and Numeracy</w:t>
            </w:r>
            <w:r w:rsidRPr="00C3446B">
              <w:t>”</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Reading</w:t>
            </w:r>
          </w:p>
        </w:tc>
        <w:tc>
          <w:tcPr>
            <w:tcW w:w="81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w:t>
            </w:r>
          </w:p>
        </w:tc>
        <w:tc>
          <w:tcPr>
            <w:tcW w:w="99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Writing</w:t>
            </w:r>
          </w:p>
        </w:tc>
        <w:tc>
          <w:tcPr>
            <w:tcW w:w="90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w:t>
            </w:r>
          </w:p>
        </w:tc>
        <w:tc>
          <w:tcPr>
            <w:tcW w:w="12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Numeracy</w:t>
            </w:r>
          </w:p>
        </w:tc>
        <w:tc>
          <w:tcPr>
            <w:tcW w:w="72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3</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6" w:name="O_462595"/>
      <w:bookmarkEnd w:id="6"/>
      <w:r w:rsidRPr="00C3446B">
        <w:t>Employability Skills Information</w:t>
      </w:r>
    </w:p>
    <w:tbl>
      <w:tblPr>
        <w:tblW w:w="0" w:type="auto"/>
        <w:tblLayout w:type="fixed"/>
        <w:tblCellMar>
          <w:left w:w="62" w:type="dxa"/>
          <w:right w:w="62" w:type="dxa"/>
        </w:tblCellMar>
        <w:tblLook w:val="0000"/>
      </w:tblPr>
      <w:tblGrid>
        <w:gridCol w:w="2700"/>
        <w:gridCol w:w="5760"/>
      </w:tblGrid>
      <w:tr w:rsidTr="00C02B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 xml:space="preserve">5) </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3446B">
              <w:t>requirements.</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7" w:name="O_462594"/>
      <w:bookmarkEnd w:id="7"/>
      <w:r w:rsidRPr="00C3446B">
        <w:t>Elements and Performance Criteria Pre-Content</w:t>
      </w:r>
    </w:p>
    <w:tbl>
      <w:tblPr>
        <w:tblW w:w="0" w:type="auto"/>
        <w:tblLayout w:type="fixed"/>
        <w:tblCellMar>
          <w:left w:w="62" w:type="dxa"/>
          <w:right w:w="62" w:type="dxa"/>
        </w:tblCellMar>
        <w:tblLook w:val="0000"/>
      </w:tblPr>
      <w:tblGrid>
        <w:gridCol w:w="2700"/>
        <w:gridCol w:w="5760"/>
      </w:tblGrid>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6)</w:t>
            </w:r>
            <w:r w:rsidRPr="00C3446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Performance Criteria describe the required performance needed to demonstrate achievement of the element</w:t>
            </w:r>
            <w:r w:rsidRPr="00C3446B">
              <w:t>. Assessment of performance is to be consistent with the Evidence Guide.</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8" w:name="O_462593"/>
      <w:bookmarkEnd w:id="8"/>
      <w:r w:rsidRPr="00C3446B">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C02B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PERFORMANCE CRITERIA</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w:t>
            </w:r>
          </w:p>
        </w:tc>
        <w:tc>
          <w:tcPr>
            <w:tcW w:w="2293" w:type="dxa"/>
            <w:vMerge w:val="restart"/>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Prepare for the installation and maintenance of poles and/or structures and associated hardware</w:t>
            </w: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1.1</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Works schedule(s), including drawings, plans, requirements, established procedures, and material lists, are received, analysed and confirmed, if necessary, by site inspection.</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1.2</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Relevant requirements and established procedures for the work are com</w:t>
            </w:r>
            <w:r w:rsidRPr="00C3446B">
              <w:t>municated to all personnel and identified for all work sites.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1.3</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 xml:space="preserve">OHS policies and procedures related to requirements and established procedures the installation and maintenance of poles and/or structures </w:t>
            </w:r>
            <w:r w:rsidRPr="00C3446B">
              <w:t>and associated hardware are obtained and confirmed for the purposes of the work to be performed and communicated.</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1.4</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Work is prioritised and sequenced following consultation with others for completion within acceptable timeframes and in accordance with</w:t>
            </w:r>
            <w:r w:rsidRPr="00C3446B">
              <w:t xml:space="preserve">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1.5</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Hazards are identified, OHS risks assessed and control measures are prioritised, implemented and monitored including emergency exits kept clear according to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1.6</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Resources including personnel, equipment, tools and personal protective equipment required for the job are obtained and confirmed in working order.</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1.7</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Relevant work permits are obtained to access and perform work according to requirements and/or establ</w:t>
            </w:r>
            <w:r w:rsidRPr="00C3446B">
              <w:t>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1.8</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Relevant personnel at worksite are confirmed current in First Aid, Pole Top Rescue and other related work procedures according to requirements.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1.9</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Liaison and communication issues with other/authorised personnel, authorities, c</w:t>
            </w:r>
            <w:r w:rsidRPr="00C3446B">
              <w:t>lients and land owners are resolved to carry out work where necessary.</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1.10</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Site is prepared according to the work schedule and to minimise risk and damage to property, commerce, and individuals in accordance with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1.11</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Personnel participating in the work, including plant operators and contractors, are fully briefed and respective responsibilities confirmed where applicable in accordance with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1.12</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Traffic management plan is identified and implem</w:t>
            </w:r>
            <w:r w:rsidRPr="00C3446B">
              <w:t>ented.</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w:t>
            </w:r>
          </w:p>
        </w:tc>
        <w:tc>
          <w:tcPr>
            <w:tcW w:w="2293"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Carry out installation and maintenance of poles and/or structures and associated hardware</w:t>
            </w: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2.1</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OHS, sustainable energy and environmental principles and practices to reduce the incidents of accidents and minimise waste are monitored and followed in</w:t>
            </w:r>
            <w:r w:rsidRPr="00C3446B">
              <w:t xml:space="preserve"> accordance with requirements and/or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2.2</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Hazard warnings and safety signs are recognised and hazards and assessed OHS risks are reported to the immediate authorised persons for directions according to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2.3</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Lifting, climbing, working aloft, and use of power tools/equipment, techniques and practices are safely followed and, currency according to requirements confirmed.</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2.4</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Essential knowledge and associated skills are applied in the safe installation of</w:t>
            </w:r>
            <w:r w:rsidRPr="00C3446B">
              <w:t xml:space="preserve"> poles and/or structures and their associated hardware to ensure completion in an agreed timeframe and, to quality standards with a minimum of waste according to requirements.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2.5</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Poles and/or structures and their associated hardware to be installed are</w:t>
            </w:r>
            <w:r w:rsidRPr="00C3446B">
              <w:t xml:space="preserve"> stabilised according to requirements.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2.6</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Installation is carried out, in accordance with the work schedule and requirements/established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2.7</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Maintenance, including repair and/or replacement of poles and/or structures is carried out, in accordance with the work schedule and requirements/established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2.8</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 xml:space="preserve">Unplanned events in the installation of poles and/or structures and associated </w:t>
            </w:r>
            <w:r w:rsidRPr="00C3446B">
              <w:t>hardware are undertaken within the scope of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2.9</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Known solutions to a variety of problems are applied using acquired essential knowledge and associated skills.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2.10</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Ongoing checks of quality of the work are undertaken in accord</w:t>
            </w:r>
            <w:r w:rsidRPr="00C3446B">
              <w:t>ance with instructions and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w:t>
            </w:r>
          </w:p>
        </w:tc>
        <w:tc>
          <w:tcPr>
            <w:tcW w:w="2293" w:type="dxa"/>
            <w:vMerge w:val="restart"/>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Complete the installation and maintenance of poles and/or structures and associated hardware.</w:t>
            </w: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3.1</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Work undertaken is checked against works schedule for conformance with requirements and anomalies reported in accordance with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3.2</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Accidents and/or injuries are reported in accordance with requirements/established procedures, wher</w:t>
            </w:r>
            <w:r w:rsidRPr="00C3446B">
              <w:t>e applicable.</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3.3</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Work site is rehabilitated, cleaned up and made safe in accordance with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3.4</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Tools, equipment and any surplus resources and materials are, where appropriate, cleaned, checked and returned to storage or disposed of in accordance with established procedures.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3.5</w:t>
            </w:r>
          </w:p>
        </w:tc>
        <w:tc>
          <w:tcPr>
            <w:tcW w:w="4916"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Relevant work permit(s) are signed off and, poles and/or structures a</w:t>
            </w:r>
            <w:r w:rsidRPr="00C3446B">
              <w:t>nd their associated hardware are returned to service in accordance with requirements.</w:t>
            </w:r>
          </w:p>
        </w:tc>
      </w:tr>
      <w:tr w:rsidTr="00C02B26">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t>3.6</w:t>
            </w:r>
          </w:p>
        </w:tc>
        <w:tc>
          <w:tcPr>
            <w:tcW w:w="4916"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Works completion records, reports, as installed /modified drawing and/or documentation and information are finalised and processed and appropriate personnel notifi</w:t>
            </w:r>
            <w:r w:rsidRPr="00C3446B">
              <w:t>ed.</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9" w:name="O_462601"/>
      <w:bookmarkEnd w:id="9"/>
      <w:r w:rsidRPr="00C3446B">
        <w:t>Required Skills and Knowledge</w:t>
      </w:r>
    </w:p>
    <w:tbl>
      <w:tblPr>
        <w:tblW w:w="0" w:type="auto"/>
        <w:tblLayout w:type="fixed"/>
        <w:tblCellMar>
          <w:left w:w="62" w:type="dxa"/>
          <w:right w:w="62" w:type="dxa"/>
        </w:tblCellMar>
        <w:tblLook w:val="0000"/>
      </w:tblPr>
      <w:tblGrid>
        <w:gridCol w:w="8460"/>
      </w:tblGrid>
      <w:tr w:rsidTr="00C02B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REQUIRED SKILLS AND KNOWLEDGE</w:t>
            </w:r>
          </w:p>
        </w:tc>
      </w:tr>
      <w:tr w:rsidTr="00C02B2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8)</w:t>
            </w:r>
            <w:r w:rsidRPr="00C3446B">
              <w:t xml:space="preserve"> Essential Knowledge and Associated Skills (EKAS): This describes the essential skills and knowledge and their level, required for this unit.</w:t>
            </w:r>
          </w:p>
          <w:p w:rsidR="00000000" w:rsidRPr="00C3446B" w:rsidP="00C3446B">
            <w:pPr>
              <w:pStyle w:val="BodyText"/>
            </w:pPr>
            <w:r w:rsidRPr="00C3446B">
              <w:t>Evidence shall show that knowledge has been acquired of installing and maintaining poles/structures and associated hardware.</w:t>
            </w:r>
          </w:p>
          <w:p w:rsidR="00000000" w:rsidRPr="00C3446B" w:rsidP="00C3446B">
            <w:pPr>
              <w:pStyle w:val="BodyText"/>
            </w:pPr>
            <w:r w:rsidRPr="00C3446B">
              <w:t>All knowledge and skills detailed in this unit should be contextualised to current industry practices and technologies.</w:t>
            </w:r>
          </w:p>
          <w:p w:rsidR="00000000" w:rsidRPr="00C3446B" w:rsidP="00C3446B">
            <w:pPr>
              <w:pStyle w:val="BodyText"/>
            </w:pPr>
            <w:r w:rsidRPr="00C3446B">
              <w:t>KS01-TIS52A</w:t>
            </w:r>
            <w:r w:rsidRPr="00C3446B">
              <w:t xml:space="preserve"> </w:t>
            </w:r>
            <w:r w:rsidRPr="00C3446B">
              <w:tab/>
              <w:t>Pole and hardware installation and maintenance</w:t>
            </w:r>
          </w:p>
          <w:p w:rsidR="00000000" w:rsidRPr="00C3446B" w:rsidP="00C3446B">
            <w:pPr>
              <w:pStyle w:val="BodyText"/>
            </w:pPr>
            <w:r w:rsidRPr="00C3446B">
              <w:t>Evidence shall show an understanding of the installation of poles and or structures and hardware to an extent indicated by the following aspects:</w:t>
            </w:r>
          </w:p>
          <w:p w:rsidR="00000000" w:rsidRPr="00C3446B" w:rsidP="00C3446B">
            <w:pPr>
              <w:pStyle w:val="BodyText"/>
            </w:pPr>
            <w:r w:rsidRPr="00C3446B">
              <w:t>T1</w:t>
            </w:r>
            <w:r w:rsidRPr="00C3446B">
              <w:tab/>
              <w:t>Standards, codes, legislation, supply authority regulation</w:t>
            </w:r>
            <w:r w:rsidRPr="00C3446B">
              <w:t xml:space="preserve">s and or enterprise requirements applicable to installing poles and associated hardware </w:t>
            </w:r>
          </w:p>
          <w:p w:rsidR="00000000" w:rsidRPr="00C3446B" w:rsidP="00C3446B">
            <w:pPr>
              <w:pStyle w:val="BodyText"/>
            </w:pPr>
            <w:r w:rsidRPr="00C3446B">
              <w:t>T2</w:t>
            </w:r>
            <w:r w:rsidRPr="00C3446B">
              <w:tab/>
              <w:t xml:space="preserve">Requirements for the use of enterprise construction manuals, system diagrams/plans and drawings, encompassing: </w:t>
            </w:r>
          </w:p>
          <w:p w:rsidR="00000000" w:rsidRPr="00C3446B" w:rsidP="00C3446B">
            <w:pPr>
              <w:pStyle w:val="ListBullet"/>
            </w:pPr>
            <w:r w:rsidRPr="00C3446B">
              <w:t>Characteristics and applications of different types</w:t>
            </w:r>
            <w:r w:rsidRPr="00C3446B">
              <w:t xml:space="preserve"> of poles and associated hardware </w:t>
            </w:r>
          </w:p>
          <w:p w:rsidR="00000000" w:rsidRPr="00C3446B" w:rsidP="00C3446B">
            <w:pPr>
              <w:pStyle w:val="BodyText"/>
            </w:pPr>
            <w:r w:rsidRPr="00C3446B">
              <w:t>T3</w:t>
            </w:r>
            <w:r w:rsidRPr="00C3446B">
              <w:tab/>
              <w:t xml:space="preserve">Techniques for installing poles and associated hardware encompassing: </w:t>
            </w:r>
          </w:p>
          <w:p w:rsidR="00000000" w:rsidRPr="00C3446B" w:rsidP="00C3446B">
            <w:pPr>
              <w:pStyle w:val="ListBullet"/>
            </w:pPr>
            <w:r w:rsidRPr="00C3446B">
              <w:t xml:space="preserve">Types of installation equipment/tools </w:t>
            </w:r>
          </w:p>
          <w:p w:rsidR="00000000" w:rsidRPr="00C3446B" w:rsidP="00C3446B">
            <w:pPr>
              <w:pStyle w:val="ListBullet"/>
            </w:pPr>
            <w:r w:rsidRPr="00C3446B">
              <w:t xml:space="preserve">Excavation methods </w:t>
            </w:r>
          </w:p>
          <w:p w:rsidR="00000000" w:rsidRPr="00C3446B" w:rsidP="00C3446B">
            <w:pPr>
              <w:pStyle w:val="ListBullet"/>
            </w:pPr>
            <w:r w:rsidRPr="00C3446B">
              <w:t xml:space="preserve">Types of footings/foundations </w:t>
            </w:r>
          </w:p>
          <w:p w:rsidR="00000000" w:rsidRPr="00C3446B" w:rsidP="00C3446B">
            <w:pPr>
              <w:pStyle w:val="ListBullet"/>
            </w:pPr>
            <w:r w:rsidRPr="00C3446B">
              <w:t xml:space="preserve">Types of attachments </w:t>
            </w:r>
          </w:p>
          <w:p w:rsidR="00000000" w:rsidRPr="00C3446B" w:rsidP="00C3446B">
            <w:pPr>
              <w:pStyle w:val="ListBullet"/>
            </w:pPr>
            <w:r w:rsidRPr="00C3446B">
              <w:t xml:space="preserve">Earthing systems </w:t>
            </w:r>
          </w:p>
          <w:p w:rsidR="00000000" w:rsidRPr="00C3446B" w:rsidP="00C3446B">
            <w:pPr>
              <w:pStyle w:val="ListBullet"/>
            </w:pPr>
            <w:r w:rsidRPr="00C3446B">
              <w:t>Clearances betwe</w:t>
            </w:r>
            <w:r w:rsidRPr="00C3446B">
              <w:t xml:space="preserve">en conductors </w:t>
            </w:r>
          </w:p>
          <w:p w:rsidR="00000000" w:rsidRPr="00C3446B" w:rsidP="00C3446B">
            <w:pPr>
              <w:pStyle w:val="ListBullet"/>
            </w:pPr>
            <w:r w:rsidRPr="00C3446B">
              <w:t xml:space="preserve">Safe methods of erecting and stabling poles and or structures and cross arms </w:t>
            </w:r>
          </w:p>
          <w:p w:rsidR="00000000" w:rsidRPr="00C3446B" w:rsidP="00C3446B">
            <w:pPr>
              <w:pStyle w:val="BodyText"/>
            </w:pPr>
            <w:r w:rsidRPr="00C3446B">
              <w:t>T4</w:t>
            </w:r>
            <w:r w:rsidRPr="00C3446B">
              <w:tab/>
              <w:t xml:space="preserve">Techniques for maintenance of poles and associated hardware encompassing: </w:t>
            </w:r>
          </w:p>
          <w:p w:rsidR="00000000" w:rsidRPr="00C3446B" w:rsidP="00C3446B">
            <w:pPr>
              <w:pStyle w:val="ListBullet"/>
            </w:pPr>
            <w:r w:rsidRPr="00C3446B">
              <w:t xml:space="preserve">Stabilisation techniques for unstable poles </w:t>
            </w:r>
          </w:p>
          <w:p w:rsidR="00000000" w:rsidRPr="00C3446B" w:rsidP="00C3446B">
            <w:pPr>
              <w:pStyle w:val="ListBullet"/>
            </w:pPr>
            <w:r w:rsidRPr="00C3446B">
              <w:t xml:space="preserve">Methods of strengthen poles </w:t>
            </w:r>
          </w:p>
          <w:p w:rsidR="00000000" w:rsidRPr="00C3446B" w:rsidP="00C3446B">
            <w:pPr>
              <w:pStyle w:val="ListBullet"/>
            </w:pPr>
            <w:r w:rsidRPr="00C3446B">
              <w:t xml:space="preserve">Maintenance and replacement of high voltage insulators and cross arms </w:t>
            </w:r>
          </w:p>
          <w:p w:rsidR="00000000" w:rsidRPr="00C3446B" w:rsidP="00C3446B">
            <w:pPr>
              <w:pStyle w:val="BodyText"/>
            </w:pPr>
            <w:r w:rsidRPr="00C3446B">
              <w:t>T5</w:t>
            </w:r>
            <w:r w:rsidRPr="00C3446B">
              <w:tab/>
              <w:t xml:space="preserve">Traffic management  </w:t>
            </w:r>
          </w:p>
          <w:p w:rsidR="00000000" w:rsidRPr="00C3446B" w:rsidP="00C3446B">
            <w:pPr>
              <w:pStyle w:val="ListBullet"/>
            </w:pPr>
            <w:r w:rsidRPr="00C3446B">
              <w:t>Note: Examples include purpose of traffic management and a power worker’s responsibilities in accordance with relevant statutory requirements and electricity su</w:t>
            </w:r>
            <w:r w:rsidRPr="00C3446B">
              <w:t>pply industry requirements, demonstration of the procedure used to provide an effective traffic management scheme and the use of a two-way radio</w:t>
            </w:r>
          </w:p>
          <w:p w:rsidR="00000000" w:rsidRPr="00C3446B" w:rsidP="00C3446B">
            <w:pPr>
              <w:pStyle w:val="BodyText"/>
            </w:pPr>
            <w:r w:rsidRPr="00C3446B">
              <w:t>T6</w:t>
            </w:r>
            <w:r w:rsidRPr="00C3446B">
              <w:tab/>
              <w:t>Procedures for purchasing/ordering items, removing/dispatching items, stocktaking and record keeping</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10" w:name="O_462596"/>
      <w:bookmarkEnd w:id="10"/>
      <w:r w:rsidRPr="00C3446B">
        <w:t>Evidence Guide</w:t>
      </w:r>
    </w:p>
    <w:tbl>
      <w:tblPr>
        <w:tblW w:w="0" w:type="auto"/>
        <w:tblLayout w:type="fixed"/>
        <w:tblCellMar>
          <w:left w:w="62" w:type="dxa"/>
          <w:right w:w="62" w:type="dxa"/>
        </w:tblCellMar>
        <w:tblLook w:val="0000"/>
      </w:tblPr>
      <w:tblGrid>
        <w:gridCol w:w="8460"/>
      </w:tblGrid>
      <w:tr w:rsidTr="00C02B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EVIDENCE GUIDE</w:t>
            </w:r>
          </w:p>
        </w:tc>
      </w:tr>
      <w:tr w:rsidTr="00C02B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9)</w:t>
            </w:r>
            <w:r w:rsidRPr="00C3446B">
              <w:t xml:space="preserve"> This provides essential advice for assessment of the unit of competency and must be read in conjunction with the Performance Criteria and the range statement of the unit of competency and the Training</w:t>
            </w:r>
            <w:r w:rsidRPr="00C3446B">
              <w:t xml:space="preserve"> Package Assessment Guidelines.</w:t>
            </w:r>
          </w:p>
          <w:p w:rsidR="00000000" w:rsidRPr="00C3446B" w:rsidP="00C3446B">
            <w:pPr>
              <w:pStyle w:val="BodyText"/>
            </w:pPr>
            <w:r w:rsidRPr="00C3446B">
              <w:t>The Evidence Guide forms an integral part of this Competency Standard Unit and shall be used in conjunction with all component parts of this unit and, performed in accordance with the Assessment Guidelines of this Training P</w:t>
            </w:r>
            <w:r w:rsidRPr="00C3446B">
              <w:t>ackage.</w:t>
            </w:r>
          </w:p>
        </w:tc>
      </w:tr>
    </w:tbl>
    <w:p w:rsidR="00000000" w:rsidRPr="00C3446B" w:rsidP="00C3446B">
      <w:pPr>
        <w:pStyle w:val="BodyText"/>
      </w:pPr>
    </w:p>
    <w:tbl>
      <w:tblPr>
        <w:tblW w:w="0" w:type="auto"/>
        <w:tblLayout w:type="fixed"/>
        <w:tblCellMar>
          <w:left w:w="62" w:type="dxa"/>
          <w:right w:w="62" w:type="dxa"/>
        </w:tblCellMar>
        <w:tblLook w:val="0000"/>
      </w:tblPr>
      <w:tblGrid>
        <w:gridCol w:w="1890"/>
        <w:gridCol w:w="6570"/>
      </w:tblGrid>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9.1)</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Longitudinal competency development approaches to assessment, such as Profiling, require data to be reliably gathered in a form that can be consistently interpreted over time. This approach is best utilised in Appren</w:t>
            </w:r>
            <w:r w:rsidRPr="00C3446B">
              <w:t>ticeship programs and reduces assessment intervention. It is the Industry’s preferred model for apprenticeships. However, where summative (or final) assessment is used it is to include the application of the competency in the normal work environment or, at</w:t>
            </w:r>
            <w:r w:rsidRPr="00C3446B">
              <w:t xml:space="preserve"> a minimum, the application of the competency in a realistically simulated work environment. It is recognised that, in some circumstances, assessment in part or full can occur outside the workplace. However, it must be in accord with Industry and, Regulato</w:t>
            </w:r>
            <w:r w:rsidRPr="00C3446B">
              <w:t>ry policy in this regard.</w:t>
            </w:r>
          </w:p>
          <w:p w:rsidR="00000000" w:rsidRPr="00C3446B" w:rsidP="00C3446B">
            <w:pPr>
              <w:pStyle w:val="BodyText"/>
            </w:pPr>
            <w:r w:rsidRPr="00C3446B">
              <w:t xml:space="preserve">Methods chosen for a particular assessment will be influenced by various factors. These include the extent of the assessment, the most effective locations for the assessment activities to take place, access to physical resources, </w:t>
            </w:r>
            <w:r w:rsidRPr="00C3446B">
              <w:t>additional safety measures that may be required and the critical nature of the competencies being assessed.</w:t>
            </w:r>
          </w:p>
          <w:p w:rsidR="00000000" w:rsidRPr="00C3446B" w:rsidP="00C3446B">
            <w:pPr>
              <w:pStyle w:val="BodyText"/>
            </w:pPr>
            <w:r w:rsidRPr="00C3446B">
              <w:t>The critical safety nature of working with electricity, electrical equipment, gas or any other hazardous substance/material carries risk in deeming a person competent. Hence, sources of evidence need to be ‘rich’ in nature so as to minimise error in judgme</w:t>
            </w:r>
            <w:r w:rsidRPr="00C3446B">
              <w:t>nt.</w:t>
            </w:r>
          </w:p>
          <w:p w:rsidR="00000000" w:rsidRPr="00C3446B" w:rsidP="00C3446B">
            <w:pPr>
              <w:pStyle w:val="BodyText"/>
            </w:pPr>
            <w:r w:rsidRPr="00C3446B">
              <w:t>Activities associated with normal every day work have a bearing on the decision as to how much and how detailed the data gathered will contribute to its ‘richness’. Some skills are more critical to safety and operational requirements while the same ski</w:t>
            </w:r>
            <w:r w:rsidRPr="00C3446B">
              <w:t>lls may be more or less frequently practiced. These points are raised for the assessors to consider when choosing an assessment method and developing assessment instruments. Sample assessment instruments are included for Assessors in the Assessment Guideli</w:t>
            </w:r>
            <w:r w:rsidRPr="00C3446B">
              <w:t>nes of this Training Package.</w:t>
            </w:r>
          </w:p>
        </w:tc>
      </w:tr>
    </w:tbl>
    <w:p w:rsidR="00000000" w:rsidRPr="00C3446B" w:rsidP="00C3446B">
      <w:pPr>
        <w:pStyle w:val="BodyText"/>
      </w:pPr>
    </w:p>
    <w:tbl>
      <w:tblPr>
        <w:tblW w:w="0" w:type="auto"/>
        <w:tblLayout w:type="fixed"/>
        <w:tblCellMar>
          <w:left w:w="62" w:type="dxa"/>
          <w:right w:w="62" w:type="dxa"/>
        </w:tblCellMar>
        <w:tblLook w:val="0000"/>
      </w:tblPr>
      <w:tblGrid>
        <w:gridCol w:w="1890"/>
        <w:gridCol w:w="720"/>
        <w:gridCol w:w="1182"/>
        <w:gridCol w:w="2238"/>
        <w:gridCol w:w="2430"/>
      </w:tblGrid>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9.2)</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Before the critical aspects of evidence are considered all prerequisites shall be met.</w:t>
            </w:r>
          </w:p>
          <w:p w:rsidR="00000000" w:rsidRPr="00C3446B" w:rsidP="00C3446B">
            <w:pPr>
              <w:pStyle w:val="BodyText"/>
            </w:pPr>
            <w:r w:rsidRPr="00C3446B">
              <w:t>Evidence for competence in this unit shall be cons</w:t>
            </w:r>
            <w:r w:rsidRPr="00C3446B">
              <w:t>idered holistically. Each element and associated Performance Criteria shall be demonstrated on at least two occasions in accordance with the “Assessment Guidelines – UET12”. Evidence shall also comprise:</w:t>
            </w:r>
          </w:p>
          <w:p w:rsidR="00000000" w:rsidRPr="00C3446B" w:rsidP="00C3446B">
            <w:pPr>
              <w:pStyle w:val="ListBullet"/>
            </w:pPr>
            <w:r w:rsidRPr="00C3446B">
              <w:t>A representative body of Performance Criteria demon</w:t>
            </w:r>
            <w:r w:rsidRPr="00C3446B">
              <w:t>strated within the timeframes typically expected of the discipline, work function and industrial environment. In particular this shall incorporate evidence that shows a candidate is able to:</w:t>
            </w:r>
          </w:p>
          <w:p w:rsidR="00000000" w:rsidRPr="00C3446B" w:rsidP="00C3446B">
            <w:pPr>
              <w:pStyle w:val="ListBullet2"/>
            </w:pPr>
            <w:r w:rsidRPr="00C3446B">
              <w:t>Implement Occupational Health and Safety workplace procedures and practices including the use of risk control measures as specified in the Performance Criteria and range; and</w:t>
            </w:r>
          </w:p>
          <w:p w:rsidR="00000000" w:rsidRPr="00C3446B" w:rsidP="00C3446B">
            <w:pPr>
              <w:pStyle w:val="ListBullet2"/>
            </w:pPr>
            <w:r w:rsidRPr="00C3446B">
              <w:t>Apply sustainable energy principles and practices as specified in the Performance</w:t>
            </w:r>
            <w:r w:rsidRPr="00C3446B">
              <w:t xml:space="preserve"> Criteria and range; and</w:t>
            </w:r>
          </w:p>
          <w:p w:rsidR="00000000" w:rsidRPr="00C3446B" w:rsidP="00C3446B">
            <w:pPr>
              <w:pStyle w:val="ListBullet2"/>
            </w:pPr>
            <w:r w:rsidRPr="00C3446B">
              <w:t>Demonstrate an understanding of the essential knowledge and associated skills as described in this unit to such an extent that the learner’s performance outcome is reported in accordance with the preferred approach; namely a percen</w:t>
            </w:r>
            <w:r w:rsidRPr="00C3446B">
              <w:t>tile graded result, where required by the regulated environment; and</w:t>
            </w:r>
          </w:p>
          <w:p w:rsidR="00000000" w:rsidRPr="00C3446B" w:rsidP="00C3446B">
            <w:pPr>
              <w:pStyle w:val="ListBullet2"/>
            </w:pPr>
            <w:r w:rsidRPr="00C3446B">
              <w:t>Demonstrate an appropriate level of employability skills; and</w:t>
            </w:r>
          </w:p>
          <w:p w:rsidR="00000000" w:rsidRPr="00C3446B" w:rsidP="00C3446B">
            <w:pPr>
              <w:pStyle w:val="ListBullet"/>
            </w:pPr>
            <w:r w:rsidRPr="00C3446B">
              <w:t>Conduct work observing the relevant Anti Discrimination legislation, regulations, policies and workplace procedures; and</w:t>
            </w:r>
          </w:p>
          <w:p w:rsidR="00000000" w:rsidP="00C3446B">
            <w:pPr>
              <w:pStyle w:val="ListBullet2"/>
              <w:rPr>
                <w:lang w:val="en-NZ"/>
              </w:rPr>
            </w:pPr>
            <w:r w:rsidRPr="00C3446B">
              <w:t>De</w:t>
            </w:r>
            <w:r w:rsidRPr="00C3446B">
              <w:t>monstrated performance across a representative range of contexts from the prescribed items below:</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3446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rPr>
                <w:rStyle w:val="SpecialBold"/>
              </w:rPr>
              <w:t>Range of tools/equipment/materials/procedures/workplaces/other variables</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3446B">
            <w:pPr>
              <w:pStyle w:val="BodyText"/>
              <w:keepNext w:val="0"/>
              <w:keepLines w:val="0"/>
              <w:contextualSpacing w:val="0"/>
            </w:pPr>
          </w:p>
        </w:tc>
        <w:tc>
          <w:tcPr>
            <w:tcW w:w="1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46B" w:rsidP="00C3446B">
            <w:pPr>
              <w:pStyle w:val="BodyText"/>
            </w:pPr>
            <w:r w:rsidRPr="00C3446B">
              <w:rPr>
                <w:rStyle w:val="SpecialBold"/>
              </w:rPr>
              <w:t>Group No</w:t>
            </w:r>
          </w:p>
        </w:tc>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46B" w:rsidP="00C3446B">
            <w:pPr>
              <w:pStyle w:val="BodyText"/>
            </w:pPr>
            <w:r w:rsidRPr="00C3446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rPr>
                <w:rStyle w:val="SpecialBold"/>
              </w:rPr>
              <w:t>Item List</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A</w:t>
            </w:r>
          </w:p>
        </w:tc>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46B" w:rsidP="00C3446B">
            <w:pPr>
              <w:pStyle w:val="BodyText"/>
            </w:pPr>
            <w:r w:rsidRPr="00C3446B">
              <w:t>Wood pole/structure</w:t>
            </w:r>
          </w:p>
          <w:p w:rsidR="00000000" w:rsidRPr="00C3446B" w:rsidP="00C3446B">
            <w:pPr>
              <w:pStyle w:val="BodyText"/>
            </w:pPr>
            <w:r w:rsidRPr="00C3446B">
              <w:t xml:space="preserve">Steel pole/structure </w:t>
            </w:r>
          </w:p>
          <w:p w:rsidR="00000000" w:rsidRPr="00C3446B" w:rsidP="00C3446B">
            <w:pPr>
              <w:pStyle w:val="BodyText"/>
            </w:pPr>
            <w:r w:rsidRPr="00C3446B">
              <w:t>Concrete pole/structure</w:t>
            </w:r>
          </w:p>
          <w:p w:rsidR="00000000" w:rsidP="00C3446B">
            <w:pPr>
              <w:pStyle w:val="BodyText"/>
              <w:rPr>
                <w:lang w:val="en-NZ"/>
              </w:rPr>
            </w:pPr>
            <w:r w:rsidRPr="00C3446B">
              <w:t>Composite pole/structure</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B</w:t>
            </w:r>
          </w:p>
        </w:tc>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46B" w:rsidP="00C3446B">
            <w:pPr>
              <w:pStyle w:val="BodyText"/>
            </w:pPr>
            <w:r w:rsidRPr="00C3446B">
              <w:t>Insulators</w:t>
            </w:r>
          </w:p>
          <w:p w:rsidR="00000000" w:rsidRPr="00C3446B" w:rsidP="00C3446B">
            <w:pPr>
              <w:pStyle w:val="BodyText"/>
            </w:pPr>
            <w:r w:rsidRPr="00C3446B">
              <w:t>Cross arm braces</w:t>
            </w:r>
          </w:p>
          <w:p w:rsidR="00000000" w:rsidRPr="00C3446B" w:rsidP="00C3446B">
            <w:pPr>
              <w:pStyle w:val="BodyText"/>
            </w:pPr>
            <w:r w:rsidRPr="00C3446B">
              <w:t>Crossarms</w:t>
            </w:r>
          </w:p>
          <w:p w:rsidR="00000000" w:rsidRPr="00C3446B" w:rsidP="00C3446B">
            <w:pPr>
              <w:pStyle w:val="BodyText"/>
            </w:pPr>
            <w:r w:rsidRPr="00C3446B">
              <w:t>Pole steps</w:t>
            </w:r>
          </w:p>
          <w:p w:rsidR="00000000" w:rsidRPr="00C3446B" w:rsidP="00C3446B">
            <w:pPr>
              <w:pStyle w:val="BodyText"/>
            </w:pPr>
            <w:r w:rsidRPr="00C3446B">
              <w:t>Shackle straps</w:t>
            </w:r>
          </w:p>
          <w:p w:rsidR="00000000" w:rsidRPr="00C3446B" w:rsidP="00C3446B">
            <w:pPr>
              <w:pStyle w:val="BodyText"/>
            </w:pPr>
            <w:r w:rsidRPr="00C3446B">
              <w:t>Earth leads</w:t>
            </w:r>
          </w:p>
          <w:p w:rsidR="00000000" w:rsidRPr="00C3446B" w:rsidP="00C3446B">
            <w:pPr>
              <w:pStyle w:val="BodyText"/>
            </w:pPr>
            <w:r w:rsidRPr="00C3446B">
              <w:t>Traction supports</w:t>
            </w:r>
          </w:p>
          <w:p w:rsidR="00000000" w:rsidRPr="00C3446B" w:rsidP="00C3446B">
            <w:pPr>
              <w:pStyle w:val="BodyText"/>
            </w:pPr>
            <w:r w:rsidRPr="00C3446B">
              <w:t>Traction registration</w:t>
            </w:r>
          </w:p>
          <w:p w:rsidR="00000000" w:rsidP="00C3446B">
            <w:pPr>
              <w:pStyle w:val="BodyText"/>
              <w:rPr>
                <w:lang w:val="en-NZ"/>
              </w:rPr>
            </w:pPr>
            <w:r w:rsidRPr="00C3446B">
              <w:t>Bonding</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C</w:t>
            </w:r>
          </w:p>
        </w:tc>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46B" w:rsidP="00C3446B">
            <w:pPr>
              <w:pStyle w:val="BodyText"/>
            </w:pPr>
            <w:r w:rsidRPr="00C3446B">
              <w:t xml:space="preserve">Baulking </w:t>
            </w:r>
          </w:p>
          <w:p w:rsidR="00000000" w:rsidRPr="00C3446B" w:rsidP="00C3446B">
            <w:pPr>
              <w:pStyle w:val="BodyText"/>
            </w:pPr>
            <w:r w:rsidRPr="00C3446B">
              <w:t>Stays</w:t>
            </w:r>
          </w:p>
          <w:p w:rsidR="00000000" w:rsidP="00C3446B">
            <w:pPr>
              <w:pStyle w:val="BodyText"/>
              <w:rPr>
                <w:lang w:val="en-NZ"/>
              </w:rPr>
            </w:pPr>
            <w:r w:rsidRPr="00C3446B">
              <w:t>Concreting including foundation</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D</w:t>
            </w:r>
          </w:p>
        </w:tc>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46B" w:rsidP="00C3446B">
            <w:pPr>
              <w:pStyle w:val="BodyText"/>
            </w:pPr>
            <w:r w:rsidRPr="00C3446B">
              <w:t>Crane</w:t>
            </w:r>
          </w:p>
          <w:p w:rsidR="00000000" w:rsidRPr="00C3446B" w:rsidP="00C3446B">
            <w:pPr>
              <w:pStyle w:val="BodyText"/>
            </w:pPr>
            <w:r w:rsidRPr="00C3446B">
              <w:t>Auger/erector</w:t>
            </w:r>
          </w:p>
          <w:p w:rsidR="00000000" w:rsidRPr="00C3446B" w:rsidP="00C3446B">
            <w:pPr>
              <w:pStyle w:val="BodyText"/>
            </w:pPr>
            <w:r w:rsidRPr="00C3446B">
              <w:t>‘A’ frame</w:t>
            </w:r>
          </w:p>
          <w:p w:rsidR="00000000" w:rsidRPr="00C3446B" w:rsidP="00C3446B">
            <w:pPr>
              <w:pStyle w:val="BodyText"/>
            </w:pPr>
            <w:r w:rsidRPr="00C3446B">
              <w:t>Lifting beam</w:t>
            </w:r>
          </w:p>
          <w:p w:rsidR="00000000" w:rsidRPr="00C3446B" w:rsidP="00C3446B">
            <w:pPr>
              <w:pStyle w:val="BodyText"/>
            </w:pPr>
            <w:r w:rsidRPr="00C3446B">
              <w:t>Pole pikes</w:t>
            </w:r>
          </w:p>
          <w:p w:rsidR="00000000" w:rsidP="00C3446B">
            <w:pPr>
              <w:pStyle w:val="BodyText"/>
              <w:rPr>
                <w:lang w:val="en-NZ"/>
              </w:rPr>
            </w:pPr>
            <w:r w:rsidRPr="00C3446B">
              <w:t>Helicopter lift</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E</w:t>
            </w:r>
          </w:p>
        </w:tc>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46B">
            <w:pPr>
              <w:pStyle w:val="BodyText"/>
              <w:rPr>
                <w:lang w:val="en-NZ"/>
              </w:rPr>
            </w:pPr>
            <w:r w:rsidRPr="00C3446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46B" w:rsidP="00C3446B">
            <w:pPr>
              <w:pStyle w:val="BodyText"/>
            </w:pPr>
            <w:r w:rsidRPr="00C3446B">
              <w:t>Dealing with an unplanned event by drawing on essential knowledge and associated skills to provide appropriate solutions incorporated in the holistic assessment with the above listed items.</w:t>
            </w:r>
          </w:p>
        </w:tc>
      </w:tr>
    </w:tbl>
    <w:p w:rsidR="00000000" w:rsidRPr="00C3446B" w:rsidP="00C3446B">
      <w:pPr>
        <w:pStyle w:val="BodyText"/>
      </w:pPr>
    </w:p>
    <w:tbl>
      <w:tblPr>
        <w:tblW w:w="0" w:type="auto"/>
        <w:tblLayout w:type="fixed"/>
        <w:tblCellMar>
          <w:left w:w="62" w:type="dxa"/>
          <w:right w:w="62" w:type="dxa"/>
        </w:tblCellMar>
        <w:tblLook w:val="0000"/>
      </w:tblPr>
      <w:tblGrid>
        <w:gridCol w:w="1890"/>
        <w:gridCol w:w="6570"/>
      </w:tblGrid>
      <w:tr w:rsidTr="00C02B2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Context of and specific resources for asse</w:t>
            </w:r>
            <w:r w:rsidRPr="00C3446B">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9.3)</w:t>
            </w:r>
          </w:p>
        </w:tc>
      </w:tr>
      <w:tr w:rsidTr="00C02B2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This unit should be assessed as it relates to normal work practice using procedures, information and resources typical of a workplace. This should include:</w:t>
            </w:r>
          </w:p>
          <w:p w:rsidR="00000000" w:rsidRPr="00C3446B" w:rsidP="00C3446B">
            <w:pPr>
              <w:pStyle w:val="ListBullet"/>
            </w:pPr>
            <w:r w:rsidRPr="00C3446B">
              <w:t>OHS policy and work procedures and instructions.</w:t>
            </w:r>
          </w:p>
          <w:p w:rsidR="00000000" w:rsidRPr="00C3446B" w:rsidP="00C3446B">
            <w:pPr>
              <w:pStyle w:val="ListBullet"/>
            </w:pPr>
            <w:r w:rsidRPr="00C3446B">
              <w:t xml:space="preserve">Suitable work environment, facilities, equipment and materials to undertake actual installation of poles and or structures and their associated hardware. </w:t>
            </w:r>
          </w:p>
          <w:p w:rsidR="00000000" w:rsidRPr="00C3446B" w:rsidP="00C3446B">
            <w:pPr>
              <w:pStyle w:val="BodyText"/>
            </w:pPr>
            <w:r w:rsidRPr="00C3446B">
              <w:t>In addition to the resources listed above, in Context of and specific resources for assessment, evide</w:t>
            </w:r>
            <w:r w:rsidRPr="00C3446B">
              <w:t>nce should show demonstrated competency working below ground, in limited spaces, with different structural/construction types and method and in a variety of environments.</w:t>
            </w:r>
          </w:p>
        </w:tc>
      </w:tr>
    </w:tbl>
    <w:p w:rsidR="00000000" w:rsidRPr="00C3446B" w:rsidP="00C3446B">
      <w:pPr>
        <w:pStyle w:val="BodyText"/>
      </w:pPr>
    </w:p>
    <w:tbl>
      <w:tblPr>
        <w:tblW w:w="0" w:type="auto"/>
        <w:tblLayout w:type="fixed"/>
        <w:tblCellMar>
          <w:left w:w="62" w:type="dxa"/>
          <w:right w:w="62" w:type="dxa"/>
        </w:tblCellMar>
        <w:tblLook w:val="0000"/>
      </w:tblPr>
      <w:tblGrid>
        <w:gridCol w:w="1890"/>
        <w:gridCol w:w="6570"/>
      </w:tblGrid>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9.4)</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This Competency Standard Unit shall be assessed by methods given in Volume 1, Part 3 “Assessment Guidelines”.</w:t>
            </w:r>
          </w:p>
          <w:p w:rsidR="00000000" w:rsidRPr="00C3446B" w:rsidP="00C3446B">
            <w:pPr>
              <w:pStyle w:val="BodyText"/>
            </w:pPr>
            <w:r w:rsidRPr="00C3446B">
              <w:t>Note:</w:t>
            </w:r>
          </w:p>
          <w:p w:rsidR="00000000" w:rsidRPr="00C3446B" w:rsidP="00C3446B">
            <w:pPr>
              <w:pStyle w:val="BodyText"/>
            </w:pPr>
            <w:r w:rsidRPr="00C3446B">
              <w:t xml:space="preserve">Competent performance with inherent safe working practices is expected in the Industry to which this Competency Standard Unit applies. This </w:t>
            </w:r>
            <w:r w:rsidRPr="00C3446B">
              <w:t>requires that the specified essential knowledge and associated skills are assessed in a structured environment which is primarily intended for learning/assessment and incorporates all necessary equipment and facilities for learners to develop and demonstra</w:t>
            </w:r>
            <w:r w:rsidRPr="00C3446B">
              <w:t>te the essential knowledge and associated skills described in this unit.</w:t>
            </w:r>
          </w:p>
        </w:tc>
      </w:tr>
    </w:tbl>
    <w:p w:rsidR="00000000" w:rsidRPr="00C3446B" w:rsidP="00C3446B">
      <w:pPr>
        <w:pStyle w:val="BodyText"/>
      </w:pPr>
    </w:p>
    <w:tbl>
      <w:tblPr>
        <w:tblW w:w="0" w:type="auto"/>
        <w:tblLayout w:type="fixed"/>
        <w:tblCellMar>
          <w:left w:w="62" w:type="dxa"/>
          <w:right w:w="62" w:type="dxa"/>
        </w:tblCellMar>
        <w:tblLook w:val="0000"/>
      </w:tblPr>
      <w:tblGrid>
        <w:gridCol w:w="1890"/>
        <w:gridCol w:w="6570"/>
      </w:tblGrid>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9.5)</w:t>
            </w:r>
          </w:p>
        </w:tc>
      </w:tr>
      <w:tr w:rsidTr="00C02B2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There are no concurrent assessment recommendations for this unit.</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11" w:name="O_462600"/>
      <w:bookmarkEnd w:id="11"/>
      <w:r w:rsidRPr="00C3446B">
        <w:t>Range Statement</w:t>
      </w:r>
    </w:p>
    <w:tbl>
      <w:tblPr>
        <w:tblW w:w="0" w:type="auto"/>
        <w:tblLayout w:type="fixed"/>
        <w:tblCellMar>
          <w:left w:w="62" w:type="dxa"/>
          <w:right w:w="62" w:type="dxa"/>
        </w:tblCellMar>
        <w:tblLook w:val="0000"/>
      </w:tblPr>
      <w:tblGrid>
        <w:gridCol w:w="8460"/>
      </w:tblGrid>
      <w:tr w:rsidTr="00C02B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RANGE STATEMENT</w:t>
            </w:r>
          </w:p>
        </w:tc>
      </w:tr>
      <w:tr w:rsidTr="00C02B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10)</w:t>
            </w:r>
            <w:r w:rsidRPr="00C3446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3446B" w:rsidP="00C3446B">
            <w:pPr>
              <w:pStyle w:val="BodyText"/>
            </w:pPr>
            <w:r w:rsidRPr="00C3446B">
              <w:t>This Competency Standard Un</w:t>
            </w:r>
            <w:r w:rsidRPr="00C3446B">
              <w:t>it shall be demonstrated in relation to the installation of poles and or structures which may include basic inspection, removal, repair and replacement of poles and/or structures, including welding, pole staking and rebutting.</w:t>
            </w:r>
          </w:p>
          <w:p w:rsidR="00000000" w:rsidRPr="00C3446B" w:rsidP="00C3446B">
            <w:pPr>
              <w:pStyle w:val="BodyText"/>
            </w:pPr>
            <w:r w:rsidRPr="00C3446B">
              <w:t>Equipment may include:</w:t>
            </w:r>
          </w:p>
          <w:p w:rsidR="00000000" w:rsidRPr="00C3446B" w:rsidP="00C3446B">
            <w:pPr>
              <w:pStyle w:val="BodyText"/>
            </w:pPr>
            <w:r w:rsidRPr="00C3446B">
              <w:t>Pole t</w:t>
            </w:r>
            <w:r w:rsidRPr="00C3446B">
              <w:t>ypes and structures may include wood, concrete, steel and composite.</w:t>
            </w:r>
          </w:p>
          <w:p w:rsidR="00000000" w:rsidRPr="00C3446B" w:rsidP="00C3446B">
            <w:pPr>
              <w:pStyle w:val="BodyText"/>
            </w:pPr>
            <w:r w:rsidRPr="00C3446B">
              <w:t>Maintenance may include the basic inspection, removal, repair and replacement of poles including welding, pole staking and rebutting.</w:t>
            </w:r>
          </w:p>
          <w:p w:rsidR="00000000" w:rsidRPr="00C3446B" w:rsidP="00C3446B">
            <w:pPr>
              <w:pStyle w:val="BodyText"/>
            </w:pPr>
            <w:r w:rsidRPr="00C3446B">
              <w:t>Associated hardware includes insulators, crossarms, s</w:t>
            </w:r>
            <w:r w:rsidRPr="00C3446B">
              <w:t>tays, earth down leads and bond wires, crossarm braces, pole steps, shackle straps and associated bolts and clamps, cantilever assembly, pull off, head span, portal, drop tube</w:t>
            </w:r>
          </w:p>
          <w:p w:rsidR="00000000" w:rsidRPr="00C3446B" w:rsidP="00C3446B">
            <w:pPr>
              <w:pStyle w:val="BodyText"/>
            </w:pPr>
            <w:r w:rsidRPr="00C3446B">
              <w:t>Pole stabilisation techniques include back-fill consolidation, concreting, baulk</w:t>
            </w:r>
            <w:r w:rsidRPr="00C3446B">
              <w:t>ing, reinforcement nailing, approved steel reinforcing and temporary and permanent stay-wires.</w:t>
            </w:r>
          </w:p>
          <w:p w:rsidR="00000000" w:rsidRPr="00C3446B" w:rsidP="00C3446B">
            <w:pPr>
              <w:pStyle w:val="BodyText"/>
            </w:pPr>
            <w:r w:rsidRPr="00C3446B">
              <w:t>Methods of erection may include crane, auger/erector, winch/‘A’ frame, lifting apparatus and helicopter lift.</w:t>
            </w:r>
          </w:p>
          <w:p w:rsidR="00000000" w:rsidRPr="00C3446B" w:rsidP="00C3446B">
            <w:pPr>
              <w:pStyle w:val="BodyText"/>
            </w:pPr>
            <w:r w:rsidRPr="00C3446B">
              <w:t>The following constants and variables included in t</w:t>
            </w:r>
            <w:r w:rsidRPr="00C3446B">
              <w:t>he element/Performance Criteria in this unit are fully described in the Definitions Section 1 of this volume and form an integral part of the Range Statement of this unit:</w:t>
            </w:r>
          </w:p>
          <w:p w:rsidR="00000000" w:rsidRPr="00C3446B" w:rsidP="00C3446B">
            <w:pPr>
              <w:pStyle w:val="ListBullet3"/>
            </w:pPr>
            <w:r w:rsidRPr="00C3446B">
              <w:t>Appropriate and relevant persons (see Personnel)</w:t>
            </w:r>
          </w:p>
          <w:p w:rsidR="00000000" w:rsidRPr="00C3446B" w:rsidP="00C3446B">
            <w:pPr>
              <w:pStyle w:val="ListBullet3"/>
            </w:pPr>
            <w:r w:rsidRPr="00C3446B">
              <w:t>Appropriate authorities</w:t>
            </w:r>
          </w:p>
          <w:p w:rsidR="00000000" w:rsidRPr="00C3446B" w:rsidP="00C3446B">
            <w:pPr>
              <w:pStyle w:val="ListBullet3"/>
            </w:pPr>
            <w:r w:rsidRPr="00C3446B">
              <w:t>Appropriat</w:t>
            </w:r>
            <w:r w:rsidRPr="00C3446B">
              <w:t>e work platform</w:t>
            </w:r>
          </w:p>
          <w:p w:rsidR="00000000" w:rsidRPr="00C3446B" w:rsidP="00C3446B">
            <w:pPr>
              <w:pStyle w:val="ListBullet3"/>
            </w:pPr>
            <w:r w:rsidRPr="00C3446B">
              <w:t>Assessing risk</w:t>
            </w:r>
          </w:p>
          <w:p w:rsidR="00000000" w:rsidRPr="00C3446B" w:rsidP="00C3446B">
            <w:pPr>
              <w:pStyle w:val="ListBullet3"/>
            </w:pPr>
            <w:r w:rsidRPr="00C3446B">
              <w:t>Assessment</w:t>
            </w:r>
          </w:p>
          <w:p w:rsidR="00000000" w:rsidRPr="00C3446B" w:rsidP="00C3446B">
            <w:pPr>
              <w:pStyle w:val="ListBullet3"/>
            </w:pPr>
            <w:r w:rsidRPr="00C3446B">
              <w:t>Authorisation</w:t>
            </w:r>
          </w:p>
          <w:p w:rsidR="00000000" w:rsidRPr="00C3446B" w:rsidP="00C3446B">
            <w:pPr>
              <w:pStyle w:val="ListBullet3"/>
            </w:pPr>
            <w:r w:rsidRPr="00C3446B">
              <w:t>Confined space</w:t>
            </w:r>
          </w:p>
          <w:p w:rsidR="00000000" w:rsidRPr="00C3446B" w:rsidP="00C3446B">
            <w:pPr>
              <w:pStyle w:val="ListBullet3"/>
            </w:pPr>
            <w:r w:rsidRPr="00C3446B">
              <w:t>Diagnostic, testing and restoration</w:t>
            </w:r>
          </w:p>
          <w:p w:rsidR="00000000" w:rsidRPr="00C3446B" w:rsidP="00C3446B">
            <w:pPr>
              <w:pStyle w:val="ListBullet3"/>
            </w:pPr>
            <w:r w:rsidRPr="00C3446B">
              <w:t>Documenting detail work events, record keeping and or storage of information</w:t>
            </w:r>
          </w:p>
          <w:p w:rsidR="00000000" w:rsidRPr="00C3446B" w:rsidP="00C3446B">
            <w:pPr>
              <w:pStyle w:val="ListBullet3"/>
            </w:pPr>
            <w:r w:rsidRPr="00C3446B">
              <w:t>Drawings and specifications</w:t>
            </w:r>
          </w:p>
          <w:p w:rsidR="00000000" w:rsidRPr="00C3446B" w:rsidP="00C3446B">
            <w:pPr>
              <w:pStyle w:val="ListBullet3"/>
            </w:pPr>
            <w:r w:rsidRPr="00C3446B">
              <w:t>Emergency</w:t>
            </w:r>
          </w:p>
          <w:p w:rsidR="00000000" w:rsidRPr="00C3446B" w:rsidP="00C3446B">
            <w:pPr>
              <w:pStyle w:val="ListBullet3"/>
            </w:pPr>
            <w:r w:rsidRPr="00C3446B">
              <w:t>Environmental and sustainable energy procedures</w:t>
            </w:r>
          </w:p>
          <w:p w:rsidR="00000000" w:rsidRPr="00C3446B" w:rsidP="00C3446B">
            <w:pPr>
              <w:pStyle w:val="ListBullet3"/>
            </w:pPr>
            <w:r w:rsidRPr="00C3446B">
              <w:t>Environmental legislation</w:t>
            </w:r>
          </w:p>
          <w:p w:rsidR="00000000" w:rsidRPr="00C3446B" w:rsidP="00C3446B">
            <w:pPr>
              <w:pStyle w:val="ListBullet3"/>
            </w:pPr>
            <w:r w:rsidRPr="00C3446B">
              <w:t>Environmental management documentation</w:t>
            </w:r>
          </w:p>
          <w:p w:rsidR="00000000" w:rsidRPr="00C3446B" w:rsidP="00C3446B">
            <w:pPr>
              <w:pStyle w:val="ListBullet3"/>
            </w:pPr>
            <w:r w:rsidRPr="00C3446B">
              <w:t>Established procedures</w:t>
            </w:r>
          </w:p>
          <w:p w:rsidR="00000000" w:rsidRPr="00C3446B" w:rsidP="00C3446B">
            <w:pPr>
              <w:pStyle w:val="ListBullet3"/>
            </w:pPr>
            <w:r w:rsidRPr="00C3446B">
              <w:t>Fall prevention</w:t>
            </w:r>
          </w:p>
          <w:p w:rsidR="00000000" w:rsidRPr="00C3446B" w:rsidP="00C3446B">
            <w:pPr>
              <w:pStyle w:val="ListBullet3"/>
            </w:pPr>
            <w:r w:rsidRPr="00C3446B">
              <w:t>Hazards</w:t>
            </w:r>
          </w:p>
          <w:p w:rsidR="00000000" w:rsidRPr="00C3446B" w:rsidP="00C3446B">
            <w:pPr>
              <w:pStyle w:val="ListBullet3"/>
            </w:pPr>
            <w:r w:rsidRPr="00C3446B">
              <w:t>Identifying hazards</w:t>
            </w:r>
          </w:p>
          <w:p w:rsidR="00000000" w:rsidRPr="00C3446B" w:rsidP="00C3446B">
            <w:pPr>
              <w:pStyle w:val="ListBullet3"/>
            </w:pPr>
            <w:r w:rsidRPr="00C3446B">
              <w:t>Inspect</w:t>
            </w:r>
          </w:p>
          <w:p w:rsidR="00000000" w:rsidRPr="00C3446B" w:rsidP="00C3446B">
            <w:pPr>
              <w:pStyle w:val="ListBullet3"/>
            </w:pPr>
            <w:r w:rsidRPr="00C3446B">
              <w:t>Legislation</w:t>
            </w:r>
          </w:p>
          <w:p w:rsidR="00000000" w:rsidRPr="00C3446B" w:rsidP="00C3446B">
            <w:pPr>
              <w:pStyle w:val="ListBullet3"/>
            </w:pPr>
            <w:r w:rsidRPr="00C3446B">
              <w:t>MSDS</w:t>
            </w:r>
          </w:p>
          <w:p w:rsidR="00000000" w:rsidRPr="00C3446B" w:rsidP="00C3446B">
            <w:pPr>
              <w:pStyle w:val="ListBullet3"/>
            </w:pPr>
            <w:r w:rsidRPr="00C3446B">
              <w:t>Notification</w:t>
            </w:r>
          </w:p>
          <w:p w:rsidR="00000000" w:rsidRPr="00C3446B" w:rsidP="00C3446B">
            <w:pPr>
              <w:pStyle w:val="ListBullet3"/>
            </w:pPr>
            <w:r w:rsidRPr="00C3446B">
              <w:t>OHS practices</w:t>
            </w:r>
          </w:p>
          <w:p w:rsidR="00000000" w:rsidRPr="00C3446B" w:rsidP="00C3446B">
            <w:pPr>
              <w:pStyle w:val="ListBullet3"/>
            </w:pPr>
            <w:r w:rsidRPr="00C3446B">
              <w:t>OHS issues</w:t>
            </w:r>
          </w:p>
          <w:p w:rsidR="00000000" w:rsidRPr="00C3446B" w:rsidP="00C3446B">
            <w:pPr>
              <w:pStyle w:val="ListBullet3"/>
            </w:pPr>
            <w:r w:rsidRPr="00C3446B">
              <w:t>Permits and/o</w:t>
            </w:r>
            <w:r w:rsidRPr="00C3446B">
              <w:t>r permits to work</w:t>
            </w:r>
          </w:p>
          <w:p w:rsidR="00000000" w:rsidRPr="00C3446B" w:rsidP="00C3446B">
            <w:pPr>
              <w:pStyle w:val="ListBullet3"/>
            </w:pPr>
            <w:r w:rsidRPr="00C3446B">
              <w:t>Personnel</w:t>
            </w:r>
          </w:p>
          <w:p w:rsidR="00000000" w:rsidRPr="00C3446B" w:rsidP="00C3446B">
            <w:pPr>
              <w:pStyle w:val="ListBullet3"/>
            </w:pPr>
            <w:r w:rsidRPr="00C3446B">
              <w:t>Quality assurance systems</w:t>
            </w:r>
          </w:p>
          <w:p w:rsidR="00000000" w:rsidRPr="00C3446B" w:rsidP="00C3446B">
            <w:pPr>
              <w:pStyle w:val="ListBullet3"/>
            </w:pPr>
            <w:r w:rsidRPr="00C3446B">
              <w:t>Requirements</w:t>
            </w:r>
          </w:p>
          <w:p w:rsidR="00000000" w:rsidRPr="00C3446B" w:rsidP="00C3446B">
            <w:pPr>
              <w:pStyle w:val="ListBullet3"/>
            </w:pPr>
            <w:r w:rsidRPr="00C3446B">
              <w:t>Testing procedures</w:t>
            </w:r>
          </w:p>
          <w:p w:rsidR="00000000" w:rsidRPr="00C3446B" w:rsidP="00C3446B">
            <w:pPr>
              <w:pStyle w:val="ListBullet3"/>
            </w:pPr>
            <w:r w:rsidRPr="00C3446B">
              <w:t>Work clearance systems</w:t>
            </w:r>
          </w:p>
        </w:tc>
      </w:tr>
    </w:tbl>
    <w:p w:rsidR="00000000" w:rsidRPr="00C3446B" w:rsidP="00C3446B">
      <w:pPr>
        <w:pStyle w:val="BodyText"/>
      </w:pPr>
    </w:p>
    <w:p w:rsidR="00000000" w:rsidRPr="00C3446B" w:rsidP="00C3446B">
      <w:pPr>
        <w:pStyle w:val="AllowPageBreak"/>
      </w:pPr>
    </w:p>
    <w:p w:rsidR="00000000" w:rsidRPr="00C3446B" w:rsidP="00C3446B">
      <w:pPr>
        <w:pStyle w:val="Heading1"/>
      </w:pPr>
      <w:bookmarkStart w:id="12" w:name="O_462603"/>
      <w:bookmarkEnd w:id="12"/>
      <w:r w:rsidRPr="00C3446B">
        <w:t>Unit Sector(s)</w:t>
      </w:r>
    </w:p>
    <w:p w:rsidR="00000000" w:rsidRPr="00C3446B" w:rsidP="00C3446B">
      <w:pPr>
        <w:pStyle w:val="BodyText"/>
      </w:pPr>
      <w:r w:rsidRPr="00C3446B">
        <w:t>Not applicable.</w:t>
      </w:r>
    </w:p>
    <w:p w:rsidR="00000000" w:rsidRPr="00C3446B" w:rsidP="00C3446B">
      <w:pPr>
        <w:pStyle w:val="AllowPageBreak"/>
      </w:pPr>
    </w:p>
    <w:p w:rsidR="00000000" w:rsidRPr="00C3446B" w:rsidP="00C3446B">
      <w:pPr>
        <w:pStyle w:val="Heading1"/>
      </w:pPr>
      <w:bookmarkStart w:id="13" w:name="O_462592"/>
      <w:bookmarkEnd w:id="13"/>
      <w:r w:rsidRPr="00C3446B">
        <w:t>Competency Field</w:t>
      </w:r>
    </w:p>
    <w:tbl>
      <w:tblPr>
        <w:tblW w:w="0" w:type="auto"/>
        <w:tblLayout w:type="fixed"/>
        <w:tblCellMar>
          <w:left w:w="62" w:type="dxa"/>
          <w:right w:w="62" w:type="dxa"/>
        </w:tblCellMar>
        <w:tblLook w:val="0000"/>
      </w:tblPr>
      <w:tblGrid>
        <w:gridCol w:w="2700"/>
        <w:gridCol w:w="5760"/>
      </w:tblGrid>
      <w:tr w:rsidTr="00C02B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3446B">
            <w:pPr>
              <w:pStyle w:val="BodyText"/>
              <w:rPr>
                <w:lang w:val="en-NZ"/>
              </w:rPr>
            </w:pPr>
            <w:r w:rsidRPr="00C3446B">
              <w:rPr>
                <w:rStyle w:val="SpecialBold"/>
              </w:rPr>
              <w:t xml:space="preserve">11) </w:t>
            </w:r>
          </w:p>
        </w:tc>
      </w:tr>
      <w:tr w:rsidTr="00C02B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446B" w:rsidP="00C3446B">
            <w:pPr>
              <w:pStyle w:val="BodyText"/>
            </w:pPr>
            <w:r w:rsidRPr="00C3446B">
              <w:t>Industry Specific Cross-Discipline Units</w:t>
            </w:r>
          </w:p>
        </w:tc>
      </w:tr>
    </w:tbl>
    <w:p w:rsidR="00000000" w:rsidRPr="00C3446B" w:rsidP="00C3446B">
      <w:pPr>
        <w:pStyle w:val="BodyText"/>
      </w:pPr>
    </w:p>
    <w:p w:rsidR="00000000" w:rsidRPr="00C3446B" w:rsidP="00C3446B"/>
    <w:sectPr w:rsidSect="00C34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B26" w:rsidP="00C02B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26" w:rsidP="00C34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02B26" w:rsidP="00C34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2B26" w:rsidP="00C34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B26" w:rsidP="00C02B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26" w:rsidP="00C3446B">
    <w:pPr>
      <w:pStyle w:val="Header"/>
      <w:framePr w:wrap="around"/>
    </w:pPr>
    <w:r>
      <w:fldChar w:fldCharType="begin"/>
    </w:r>
    <w:r>
      <w:instrText xml:space="preserve"> TITLE   \* MERGEFORMAT </w:instrText>
    </w:r>
    <w:r>
      <w:fldChar w:fldCharType="separate"/>
    </w:r>
    <w:r>
      <w:t>UETTDRIS52A Install and maintain poles, 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2B26" w:rsidP="00C344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A1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CE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E2B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4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446B"/>
    <w:pPr>
      <w:spacing w:before="360" w:after="60"/>
      <w:outlineLvl w:val="0"/>
    </w:pPr>
    <w:rPr>
      <w:sz w:val="32"/>
    </w:rPr>
  </w:style>
  <w:style w:type="paragraph" w:styleId="Heading2">
    <w:name w:val="heading 2"/>
    <w:basedOn w:val="HeadingBase"/>
    <w:next w:val="BodyText"/>
    <w:link w:val="Heading2Char"/>
    <w:qFormat/>
    <w:rsid w:val="00C3446B"/>
    <w:pPr>
      <w:keepLines/>
      <w:spacing w:before="240" w:after="120"/>
      <w:outlineLvl w:val="1"/>
    </w:pPr>
    <w:rPr>
      <w:sz w:val="28"/>
      <w:szCs w:val="40"/>
    </w:rPr>
  </w:style>
  <w:style w:type="paragraph" w:styleId="Heading3">
    <w:name w:val="heading 3"/>
    <w:basedOn w:val="HeadingBase"/>
    <w:next w:val="BodyText"/>
    <w:link w:val="Heading3Char"/>
    <w:qFormat/>
    <w:rsid w:val="00C3446B"/>
    <w:pPr>
      <w:spacing w:before="180" w:after="120"/>
      <w:outlineLvl w:val="2"/>
    </w:pPr>
    <w:rPr>
      <w:spacing w:val="-10"/>
      <w:kern w:val="32"/>
    </w:rPr>
  </w:style>
  <w:style w:type="paragraph" w:styleId="Heading4">
    <w:name w:val="heading 4"/>
    <w:basedOn w:val="HeadingBase"/>
    <w:next w:val="BodyText"/>
    <w:link w:val="Heading4Char"/>
    <w:qFormat/>
    <w:rsid w:val="00C3446B"/>
    <w:pPr>
      <w:spacing w:before="160" w:after="120"/>
      <w:outlineLvl w:val="3"/>
    </w:pPr>
    <w:rPr>
      <w:sz w:val="22"/>
    </w:rPr>
  </w:style>
  <w:style w:type="paragraph" w:styleId="Heading5">
    <w:name w:val="heading 5"/>
    <w:basedOn w:val="HeadingBase"/>
    <w:next w:val="Normal"/>
    <w:link w:val="Heading5Char"/>
    <w:qFormat/>
    <w:rsid w:val="00C3446B"/>
    <w:pPr>
      <w:spacing w:before="80"/>
      <w:outlineLvl w:val="4"/>
    </w:pPr>
    <w:rPr>
      <w:color w:val="918585"/>
      <w:sz w:val="20"/>
    </w:rPr>
  </w:style>
  <w:style w:type="paragraph" w:styleId="Heading6">
    <w:name w:val="heading 6"/>
    <w:basedOn w:val="HeadingBase"/>
    <w:next w:val="Normal"/>
    <w:link w:val="Heading6Char"/>
    <w:qFormat/>
    <w:rsid w:val="00C3446B"/>
    <w:pPr>
      <w:spacing w:before="60"/>
      <w:outlineLvl w:val="5"/>
    </w:pPr>
    <w:rPr>
      <w:color w:val="918585"/>
      <w:sz w:val="20"/>
    </w:rPr>
  </w:style>
  <w:style w:type="paragraph" w:styleId="Heading7">
    <w:name w:val="heading 7"/>
    <w:basedOn w:val="Normal"/>
    <w:next w:val="Normal"/>
    <w:link w:val="Heading7Char"/>
    <w:qFormat/>
    <w:rsid w:val="00C3446B"/>
    <w:pPr>
      <w:ind w:left="720"/>
      <w:outlineLvl w:val="6"/>
    </w:pPr>
    <w:rPr>
      <w:i/>
    </w:rPr>
  </w:style>
  <w:style w:type="paragraph" w:styleId="Heading8">
    <w:name w:val="heading 8"/>
    <w:basedOn w:val="Normal"/>
    <w:next w:val="Normal"/>
    <w:link w:val="Heading8Char"/>
    <w:qFormat/>
    <w:rsid w:val="00C3446B"/>
    <w:pPr>
      <w:ind w:left="720"/>
      <w:outlineLvl w:val="7"/>
    </w:pPr>
    <w:rPr>
      <w:i/>
    </w:rPr>
  </w:style>
  <w:style w:type="paragraph" w:styleId="Heading9">
    <w:name w:val="heading 9"/>
    <w:basedOn w:val="Normal"/>
    <w:next w:val="Normal"/>
    <w:link w:val="Heading9Char"/>
    <w:qFormat/>
    <w:rsid w:val="00C3446B"/>
    <w:pPr>
      <w:ind w:left="720"/>
      <w:outlineLvl w:val="8"/>
    </w:pPr>
    <w:rPr>
      <w:i/>
    </w:rPr>
  </w:style>
  <w:style w:type="character" w:default="1" w:styleId="DefaultParagraphFont">
    <w:name w:val="Default Paragraph Font"/>
    <w:uiPriority w:val="1"/>
    <w:unhideWhenUsed/>
    <w:rsid w:val="00C34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46B"/>
  </w:style>
  <w:style w:type="character" w:customStyle="1" w:styleId="Heading1Char">
    <w:name w:val="Heading 1 Char"/>
    <w:basedOn w:val="DefaultParagraphFont"/>
    <w:link w:val="Heading1"/>
    <w:rsid w:val="00C3446B"/>
    <w:rPr>
      <w:rFonts w:ascii="Times New Roman" w:eastAsia="Times New Roman" w:hAnsi="Times New Roman" w:cs="Times New Roman"/>
      <w:b/>
      <w:sz w:val="32"/>
      <w:szCs w:val="20"/>
      <w:lang w:eastAsia="en-US"/>
    </w:rPr>
  </w:style>
  <w:style w:type="paragraph" w:styleId="BodyText">
    <w:name w:val="Body Text"/>
    <w:basedOn w:val="Normal"/>
    <w:link w:val="BodyTextChar"/>
    <w:rsid w:val="00C34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46B"/>
    <w:rPr>
      <w:rFonts w:ascii="Times New Roman" w:eastAsia="Times New Roman" w:hAnsi="Times New Roman" w:cs="Times New Roman"/>
      <w:sz w:val="24"/>
      <w:lang w:val="en-US" w:eastAsia="en-US"/>
    </w:rPr>
  </w:style>
  <w:style w:type="paragraph" w:styleId="Footer">
    <w:name w:val="footer"/>
    <w:basedOn w:val="Normal"/>
    <w:link w:val="FooterChar"/>
    <w:rsid w:val="00C34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46B"/>
    <w:rPr>
      <w:rFonts w:ascii="Times New Roman" w:eastAsia="Times New Roman" w:hAnsi="Times New Roman" w:cs="Times New Roman"/>
      <w:sz w:val="16"/>
      <w:lang w:val="en-US" w:eastAsia="en-US"/>
    </w:rPr>
  </w:style>
  <w:style w:type="paragraph" w:styleId="ListBullet">
    <w:name w:val="List Bullet"/>
    <w:basedOn w:val="List"/>
    <w:rsid w:val="00C3446B"/>
    <w:pPr>
      <w:numPr>
        <w:numId w:val="14"/>
      </w:numPr>
      <w:tabs>
        <w:tab w:val="clear" w:pos="340"/>
      </w:tabs>
      <w:spacing w:before="40" w:after="40"/>
    </w:pPr>
  </w:style>
  <w:style w:type="character" w:customStyle="1" w:styleId="SpecialBold">
    <w:name w:val="Special Bold"/>
    <w:basedOn w:val="DefaultParagraphFont"/>
    <w:rsid w:val="00C3446B"/>
    <w:rPr>
      <w:b/>
      <w:spacing w:val="0"/>
    </w:rPr>
  </w:style>
  <w:style w:type="paragraph" w:styleId="ListBullet2">
    <w:name w:val="List Bullet 2"/>
    <w:basedOn w:val="List2"/>
    <w:rsid w:val="00C3446B"/>
    <w:pPr>
      <w:numPr>
        <w:numId w:val="15"/>
      </w:numPr>
      <w:tabs>
        <w:tab w:val="clear" w:pos="680"/>
      </w:tabs>
    </w:pPr>
  </w:style>
  <w:style w:type="paragraph" w:styleId="Header">
    <w:name w:val="header"/>
    <w:basedOn w:val="Normal"/>
    <w:link w:val="HeaderChar"/>
    <w:rsid w:val="00C34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4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446B"/>
    <w:pPr>
      <w:spacing w:before="240" w:after="120"/>
      <w:outlineLvl w:val="0"/>
    </w:pPr>
    <w:rPr>
      <w:rFonts w:ascii="Times New Roman" w:hAnsi="Times New Roman"/>
      <w:b/>
      <w:sz w:val="28"/>
    </w:rPr>
  </w:style>
  <w:style w:type="paragraph" w:customStyle="1" w:styleId="AllowPageBreak">
    <w:name w:val="AllowPageBreak"/>
    <w:rsid w:val="00C344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446B"/>
    <w:pPr>
      <w:numPr>
        <w:numId w:val="3"/>
      </w:numPr>
      <w:tabs>
        <w:tab w:val="clear" w:pos="1021"/>
      </w:tabs>
      <w:ind w:left="1037" w:hanging="357"/>
    </w:pPr>
  </w:style>
  <w:style w:type="character" w:customStyle="1" w:styleId="Heading2Char">
    <w:name w:val="Heading 2 Char"/>
    <w:basedOn w:val="DefaultParagraphFont"/>
    <w:link w:val="Heading2"/>
    <w:rsid w:val="00C34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4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44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446B"/>
    <w:rPr>
      <w:rFonts w:ascii="Courier New" w:eastAsia="Times New Roman" w:hAnsi="Courier New" w:cs="Times New Roman"/>
      <w:i/>
      <w:szCs w:val="20"/>
      <w:lang w:val="en-US" w:eastAsia="en-US"/>
    </w:rPr>
  </w:style>
  <w:style w:type="paragraph" w:customStyle="1" w:styleId="HeadingBase">
    <w:name w:val="Heading Base"/>
    <w:rsid w:val="00C34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46B"/>
    <w:pPr>
      <w:tabs>
        <w:tab w:val="right" w:leader="dot" w:pos="9072"/>
      </w:tabs>
      <w:ind w:left="567"/>
    </w:pPr>
    <w:rPr>
      <w:szCs w:val="22"/>
    </w:rPr>
  </w:style>
  <w:style w:type="paragraph" w:customStyle="1" w:styleId="TOCBase">
    <w:name w:val="TOC Base"/>
    <w:rsid w:val="00C34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46B"/>
    <w:pPr>
      <w:tabs>
        <w:tab w:val="right" w:leader="dot" w:pos="9072"/>
      </w:tabs>
      <w:spacing w:before="40" w:after="40"/>
      <w:ind w:left="284"/>
    </w:pPr>
    <w:rPr>
      <w:rFonts w:ascii="Times New Roman" w:hAnsi="Times New Roman"/>
    </w:rPr>
  </w:style>
  <w:style w:type="paragraph" w:styleId="TOC1">
    <w:name w:val="toc 1"/>
    <w:basedOn w:val="TOCBase"/>
    <w:next w:val="Normal"/>
    <w:rsid w:val="00C34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46B"/>
    <w:pPr>
      <w:spacing w:before="5040"/>
      <w:jc w:val="center"/>
    </w:pPr>
    <w:rPr>
      <w:sz w:val="48"/>
      <w:szCs w:val="72"/>
      <w:lang w:val="en-US"/>
    </w:rPr>
  </w:style>
  <w:style w:type="character" w:customStyle="1" w:styleId="TitleChar">
    <w:name w:val="Title Char"/>
    <w:basedOn w:val="DefaultParagraphFont"/>
    <w:link w:val="Title"/>
    <w:rsid w:val="00C34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46B"/>
    <w:pPr>
      <w:tabs>
        <w:tab w:val="left" w:pos="3600"/>
        <w:tab w:val="left" w:pos="3958"/>
      </w:tabs>
    </w:pPr>
  </w:style>
  <w:style w:type="paragraph" w:styleId="List">
    <w:name w:val="List"/>
    <w:basedOn w:val="BodyText"/>
    <w:next w:val="BodyText"/>
    <w:rsid w:val="00C3446B"/>
    <w:pPr>
      <w:tabs>
        <w:tab w:val="left" w:pos="340"/>
      </w:tabs>
      <w:spacing w:before="60" w:after="60"/>
      <w:ind w:left="340" w:hanging="340"/>
    </w:pPr>
  </w:style>
  <w:style w:type="paragraph" w:customStyle="1" w:styleId="Note">
    <w:name w:val="Note"/>
    <w:basedOn w:val="BodyText"/>
    <w:rsid w:val="00C34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46B"/>
    <w:pPr>
      <w:framePr w:wrap="auto" w:hAnchor="text" w:y="6049"/>
    </w:pPr>
    <w:rPr>
      <w:color w:val="000000"/>
      <w:sz w:val="40"/>
    </w:rPr>
  </w:style>
  <w:style w:type="paragraph" w:customStyle="1" w:styleId="TOCTitle">
    <w:name w:val="TOCTitle"/>
    <w:basedOn w:val="Heading1"/>
    <w:rsid w:val="00C3446B"/>
    <w:pPr>
      <w:spacing w:after="240"/>
      <w:jc w:val="center"/>
      <w:outlineLvl w:val="9"/>
    </w:pPr>
    <w:rPr>
      <w:caps/>
    </w:rPr>
  </w:style>
  <w:style w:type="paragraph" w:customStyle="1" w:styleId="Version">
    <w:name w:val="Version"/>
    <w:rsid w:val="00C34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46B"/>
    <w:pPr>
      <w:keepNext w:val="0"/>
      <w:tabs>
        <w:tab w:val="right" w:pos="4176"/>
      </w:tabs>
      <w:ind w:left="198" w:hanging="198"/>
    </w:pPr>
    <w:rPr>
      <w:rFonts w:ascii="Garamond" w:hAnsi="Garamond"/>
    </w:rPr>
  </w:style>
  <w:style w:type="paragraph" w:styleId="IndexHeading">
    <w:name w:val="index heading"/>
    <w:basedOn w:val="Normal"/>
    <w:next w:val="Index1"/>
    <w:semiHidden/>
    <w:rsid w:val="00C3446B"/>
    <w:pPr>
      <w:spacing w:before="120" w:after="120"/>
    </w:pPr>
    <w:rPr>
      <w:rFonts w:ascii="Arial" w:hAnsi="Arial"/>
      <w:b/>
      <w:color w:val="918585"/>
      <w:sz w:val="24"/>
    </w:rPr>
  </w:style>
  <w:style w:type="paragraph" w:customStyle="1" w:styleId="Chapter">
    <w:name w:val="Chapter"/>
    <w:basedOn w:val="Normal"/>
    <w:rsid w:val="00C3446B"/>
    <w:pPr>
      <w:spacing w:before="240"/>
    </w:pPr>
    <w:rPr>
      <w:rFonts w:ascii="Times New Roman" w:hAnsi="Times New Roman"/>
      <w:smallCaps/>
      <w:spacing w:val="80"/>
      <w:sz w:val="28"/>
    </w:rPr>
  </w:style>
  <w:style w:type="paragraph" w:customStyle="1" w:styleId="InChapter">
    <w:name w:val="InChapter"/>
    <w:basedOn w:val="Heading3"/>
    <w:rsid w:val="00C3446B"/>
    <w:pPr>
      <w:spacing w:after="240"/>
      <w:outlineLvl w:val="9"/>
    </w:pPr>
    <w:rPr>
      <w:noProof/>
    </w:rPr>
  </w:style>
  <w:style w:type="paragraph" w:styleId="Index2">
    <w:name w:val="index 2"/>
    <w:basedOn w:val="Normal"/>
    <w:next w:val="Normal"/>
    <w:semiHidden/>
    <w:rsid w:val="00C3446B"/>
    <w:pPr>
      <w:tabs>
        <w:tab w:val="right" w:pos="4176"/>
      </w:tabs>
      <w:ind w:left="568" w:hanging="284"/>
    </w:pPr>
    <w:rPr>
      <w:rFonts w:ascii="Garamond" w:hAnsi="Garamond"/>
    </w:rPr>
  </w:style>
  <w:style w:type="paragraph" w:customStyle="1" w:styleId="Byline">
    <w:name w:val="Byline"/>
    <w:rsid w:val="00C34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46B"/>
    <w:pPr>
      <w:tabs>
        <w:tab w:val="clear" w:pos="3600"/>
        <w:tab w:val="clear" w:pos="3958"/>
      </w:tabs>
      <w:jc w:val="right"/>
    </w:pPr>
  </w:style>
  <w:style w:type="character" w:styleId="Emphasis">
    <w:name w:val="Emphasis"/>
    <w:basedOn w:val="DefaultParagraphFont"/>
    <w:qFormat/>
    <w:rsid w:val="00C3446B"/>
    <w:rPr>
      <w:i/>
    </w:rPr>
  </w:style>
  <w:style w:type="paragraph" w:styleId="Caption">
    <w:name w:val="caption"/>
    <w:basedOn w:val="BodyText"/>
    <w:next w:val="Normal"/>
    <w:qFormat/>
    <w:rsid w:val="00C3446B"/>
    <w:pPr>
      <w:framePr w:w="2268" w:hSpace="181" w:vSpace="181" w:wrap="around" w:vAnchor="text" w:hAnchor="page" w:x="1135" w:y="285" w:anchorLock="1"/>
    </w:pPr>
    <w:rPr>
      <w:i/>
    </w:rPr>
  </w:style>
  <w:style w:type="paragraph" w:customStyle="1" w:styleId="MiniTOCTitle">
    <w:name w:val="MiniTOCTitle"/>
    <w:basedOn w:val="Heading4"/>
    <w:rsid w:val="00C3446B"/>
    <w:pPr>
      <w:spacing w:before="240"/>
      <w:outlineLvl w:val="9"/>
    </w:pPr>
    <w:rPr>
      <w:noProof/>
      <w:sz w:val="24"/>
    </w:rPr>
  </w:style>
  <w:style w:type="paragraph" w:customStyle="1" w:styleId="MiniTOCItem">
    <w:name w:val="MiniTOCItem"/>
    <w:basedOn w:val="ListBullet"/>
    <w:rsid w:val="00C3446B"/>
    <w:pPr>
      <w:numPr>
        <w:numId w:val="0"/>
      </w:numPr>
      <w:tabs>
        <w:tab w:val="right" w:leader="dot" w:pos="6521"/>
      </w:tabs>
      <w:spacing w:before="0" w:after="0"/>
    </w:pPr>
  </w:style>
  <w:style w:type="paragraph" w:customStyle="1" w:styleId="TOFTitle">
    <w:name w:val="TOFTitle"/>
    <w:basedOn w:val="TOCTitle"/>
    <w:rsid w:val="00C3446B"/>
  </w:style>
  <w:style w:type="paragraph" w:styleId="TableofFigures">
    <w:name w:val="table of figures"/>
    <w:basedOn w:val="Normal"/>
    <w:next w:val="Normal"/>
    <w:semiHidden/>
    <w:rsid w:val="00C3446B"/>
    <w:pPr>
      <w:tabs>
        <w:tab w:val="right" w:leader="dot" w:pos="9072"/>
      </w:tabs>
      <w:ind w:left="970" w:hanging="403"/>
    </w:pPr>
    <w:rPr>
      <w:rFonts w:ascii="Times New Roman" w:hAnsi="Times New Roman"/>
      <w:b/>
    </w:rPr>
  </w:style>
  <w:style w:type="paragraph" w:styleId="ListNumber">
    <w:name w:val="List Number"/>
    <w:basedOn w:val="List"/>
    <w:rsid w:val="00C3446B"/>
    <w:pPr>
      <w:numPr>
        <w:numId w:val="12"/>
      </w:numPr>
    </w:pPr>
  </w:style>
  <w:style w:type="character" w:customStyle="1" w:styleId="WingdingSymbols">
    <w:name w:val="Wingding Symbols"/>
    <w:rsid w:val="00C3446B"/>
    <w:rPr>
      <w:rFonts w:ascii="Wingdings" w:hAnsi="Wingdings"/>
    </w:rPr>
  </w:style>
  <w:style w:type="paragraph" w:customStyle="1" w:styleId="TableHeading">
    <w:name w:val="Table Heading"/>
    <w:basedOn w:val="HeadingBase"/>
    <w:rsid w:val="00C3446B"/>
    <w:pPr>
      <w:keepLines/>
      <w:pBdr>
        <w:bottom w:val="single" w:sz="6" w:space="1" w:color="918585"/>
      </w:pBdr>
      <w:spacing w:before="240"/>
    </w:pPr>
  </w:style>
  <w:style w:type="character" w:customStyle="1" w:styleId="HotSpot">
    <w:name w:val="HotSpot"/>
    <w:rsid w:val="00C3446B"/>
    <w:rPr>
      <w:color w:val="0033CC"/>
      <w:u w:val="none"/>
    </w:rPr>
  </w:style>
  <w:style w:type="paragraph" w:customStyle="1" w:styleId="BodyTextRight">
    <w:name w:val="Body Text Right"/>
    <w:basedOn w:val="BodyText"/>
    <w:rsid w:val="00C3446B"/>
    <w:pPr>
      <w:spacing w:before="0" w:after="0"/>
      <w:jc w:val="right"/>
    </w:pPr>
  </w:style>
  <w:style w:type="paragraph" w:styleId="Index3">
    <w:name w:val="index 3"/>
    <w:basedOn w:val="ListNumber2"/>
    <w:next w:val="Normal"/>
    <w:semiHidden/>
    <w:rsid w:val="00C3446B"/>
    <w:pPr>
      <w:numPr>
        <w:numId w:val="0"/>
      </w:numPr>
      <w:tabs>
        <w:tab w:val="right" w:leader="dot" w:pos="4176"/>
      </w:tabs>
    </w:pPr>
  </w:style>
  <w:style w:type="paragraph" w:styleId="ListNumber2">
    <w:name w:val="List Number 2"/>
    <w:basedOn w:val="List2"/>
    <w:rsid w:val="00C3446B"/>
    <w:pPr>
      <w:numPr>
        <w:numId w:val="11"/>
      </w:numPr>
      <w:tabs>
        <w:tab w:val="clear" w:pos="1060"/>
      </w:tabs>
    </w:pPr>
  </w:style>
  <w:style w:type="paragraph" w:customStyle="1" w:styleId="MarginNote">
    <w:name w:val="Margin Note"/>
    <w:basedOn w:val="BodyText"/>
    <w:rsid w:val="00C34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4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446B"/>
    <w:rPr>
      <w:sz w:val="32"/>
    </w:rPr>
  </w:style>
  <w:style w:type="paragraph" w:customStyle="1" w:styleId="HeadingProcedure">
    <w:name w:val="Heading Procedure"/>
    <w:basedOn w:val="HeadingBase"/>
    <w:next w:val="Normal"/>
    <w:rsid w:val="00C3446B"/>
    <w:pPr>
      <w:tabs>
        <w:tab w:val="left" w:pos="0"/>
      </w:tabs>
      <w:spacing w:before="120" w:after="60"/>
    </w:pPr>
    <w:rPr>
      <w:i/>
      <w:color w:val="918585"/>
      <w:sz w:val="22"/>
    </w:rPr>
  </w:style>
  <w:style w:type="paragraph" w:customStyle="1" w:styleId="TableBodyText">
    <w:name w:val="Table Body Text"/>
    <w:basedOn w:val="BodyText"/>
    <w:rsid w:val="00C3446B"/>
    <w:pPr>
      <w:spacing w:before="60" w:after="60"/>
    </w:pPr>
  </w:style>
  <w:style w:type="paragraph" w:styleId="ListContinue">
    <w:name w:val="List Continue"/>
    <w:basedOn w:val="List"/>
    <w:rsid w:val="00C3446B"/>
    <w:pPr>
      <w:ind w:firstLine="0"/>
    </w:pPr>
  </w:style>
  <w:style w:type="paragraph" w:customStyle="1" w:styleId="ListNote">
    <w:name w:val="List Note"/>
    <w:basedOn w:val="List"/>
    <w:rsid w:val="00C3446B"/>
    <w:pPr>
      <w:pBdr>
        <w:top w:val="single" w:sz="6" w:space="2" w:color="918585"/>
        <w:bottom w:val="single" w:sz="6" w:space="2" w:color="918585"/>
      </w:pBdr>
      <w:tabs>
        <w:tab w:val="left" w:pos="1021"/>
      </w:tabs>
      <w:ind w:firstLine="0"/>
    </w:pPr>
  </w:style>
  <w:style w:type="paragraph" w:customStyle="1" w:styleId="Warning">
    <w:name w:val="Warning"/>
    <w:basedOn w:val="BodyText"/>
    <w:rsid w:val="00C3446B"/>
    <w:pPr>
      <w:shd w:val="clear" w:color="auto" w:fill="D9D9D9"/>
      <w:tabs>
        <w:tab w:val="left" w:pos="992"/>
      </w:tabs>
      <w:ind w:left="119" w:right="119"/>
    </w:pPr>
    <w:rPr>
      <w:sz w:val="20"/>
    </w:rPr>
  </w:style>
  <w:style w:type="paragraph" w:customStyle="1" w:styleId="MarginIcons">
    <w:name w:val="Margin Icons"/>
    <w:basedOn w:val="BodyText"/>
    <w:rsid w:val="00C34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46B"/>
    <w:rPr>
      <w:rFonts w:ascii="Courier New" w:hAnsi="Courier New"/>
    </w:rPr>
  </w:style>
  <w:style w:type="paragraph" w:customStyle="1" w:styleId="NoteBullet">
    <w:name w:val="Note Bullet"/>
    <w:basedOn w:val="Note"/>
    <w:rsid w:val="00C3446B"/>
    <w:pPr>
      <w:tabs>
        <w:tab w:val="clear" w:pos="680"/>
      </w:tabs>
      <w:spacing w:before="60" w:after="60"/>
    </w:pPr>
  </w:style>
  <w:style w:type="paragraph" w:customStyle="1" w:styleId="SubHeading2">
    <w:name w:val="SubHeading2"/>
    <w:basedOn w:val="HeadingBase"/>
    <w:rsid w:val="00C3446B"/>
    <w:pPr>
      <w:spacing w:before="240" w:after="60"/>
    </w:pPr>
    <w:rPr>
      <w:sz w:val="20"/>
    </w:rPr>
  </w:style>
  <w:style w:type="paragraph" w:customStyle="1" w:styleId="SubHeading1">
    <w:name w:val="SubHeading1"/>
    <w:basedOn w:val="HeadingBase"/>
    <w:rsid w:val="00C3446B"/>
    <w:pPr>
      <w:spacing w:before="240" w:after="60"/>
    </w:pPr>
    <w:rPr>
      <w:color w:val="918585"/>
      <w:sz w:val="22"/>
    </w:rPr>
  </w:style>
  <w:style w:type="paragraph" w:customStyle="1" w:styleId="SideHeading">
    <w:name w:val="Side Heading"/>
    <w:basedOn w:val="HeadingBase"/>
    <w:rsid w:val="00C34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46B"/>
    <w:pPr>
      <w:numPr>
        <w:numId w:val="13"/>
      </w:numPr>
    </w:pPr>
  </w:style>
  <w:style w:type="paragraph" w:styleId="PlainText">
    <w:name w:val="Plain Text"/>
    <w:basedOn w:val="Normal"/>
    <w:link w:val="PlainTextChar"/>
    <w:rsid w:val="00C3446B"/>
    <w:rPr>
      <w:sz w:val="20"/>
    </w:rPr>
  </w:style>
  <w:style w:type="character" w:customStyle="1" w:styleId="PlainTextChar">
    <w:name w:val="Plain Text Char"/>
    <w:basedOn w:val="DefaultParagraphFont"/>
    <w:link w:val="PlainText"/>
    <w:rsid w:val="00C344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446B"/>
    <w:rPr>
      <w:b/>
      <w:smallCaps/>
    </w:rPr>
  </w:style>
  <w:style w:type="paragraph" w:customStyle="1" w:styleId="TableListNumber">
    <w:name w:val="Table List Number"/>
    <w:basedOn w:val="ListNumber"/>
    <w:rsid w:val="00C3446B"/>
    <w:pPr>
      <w:numPr>
        <w:numId w:val="0"/>
      </w:numPr>
    </w:pPr>
  </w:style>
  <w:style w:type="paragraph" w:styleId="TOC4">
    <w:name w:val="toc 4"/>
    <w:basedOn w:val="TOCBase"/>
    <w:next w:val="Normal"/>
    <w:semiHidden/>
    <w:rsid w:val="00C3446B"/>
    <w:pPr>
      <w:tabs>
        <w:tab w:val="right" w:leader="dot" w:pos="9071"/>
      </w:tabs>
      <w:ind w:left="1701"/>
    </w:pPr>
  </w:style>
  <w:style w:type="paragraph" w:customStyle="1" w:styleId="ListAlpha">
    <w:name w:val="List Alpha"/>
    <w:basedOn w:val="List"/>
    <w:rsid w:val="00C3446B"/>
    <w:pPr>
      <w:numPr>
        <w:numId w:val="10"/>
      </w:numPr>
    </w:pPr>
  </w:style>
  <w:style w:type="paragraph" w:customStyle="1" w:styleId="ListAlpha2">
    <w:name w:val="List Alpha 2"/>
    <w:basedOn w:val="List2"/>
    <w:rsid w:val="00C3446B"/>
    <w:pPr>
      <w:numPr>
        <w:numId w:val="9"/>
      </w:numPr>
    </w:pPr>
  </w:style>
  <w:style w:type="paragraph" w:styleId="List2">
    <w:name w:val="List 2"/>
    <w:basedOn w:val="BodyText"/>
    <w:rsid w:val="00C3446B"/>
    <w:pPr>
      <w:tabs>
        <w:tab w:val="left" w:pos="680"/>
      </w:tabs>
      <w:spacing w:before="60" w:after="60"/>
      <w:ind w:left="680" w:hanging="340"/>
    </w:pPr>
  </w:style>
  <w:style w:type="paragraph" w:styleId="List3">
    <w:name w:val="List 3"/>
    <w:basedOn w:val="BodyText"/>
    <w:rsid w:val="00C3446B"/>
    <w:pPr>
      <w:tabs>
        <w:tab w:val="left" w:pos="1021"/>
      </w:tabs>
      <w:spacing w:before="60" w:after="60"/>
      <w:ind w:left="1020" w:hanging="340"/>
    </w:pPr>
  </w:style>
  <w:style w:type="paragraph" w:styleId="List4">
    <w:name w:val="List 4"/>
    <w:basedOn w:val="BodyText"/>
    <w:rsid w:val="00C3446B"/>
    <w:pPr>
      <w:tabs>
        <w:tab w:val="left" w:pos="1361"/>
      </w:tabs>
      <w:spacing w:before="60" w:after="60"/>
      <w:ind w:left="1361" w:hanging="340"/>
    </w:pPr>
  </w:style>
  <w:style w:type="paragraph" w:styleId="List5">
    <w:name w:val="List 5"/>
    <w:basedOn w:val="BodyText"/>
    <w:rsid w:val="00C3446B"/>
    <w:pPr>
      <w:tabs>
        <w:tab w:val="left" w:pos="1701"/>
      </w:tabs>
      <w:spacing w:before="60" w:after="60"/>
      <w:ind w:left="1701" w:hanging="340"/>
    </w:pPr>
  </w:style>
  <w:style w:type="paragraph" w:styleId="ListBullet4">
    <w:name w:val="List Bullet 4"/>
    <w:basedOn w:val="List4"/>
    <w:rsid w:val="00C3446B"/>
    <w:pPr>
      <w:numPr>
        <w:numId w:val="4"/>
      </w:numPr>
    </w:pPr>
  </w:style>
  <w:style w:type="paragraph" w:styleId="ListBullet5">
    <w:name w:val="List Bullet 5"/>
    <w:basedOn w:val="List5"/>
    <w:rsid w:val="00C3446B"/>
    <w:pPr>
      <w:numPr>
        <w:numId w:val="5"/>
      </w:numPr>
    </w:pPr>
  </w:style>
  <w:style w:type="paragraph" w:styleId="ListContinue2">
    <w:name w:val="List Continue 2"/>
    <w:basedOn w:val="List2"/>
    <w:rsid w:val="00C3446B"/>
    <w:pPr>
      <w:ind w:firstLine="0"/>
    </w:pPr>
  </w:style>
  <w:style w:type="paragraph" w:styleId="ListContinue3">
    <w:name w:val="List Continue 3"/>
    <w:basedOn w:val="List3"/>
    <w:rsid w:val="00C3446B"/>
    <w:pPr>
      <w:ind w:left="1021" w:firstLine="0"/>
    </w:pPr>
  </w:style>
  <w:style w:type="paragraph" w:styleId="ListContinue4">
    <w:name w:val="List Continue 4"/>
    <w:basedOn w:val="List4"/>
    <w:rsid w:val="00C3446B"/>
    <w:pPr>
      <w:ind w:firstLine="0"/>
    </w:pPr>
  </w:style>
  <w:style w:type="paragraph" w:styleId="ListContinue5">
    <w:name w:val="List Continue 5"/>
    <w:basedOn w:val="List5"/>
    <w:rsid w:val="00C3446B"/>
    <w:pPr>
      <w:ind w:firstLine="0"/>
    </w:pPr>
  </w:style>
  <w:style w:type="paragraph" w:styleId="ListNumber3">
    <w:name w:val="List Number 3"/>
    <w:basedOn w:val="List3"/>
    <w:rsid w:val="00C3446B"/>
    <w:pPr>
      <w:numPr>
        <w:numId w:val="6"/>
      </w:numPr>
    </w:pPr>
  </w:style>
  <w:style w:type="paragraph" w:styleId="ListNumber4">
    <w:name w:val="List Number 4"/>
    <w:basedOn w:val="List4"/>
    <w:rsid w:val="00C3446B"/>
    <w:pPr>
      <w:numPr>
        <w:numId w:val="7"/>
      </w:numPr>
    </w:pPr>
  </w:style>
  <w:style w:type="paragraph" w:styleId="ListNumber5">
    <w:name w:val="List Number 5"/>
    <w:basedOn w:val="List5"/>
    <w:rsid w:val="00C3446B"/>
    <w:pPr>
      <w:numPr>
        <w:numId w:val="8"/>
      </w:numPr>
    </w:pPr>
  </w:style>
  <w:style w:type="paragraph" w:styleId="BlockText">
    <w:name w:val="Block Text"/>
    <w:basedOn w:val="Normal"/>
    <w:rsid w:val="00C3446B"/>
    <w:pPr>
      <w:spacing w:after="120"/>
      <w:ind w:left="1440" w:right="1440"/>
    </w:pPr>
  </w:style>
  <w:style w:type="character" w:customStyle="1" w:styleId="Subscript">
    <w:name w:val="Subscript"/>
    <w:basedOn w:val="DefaultParagraphFont"/>
    <w:rsid w:val="00C3446B"/>
    <w:rPr>
      <w:sz w:val="16"/>
      <w:vertAlign w:val="subscript"/>
    </w:rPr>
  </w:style>
  <w:style w:type="character" w:customStyle="1" w:styleId="Superscript">
    <w:name w:val="Superscript"/>
    <w:basedOn w:val="DefaultParagraphFont"/>
    <w:rsid w:val="00C3446B"/>
    <w:rPr>
      <w:sz w:val="16"/>
      <w:vertAlign w:val="superscript"/>
    </w:rPr>
  </w:style>
  <w:style w:type="character" w:customStyle="1" w:styleId="Symbols">
    <w:name w:val="Symbols"/>
    <w:basedOn w:val="DefaultParagraphFont"/>
    <w:rsid w:val="00C3446B"/>
    <w:rPr>
      <w:rFonts w:ascii="Symbol" w:hAnsi="Symbol"/>
    </w:rPr>
  </w:style>
  <w:style w:type="character" w:customStyle="1" w:styleId="MenuOptions">
    <w:name w:val="Menu Options"/>
    <w:basedOn w:val="DefaultParagraphFont"/>
    <w:rsid w:val="00C3446B"/>
    <w:rPr>
      <w:rFonts w:ascii="Arial Narrow" w:hAnsi="Arial Narrow"/>
      <w:smallCaps/>
    </w:rPr>
  </w:style>
  <w:style w:type="character" w:customStyle="1" w:styleId="Buttons">
    <w:name w:val="Buttons"/>
    <w:basedOn w:val="DefaultParagraphFont"/>
    <w:rsid w:val="00C3446B"/>
    <w:rPr>
      <w:b/>
    </w:rPr>
  </w:style>
  <w:style w:type="character" w:customStyle="1" w:styleId="Underlined">
    <w:name w:val="Underlined"/>
    <w:basedOn w:val="DefaultParagraphFont"/>
    <w:rsid w:val="00C3446B"/>
    <w:rPr>
      <w:u w:val="single"/>
    </w:rPr>
  </w:style>
  <w:style w:type="paragraph" w:customStyle="1" w:styleId="TableBodyTextRight">
    <w:name w:val="Table Body Text Right"/>
    <w:basedOn w:val="TableBodyText"/>
    <w:rsid w:val="00C3446B"/>
    <w:pPr>
      <w:widowControl w:val="0"/>
      <w:autoSpaceDE w:val="0"/>
      <w:autoSpaceDN w:val="0"/>
      <w:adjustRightInd w:val="0"/>
      <w:jc w:val="right"/>
    </w:pPr>
    <w:rPr>
      <w:rFonts w:cs="Arial"/>
      <w:szCs w:val="18"/>
    </w:rPr>
  </w:style>
  <w:style w:type="paragraph" w:customStyle="1" w:styleId="CopyrightText">
    <w:name w:val="Copyright Text"/>
    <w:basedOn w:val="BodyText"/>
    <w:rsid w:val="00C3446B"/>
    <w:rPr>
      <w:sz w:val="18"/>
    </w:rPr>
  </w:style>
  <w:style w:type="paragraph" w:customStyle="1" w:styleId="BodySmallRight">
    <w:name w:val="Body Small Right"/>
    <w:basedOn w:val="BodyTextRight"/>
    <w:rsid w:val="00C3446B"/>
    <w:rPr>
      <w:sz w:val="18"/>
      <w:szCs w:val="18"/>
    </w:rPr>
  </w:style>
  <w:style w:type="paragraph" w:customStyle="1" w:styleId="MarginEdition">
    <w:name w:val="Margin Edition"/>
    <w:basedOn w:val="MarginNote"/>
    <w:rsid w:val="00C3446B"/>
    <w:pPr>
      <w:spacing w:before="0" w:after="0"/>
    </w:pPr>
    <w:rPr>
      <w:rFonts w:ascii="Times New Roman" w:hAnsi="Times New Roman"/>
      <w:color w:val="999999"/>
    </w:rPr>
  </w:style>
  <w:style w:type="paragraph" w:customStyle="1" w:styleId="Spacer">
    <w:name w:val="Spacer"/>
    <w:basedOn w:val="Normal"/>
    <w:rsid w:val="00C3446B"/>
    <w:rPr>
      <w:sz w:val="2"/>
      <w:szCs w:val="2"/>
    </w:rPr>
  </w:style>
  <w:style w:type="character" w:customStyle="1" w:styleId="Small">
    <w:name w:val="Small"/>
    <w:basedOn w:val="DefaultParagraphFont"/>
    <w:rsid w:val="00C3446B"/>
    <w:rPr>
      <w:sz w:val="16"/>
    </w:rPr>
  </w:style>
  <w:style w:type="paragraph" w:customStyle="1" w:styleId="WideTable">
    <w:name w:val="Wide Table"/>
    <w:basedOn w:val="Normal"/>
    <w:rsid w:val="00C3446B"/>
    <w:pPr>
      <w:ind w:left="-1418"/>
    </w:pPr>
    <w:rPr>
      <w:sz w:val="2"/>
      <w:szCs w:val="2"/>
    </w:rPr>
  </w:style>
  <w:style w:type="character" w:styleId="PageNumber">
    <w:name w:val="page number"/>
    <w:basedOn w:val="DefaultParagraphFont"/>
    <w:rsid w:val="00C3446B"/>
  </w:style>
  <w:style w:type="paragraph" w:styleId="Quote">
    <w:name w:val="Quote"/>
    <w:basedOn w:val="Heading1"/>
    <w:link w:val="QuoteChar"/>
    <w:qFormat/>
    <w:rsid w:val="00C3446B"/>
    <w:rPr>
      <w:b w:val="0"/>
      <w:sz w:val="72"/>
      <w:szCs w:val="72"/>
      <w:lang w:val="en-NZ"/>
    </w:rPr>
  </w:style>
  <w:style w:type="character" w:customStyle="1" w:styleId="QuoteChar">
    <w:name w:val="Quote Char"/>
    <w:basedOn w:val="DefaultParagraphFont"/>
    <w:link w:val="Quote"/>
    <w:rsid w:val="00C34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46B"/>
    <w:pPr>
      <w:pageBreakBefore/>
    </w:pPr>
  </w:style>
  <w:style w:type="paragraph" w:customStyle="1" w:styleId="Border">
    <w:name w:val="Border"/>
    <w:basedOn w:val="Normal"/>
    <w:qFormat/>
    <w:rsid w:val="00C34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46B"/>
    <w:rPr>
      <w:b/>
      <w:bCs/>
      <w:i/>
      <w:iCs/>
      <w:color w:val="auto"/>
    </w:rPr>
  </w:style>
  <w:style w:type="paragraph" w:styleId="IntenseQuote">
    <w:name w:val="Intense Quote"/>
    <w:basedOn w:val="Normal"/>
    <w:next w:val="Normal"/>
    <w:link w:val="IntenseQuoteChar"/>
    <w:uiPriority w:val="30"/>
    <w:qFormat/>
    <w:rsid w:val="00C34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4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446B"/>
    <w:rPr>
      <w:smallCaps/>
      <w:color w:val="auto"/>
      <w:u w:val="single"/>
    </w:rPr>
  </w:style>
  <w:style w:type="character" w:styleId="IntenseReference">
    <w:name w:val="Intense Reference"/>
    <w:basedOn w:val="DefaultParagraphFont"/>
    <w:uiPriority w:val="32"/>
    <w:qFormat/>
    <w:rsid w:val="00C3446B"/>
    <w:rPr>
      <w:b/>
      <w:bCs/>
      <w:smallCaps/>
      <w:color w:val="auto"/>
      <w:spacing w:val="5"/>
      <w:u w:val="single"/>
    </w:rPr>
  </w:style>
  <w:style w:type="paragraph" w:customStyle="1" w:styleId="2ColumnHeading">
    <w:name w:val="2Column Heading"/>
    <w:basedOn w:val="BodyText"/>
    <w:qFormat/>
    <w:rsid w:val="00C3446B"/>
    <w:pPr>
      <w:spacing w:after="60"/>
      <w:ind w:left="-2268"/>
    </w:pPr>
    <w:rPr>
      <w:b/>
    </w:rPr>
  </w:style>
  <w:style w:type="paragraph" w:customStyle="1" w:styleId="Heading1TOC">
    <w:name w:val="Heading1 TOC"/>
    <w:basedOn w:val="Normal"/>
    <w:qFormat/>
    <w:rsid w:val="00C3446B"/>
    <w:pPr>
      <w:spacing w:before="240" w:after="120"/>
    </w:pPr>
    <w:rPr>
      <w:rFonts w:ascii="Times New Roman" w:hAnsi="Times New Roman"/>
      <w:b/>
      <w:sz w:val="32"/>
    </w:rPr>
  </w:style>
  <w:style w:type="paragraph" w:customStyle="1" w:styleId="Heading2TOC">
    <w:name w:val="Heading2 TOC"/>
    <w:basedOn w:val="Normal"/>
    <w:qFormat/>
    <w:rsid w:val="00C3446B"/>
    <w:pPr>
      <w:spacing w:before="240" w:after="60"/>
    </w:pPr>
    <w:rPr>
      <w:rFonts w:ascii="Times New Roman" w:hAnsi="Times New Roman"/>
      <w:b/>
      <w:sz w:val="28"/>
    </w:rPr>
  </w:style>
  <w:style w:type="character" w:customStyle="1" w:styleId="Underline">
    <w:name w:val="Underline"/>
    <w:basedOn w:val="DefaultParagraphFont"/>
    <w:qFormat/>
    <w:rsid w:val="00C3446B"/>
    <w:rPr>
      <w:u w:val="single"/>
    </w:rPr>
  </w:style>
  <w:style w:type="character" w:customStyle="1" w:styleId="BoldandItalics">
    <w:name w:val="Bold and Italics"/>
    <w:qFormat/>
    <w:rsid w:val="00C3446B"/>
    <w:rPr>
      <w:b/>
      <w:i/>
      <w:u w:val="none"/>
    </w:rPr>
  </w:style>
  <w:style w:type="paragraph" w:styleId="BalloonText">
    <w:name w:val="Balloon Text"/>
    <w:basedOn w:val="Normal"/>
    <w:link w:val="BalloonTextChar"/>
    <w:rsid w:val="00C3446B"/>
    <w:rPr>
      <w:rFonts w:ascii="Tahoma" w:hAnsi="Tahoma" w:cs="Tahoma"/>
      <w:sz w:val="16"/>
      <w:szCs w:val="16"/>
    </w:rPr>
  </w:style>
  <w:style w:type="character" w:customStyle="1" w:styleId="BalloonTextChar">
    <w:name w:val="Balloon Text Char"/>
    <w:basedOn w:val="DefaultParagraphFont"/>
    <w:link w:val="BalloonText"/>
    <w:rsid w:val="00C344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4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4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2553</Words>
  <Characters>15989</Characters>
  <Application>Microsoft Office Word</Application>
  <DocSecurity>0</DocSecurity>
  <Lines>643</Lines>
  <Paragraphs>265</Paragraphs>
  <ScaleCrop>false</ScaleCrop>
  <Company>Author-it Software Corporation Ltd.</Company>
  <LinksUpToDate>false</LinksUpToDate>
  <CharactersWithSpaces>18357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UETTDRIS52A Install and maintain poles, structures and associated hardware</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2012-05-26T12:12:00Z</dcterms:created>
  <dcterms:modified xsi:type="dcterms:W3CDTF">2012-05-26T12:12:00Z</dcterms:modified>
</cp:coreProperties>
</file>