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E5E" w:rsidP="00025E5E">
      <w:pPr>
        <w:pStyle w:val="Title"/>
      </w:pPr>
      <w:r>
        <w:fldChar w:fldCharType="begin"/>
      </w:r>
      <w:r>
        <w:instrText xml:space="preserve"> TITLE   \* MERGEFORMAT </w:instrText>
      </w:r>
      <w:r>
        <w:fldChar w:fldCharType="separate"/>
      </w:r>
      <w:r>
        <w:t>UETTDRIS50A Coordinate power system permit procedures</w:t>
      </w:r>
      <w:r>
        <w:fldChar w:fldCharType="end"/>
      </w:r>
    </w:p>
    <w:p w:rsidR="00025E5E" w:rsidP="00025E5E">
      <w:pPr>
        <w:pStyle w:val="Version"/>
        <w:sectPr w:rsidSect="00CB26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6A2" w:rsidP="00CB26A2">
      <w:pPr>
        <w:pStyle w:val="SuperHeading"/>
      </w:pPr>
      <w:r w:rsidRPr="00CB26A2">
        <w:t>UETTDRIS50A Coordinate power system permit procedures</w:t>
      </w:r>
    </w:p>
    <w:p w:rsidR="00000000" w:rsidRPr="00CB26A2" w:rsidP="00CB26A2">
      <w:pPr>
        <w:pStyle w:val="Heading1"/>
      </w:pPr>
      <w:bookmarkStart w:id="1" w:name="O_462574"/>
      <w:bookmarkEnd w:id="1"/>
      <w:r w:rsidRPr="00CB26A2">
        <w:t>Modification History</w:t>
      </w:r>
    </w:p>
    <w:p w:rsidR="00000000" w:rsidRPr="00CB26A2" w:rsidP="00CB26A2">
      <w:pPr>
        <w:pStyle w:val="BodyText"/>
      </w:pPr>
      <w:r w:rsidRPr="00CB26A2">
        <w:t>Not applicable.</w:t>
      </w:r>
    </w:p>
    <w:p w:rsidR="00000000" w:rsidRPr="00CB26A2" w:rsidP="00CB26A2">
      <w:pPr>
        <w:pStyle w:val="AllowPageBreak"/>
      </w:pPr>
    </w:p>
    <w:p w:rsidR="00000000" w:rsidRPr="00CB26A2" w:rsidP="00CB26A2">
      <w:pPr>
        <w:pStyle w:val="Heading1"/>
      </w:pPr>
      <w:bookmarkStart w:id="2" w:name="O_462572"/>
      <w:bookmarkEnd w:id="2"/>
      <w:r w:rsidRPr="00CB26A2">
        <w:t>Unit Descriptor</w:t>
      </w:r>
    </w:p>
    <w:tbl>
      <w:tblPr>
        <w:tblW w:w="0" w:type="auto"/>
        <w:tblLayout w:type="fixed"/>
        <w:tblCellMar>
          <w:left w:w="62" w:type="dxa"/>
          <w:right w:w="62" w:type="dxa"/>
        </w:tblCellMar>
        <w:tblLook w:val="0000"/>
      </w:tblPr>
      <w:tblGrid>
        <w:gridCol w:w="2700"/>
        <w:gridCol w:w="5760"/>
      </w:tblGrid>
      <w:tr w:rsidTr="00025E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1)</w:t>
            </w:r>
            <w:r w:rsidRPr="00CB26A2">
              <w:t xml:space="preserve"> </w:t>
            </w:r>
            <w:r w:rsidRPr="00CB26A2">
              <w:rPr>
                <w:rStyle w:val="SpecialBold"/>
              </w:rPr>
              <w:t>Scope: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26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1.1) Descriptor</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This Competency Standard Unit covers the coordination of work procedures that require the issue of electrical permits to work and other permits for working on major parts of the electrical network. It encompasses the analysis and coordination of all work a</w:t>
            </w:r>
            <w:r w:rsidRPr="00CB26A2">
              <w:t>ctivities planned to be undertaken within more or less the same time timeframe to ensure that: the organisation’s work safety and statutory requirements are complied with; the extent of power interruption, and hence inconvenience to customers, is minimised</w:t>
            </w:r>
            <w:r w:rsidRPr="00CB26A2">
              <w:t>; and the effective utilisation of available resources, both from the organisation and from its contractors to ensure all planned activities are timely completed to specified standards and requirements.</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3" w:name="O_462561"/>
      <w:bookmarkEnd w:id="3"/>
      <w:r w:rsidRPr="00CB26A2">
        <w:t>Application of the Unit</w:t>
      </w:r>
    </w:p>
    <w:tbl>
      <w:tblPr>
        <w:tblW w:w="0" w:type="auto"/>
        <w:tblLayout w:type="fixed"/>
        <w:tblCellMar>
          <w:left w:w="62" w:type="dxa"/>
          <w:right w:w="62" w:type="dxa"/>
        </w:tblCellMar>
        <w:tblLook w:val="0000"/>
      </w:tblPr>
      <w:tblGrid>
        <w:gridCol w:w="2672"/>
        <w:gridCol w:w="5699"/>
      </w:tblGrid>
      <w:tr w:rsidTr="00025E5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Applicatio</w:t>
            </w:r>
            <w:r w:rsidRPr="00CB26A2">
              <w:rPr>
                <w:rStyle w:val="SpecialBold"/>
              </w:rPr>
              <w:t>n of the Unit</w:t>
            </w:r>
          </w:p>
        </w:tc>
        <w:tc>
          <w:tcPr>
            <w:tcW w:w="569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2)</w:t>
            </w:r>
          </w:p>
        </w:tc>
      </w:tr>
      <w:tr w:rsidTr="00025E5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This Competency Standard Unit is intended to augment formally acquired competencies. It is suitable for employment-based programs under an approved contract of training.</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4" w:name="O_462568"/>
      <w:bookmarkEnd w:id="4"/>
      <w:r w:rsidRPr="00CB26A2">
        <w:t>Licensing/Regulatory Information</w:t>
      </w:r>
    </w:p>
    <w:tbl>
      <w:tblPr>
        <w:tblW w:w="0" w:type="auto"/>
        <w:tblLayout w:type="fixed"/>
        <w:tblCellMar>
          <w:left w:w="62" w:type="dxa"/>
          <w:right w:w="62" w:type="dxa"/>
        </w:tblCellMar>
        <w:tblLook w:val="0000"/>
      </w:tblPr>
      <w:tblGrid>
        <w:gridCol w:w="2700"/>
        <w:gridCol w:w="5760"/>
      </w:tblGrid>
      <w:tr w:rsidTr="00025E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 xml:space="preserve">3)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 xml:space="preserve">The skills and knowledge described in this unit may require a licence/registration to practice in the work place </w:t>
            </w:r>
            <w:r w:rsidRPr="00CB26A2">
              <w:t xml:space="preserve">subject to regulations for undertaking of electrical work. Practice in workplace and during training is also subject </w:t>
            </w:r>
            <w:r w:rsidRPr="00CB26A2">
              <w:t>to regulations directly related to Occupational Health and Safety, electricity/telecommunications/gas/water industry safety and compliance, industrial relations, environmental protection, anti discrimination and training. Commonwealth, State/Territory or L</w:t>
            </w:r>
            <w:r w:rsidRPr="00CB26A2">
              <w:t>ocal Government legislation and regulations may exist that limits the age of operating certain equipment.</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5" w:name="O_462569"/>
      <w:bookmarkEnd w:id="5"/>
      <w:r w:rsidRPr="00CB26A2">
        <w:t>Pre-Requisites</w:t>
      </w:r>
    </w:p>
    <w:tbl>
      <w:tblPr>
        <w:tblW w:w="0" w:type="auto"/>
        <w:tblLayout w:type="fixed"/>
        <w:tblCellMar>
          <w:left w:w="62" w:type="dxa"/>
          <w:right w:w="62" w:type="dxa"/>
        </w:tblCellMar>
        <w:tblLook w:val="0000"/>
      </w:tblPr>
      <w:tblGrid>
        <w:gridCol w:w="2700"/>
        <w:gridCol w:w="2160"/>
        <w:gridCol w:w="3600"/>
      </w:tblGrid>
      <w:tr w:rsidTr="00025E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 xml:space="preserve">4)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4.1)</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Granting of competency in this unit shall be made only after competency in the following unit(s) has/have been confirmed.</w:t>
            </w:r>
          </w:p>
          <w:p w:rsidR="00000000" w:rsidRPr="00CB26A2" w:rsidP="00CB26A2">
            <w:pPr>
              <w:pStyle w:val="BodyText"/>
            </w:pPr>
            <w:r w:rsidRPr="00CB26A2">
              <w:t xml:space="preserve">Where pre-requisite pathways have been identified. All competencies in the Common Unit Group must be have been completed plus all the </w:t>
            </w:r>
            <w:r w:rsidRPr="00CB26A2">
              <w:t>competencies in one (1) of the identified Pathway Unit Group(s):</w:t>
            </w:r>
          </w:p>
          <w:p w:rsidR="00000000" w:rsidRPr="00CB26A2" w:rsidP="00CB26A2">
            <w:pPr>
              <w:pStyle w:val="BodyText"/>
            </w:pPr>
            <w:r w:rsidRPr="00CB26A2">
              <w:t>Transmission Overhead</w:t>
            </w:r>
          </w:p>
          <w:p w:rsidR="00000000" w:rsidRPr="00CB26A2" w:rsidP="00CB26A2">
            <w:pPr>
              <w:pStyle w:val="BodyText"/>
            </w:pPr>
            <w:r w:rsidRPr="00CB26A2">
              <w:t>Distribution Overhead</w:t>
            </w:r>
          </w:p>
          <w:p w:rsidR="00000000" w:rsidRPr="00CB26A2" w:rsidP="00CB26A2">
            <w:pPr>
              <w:pStyle w:val="BodyText"/>
            </w:pPr>
            <w:r w:rsidRPr="00CB26A2">
              <w:t>Rail Traction</w:t>
            </w:r>
          </w:p>
          <w:p w:rsidR="00000000" w:rsidRPr="00CB26A2" w:rsidP="00CB26A2">
            <w:pPr>
              <w:pStyle w:val="BodyText"/>
            </w:pPr>
            <w:r w:rsidRPr="00CB26A2">
              <w:t>Distribution Cable Jointing</w:t>
            </w:r>
          </w:p>
          <w:p w:rsidR="00000000" w:rsidRPr="00CB26A2" w:rsidP="00CB26A2">
            <w:pPr>
              <w:pStyle w:val="BodyText"/>
            </w:pPr>
            <w:r w:rsidRPr="00CB26A2">
              <w:t>Electrical</w:t>
            </w:r>
          </w:p>
          <w:p w:rsidR="00000000" w:rsidP="00CB26A2">
            <w:pPr>
              <w:pStyle w:val="BodyText"/>
              <w:rPr>
                <w:lang w:val="en-NZ"/>
              </w:rPr>
            </w:pPr>
            <w:r w:rsidRPr="00CB26A2">
              <w:t>Common Unit Group</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Code</w:t>
            </w:r>
          </w:p>
        </w:tc>
        <w:tc>
          <w:tcPr>
            <w:tcW w:w="36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Title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UEENEEE101A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Apply Occupational Health and Safety regulations, codes and practices in the workplace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UEENEEE102A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Fabricate, assemble and dismantle utilities industry components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UEENEEE104A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Solve problems in d.c.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UEENEEE105A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Fix and secure electrotechnolog</w:t>
            </w:r>
            <w:r w:rsidRPr="00CB26A2">
              <w:t>y equipment</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UEENEEE107A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Use drawings, diagrams, schedules, standards, codes and specifications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UEENEEG101A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Solve problems in electromagnetic devices and related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UEENEEG102A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Solve problems in low voltage a.c.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UETTDREL16A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Working safely near live electrical apparatus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 xml:space="preserve">Transmission Overhead Pathway Group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Code</w:t>
            </w:r>
          </w:p>
        </w:tc>
        <w:tc>
          <w:tcPr>
            <w:tcW w:w="36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Title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Apply sustainable energy and environmental procedures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Operate plant and equipment near live electrical conductors and apparatus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UETTDRIS44A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Perform HV field switching operation to a given schedule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UETTDRIS54A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poles, structures, overhead conductors and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UETTDRTP26A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transmission structures and associated hardware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UETTDRTP27A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Maintain transmission structures and associated hardware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UETTDRTP29A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transmission overhead conductors and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Distribution Overhead Pathway Group</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Code</w:t>
            </w:r>
          </w:p>
        </w:tc>
        <w:tc>
          <w:tcPr>
            <w:tcW w:w="36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Title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Apply sustainable energy and environmental procedures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UETTDRDP12A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Maintain overhead energised low voltage conductors and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Operate plant and equipment near live electrical conductors and apparatus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network infrastructure electrical equipment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Maintain network infrastructure electrical equipment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UETTDRIS43A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Perform low voltage field switching operation to a given schedule.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Install and maintain poles</w:t>
            </w:r>
            <w:r w:rsidRPr="00CB26A2">
              <w:t>, structures and associated hardware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UETTDRIS54A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poles, structures, overhead conductors and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UETTDRIS56A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low voltage overhead services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Rail Traction Pathway Group</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Code</w:t>
            </w:r>
          </w:p>
        </w:tc>
        <w:tc>
          <w:tcPr>
            <w:tcW w:w="36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Title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Apply sustainable energy and environmental procedures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Operate plant and equipment near live electrical conductors and apparatus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Install and maintain poles, structures and associated hardware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UETTDRIS54A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Install and maintain</w:t>
            </w:r>
            <w:r w:rsidRPr="00CB26A2">
              <w:t xml:space="preserve"> poles, structures, overhead conductors and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UETTDRRT21A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traction overhead wiring systems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UETTDRRT22A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Maintain traction overhead wiring systems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UETTDRRT23A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rail traction bonds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UETTDRRT27A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overhead traction components and equipment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UETTDRRT28A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Maintain overhead traction components and equipment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UETTDRRT30A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Perform to a given schedule rail traction switching operations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Distribution Cable Jointing Pathway Group</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Code</w:t>
            </w:r>
          </w:p>
        </w:tc>
        <w:tc>
          <w:tcPr>
            <w:tcW w:w="36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Title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UETTDRCJ21A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Lay ESI electrical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UETTDRCJ26A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de-energised low voltage underground polymeric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UETTDRCJ27A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de-energised high voltage underground polymeric cables.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Apply sustainable energy and environmental procedures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UETTDREL12A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Operate plant and equipment near live electrical conductors and apparatus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UETTDRIS41A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network infrastructure electrical equipment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Maintain network infrastructure electrical equipment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UETTDRIS43A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Perform low voltage field switching operation to a given schedule.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UETTDRIS55A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 xml:space="preserve">Install and maintain low voltage underground services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Electrical Pathway Group</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Code</w:t>
            </w:r>
          </w:p>
        </w:tc>
        <w:tc>
          <w:tcPr>
            <w:tcW w:w="36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Unit Title</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UEENEEE137A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Document and apply measures to control OHS risks associated with electrotechnology work</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UEENEEG006A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Solve problems in single and three phase low voltage machines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UEENEEG033A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Solve problems in single and three phase electrical apparatus and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UEENEEG063A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Arrange circuits, control and protection for general electrical installations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UEENEEG106A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Terminate cables, cords and accessories for low voltage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UEENEEG1</w:t>
            </w:r>
            <w:r w:rsidRPr="00CB26A2">
              <w:t>08A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Trouble-shoot and repair faults in low voltage electrical apparatus and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UEENEEG109A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Develop and connect electrical control circuits</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UEENEEK142A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Apply environmentally and sustainable energy procedures in the energy sector</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UETTDRIS67A</w:t>
            </w:r>
          </w:p>
        </w:tc>
        <w:tc>
          <w:tcPr>
            <w:tcW w:w="360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Solve problems in energy supply network equipment</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vAlign w:val="center"/>
          </w:tcPr>
          <w:p w:rsidR="00000000" w:rsidP="00CB26A2">
            <w:pPr>
              <w:pStyle w:val="BodyText"/>
              <w:rPr>
                <w:lang w:val="en-NZ"/>
              </w:rPr>
            </w:pPr>
            <w:r w:rsidRPr="00CB26A2">
              <w:t>UETTDRSB39A</w:t>
            </w:r>
          </w:p>
        </w:tc>
        <w:tc>
          <w:tcPr>
            <w:tcW w:w="3600" w:type="dxa"/>
            <w:tcBorders>
              <w:top w:val="nil"/>
              <w:left w:val="nil"/>
              <w:bottom w:val="nil"/>
              <w:right w:val="nil"/>
            </w:tcBorders>
            <w:tcMar>
              <w:top w:w="0" w:type="dxa"/>
              <w:left w:w="62" w:type="dxa"/>
              <w:bottom w:w="0" w:type="dxa"/>
              <w:right w:w="62" w:type="dxa"/>
            </w:tcMar>
            <w:vAlign w:val="center"/>
          </w:tcPr>
          <w:p w:rsidR="00000000" w:rsidRPr="00CB26A2" w:rsidP="00CB26A2">
            <w:pPr>
              <w:pStyle w:val="BodyText"/>
            </w:pPr>
            <w:r w:rsidRPr="00CB26A2">
              <w:t>Perform power system substation switching operation to a given schedule</w:t>
            </w:r>
          </w:p>
        </w:tc>
      </w:tr>
    </w:tbl>
    <w:p w:rsidR="00000000" w:rsidRPr="00CB26A2" w:rsidP="00CB26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25E5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 xml:space="preserve">4.2)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Participants are best equipped to achieve this unit if they have reading, writing and numeracy skills indicated by the following scales. Description of each scale is given in Volume 2, Part 3 “Literacy and Numeracy”</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Reading</w:t>
            </w:r>
          </w:p>
        </w:tc>
        <w:tc>
          <w:tcPr>
            <w:tcW w:w="81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4</w:t>
            </w:r>
          </w:p>
        </w:tc>
        <w:tc>
          <w:tcPr>
            <w:tcW w:w="99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Writing</w:t>
            </w:r>
          </w:p>
        </w:tc>
        <w:tc>
          <w:tcPr>
            <w:tcW w:w="9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4</w:t>
            </w:r>
          </w:p>
        </w:tc>
        <w:tc>
          <w:tcPr>
            <w:tcW w:w="12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Numeracy</w:t>
            </w:r>
          </w:p>
        </w:tc>
        <w:tc>
          <w:tcPr>
            <w:tcW w:w="72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4</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6" w:name="O_462565"/>
      <w:bookmarkEnd w:id="6"/>
      <w:r w:rsidRPr="00CB26A2">
        <w:t>Employability Skills Information</w:t>
      </w:r>
    </w:p>
    <w:tbl>
      <w:tblPr>
        <w:tblW w:w="0" w:type="auto"/>
        <w:tblLayout w:type="fixed"/>
        <w:tblCellMar>
          <w:left w:w="62" w:type="dxa"/>
          <w:right w:w="62" w:type="dxa"/>
        </w:tblCellMar>
        <w:tblLook w:val="0000"/>
      </w:tblPr>
      <w:tblGrid>
        <w:gridCol w:w="2700"/>
        <w:gridCol w:w="5760"/>
      </w:tblGrid>
      <w:tr w:rsidTr="00025E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 xml:space="preserve">5)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The required outcomes described in this unit of competency contain applicable facets of Employability Skills. The Employability Skills Summary of the qualification in which this u</w:t>
            </w:r>
            <w:r w:rsidRPr="00CB26A2">
              <w:t>nit of competency is packaged will assist in identifying Employability Skill requirements.</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7" w:name="O_462564"/>
      <w:bookmarkEnd w:id="7"/>
      <w:r w:rsidRPr="00CB26A2">
        <w:t>Elements and Performance Criteria Pre-Content</w:t>
      </w:r>
    </w:p>
    <w:tbl>
      <w:tblPr>
        <w:tblW w:w="0" w:type="auto"/>
        <w:tblLayout w:type="fixed"/>
        <w:tblCellMar>
          <w:left w:w="62" w:type="dxa"/>
          <w:right w:w="62" w:type="dxa"/>
        </w:tblCellMar>
        <w:tblLook w:val="0000"/>
      </w:tblPr>
      <w:tblGrid>
        <w:gridCol w:w="2700"/>
        <w:gridCol w:w="5760"/>
      </w:tblGrid>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6)</w:t>
            </w:r>
            <w:r w:rsidRPr="00CB26A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Performance Criteria describe the required performance needed to demonstrate achievement of the element. Assessment of performance is to be consistent with the Evidence Guide.</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8" w:name="O_462563"/>
      <w:bookmarkEnd w:id="8"/>
      <w:r w:rsidRPr="00CB26A2">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025E5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PERFORMANCE CRITER</w:t>
            </w:r>
            <w:r w:rsidRPr="00CB26A2">
              <w:rPr>
                <w:rStyle w:val="SpecialBold"/>
              </w:rPr>
              <w:t>IA</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w:t>
            </w:r>
          </w:p>
        </w:tc>
        <w:tc>
          <w:tcPr>
            <w:tcW w:w="2292"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Prepare/plan to coordinate permit procedures</w:t>
            </w: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1.1</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 xml:space="preserve">Works schedule(s), including drawings, plans, requirements, established procedures, and material lists, are obtained, analysed, if necessary, </w:t>
            </w:r>
            <w:r w:rsidRPr="00CB26A2">
              <w:t>by site inspection and the extent of the preparation of the work determined for planning and coordination.</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1.2</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Work is prioritised and sequenced for the most efficient and effective outcome following consultation with others for completion within accept</w:t>
            </w:r>
            <w:r w:rsidRPr="00CB26A2">
              <w:t>able timeframes, to a quality standard and in accordance with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1.3</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Relevant requirements and established procedures for the work are communicated to all personnel and identified for all work sites.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1.4</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Hazards are identified, OHS risks assessed and control measures are prioritised, implemented and monitored including emergency exits kept clear, to ensure safe systems of work are followed and according to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1.5</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Relevant work permi</w:t>
            </w:r>
            <w:r w:rsidRPr="00CB26A2">
              <w:t>ts are secured to coordinate the performance of work according to requirements and/or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1.6</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Resources including personnel, equipment, tools and personal protective equipment required for the job are identified, scheduled and applie</w:t>
            </w:r>
            <w:r w:rsidRPr="00CB26A2">
              <w:t>d in the coordination of permit procedures according to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1.7</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Clients/customers are provided with possible solutions and/or options within the scope, acceptable cost and requirements.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1.8</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Liaison and communication issues with other/authorised personnel, authorities, clients and land owners are resolved and activities coordinated to carry out work.</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w:t>
            </w:r>
          </w:p>
        </w:tc>
        <w:tc>
          <w:tcPr>
            <w:tcW w:w="2292"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Carry out the co-ordination of permit procedures</w:t>
            </w: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2.1</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 xml:space="preserve">OHS and sustainable energy principles </w:t>
            </w:r>
            <w:r w:rsidRPr="00CB26A2">
              <w:t>and practices to reduce the incidents of accidents and minimise waste are monitored and actioned in accordance with requirements and/or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2.2</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Hazard warnings and safety signs are recognised and hazards and assessed OHS risks are re</w:t>
            </w:r>
            <w:r w:rsidRPr="00CB26A2">
              <w:t>ported to the immediate authorised persons for directions according to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2.3</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Remedial actions are taken to overcome any shortfalls encountered in the work schedule according to requirements and/or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2.4</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Co-ordination of permit procedures is carried out, in accordance with the work schedule and requirements and/or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2.5</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Essential knowledge and associated skills are applied in the safe co-ordination of permit procedures to ensure co</w:t>
            </w:r>
            <w:r w:rsidRPr="00CB26A2">
              <w:t>mpletion in an agreed timeframe and, to quality standards with a minimum of waste according to requirements.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2.6</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Solutions to non-routine problems are identified and actioned using acquired essential knowledge and associated skills according to requirem</w:t>
            </w:r>
            <w:r w:rsidRPr="00CB26A2">
              <w:t>ents.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2.7</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Ongoing checks of quality of the work are undertaken in accordance with requirements and established procedures to ensure a quality like outcome is achieved for the client/customer and to a community/industry standard.</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3</w:t>
            </w:r>
          </w:p>
        </w:tc>
        <w:tc>
          <w:tcPr>
            <w:tcW w:w="2292"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Complete the co-ordin</w:t>
            </w:r>
            <w:r w:rsidRPr="00CB26A2">
              <w:t>ation of permit procedures</w:t>
            </w: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3.1</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Work undertaken is checked against works schedule for conformance with requirements, anomalies reported and solutions identified in accordance with 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3.2</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Relevant work permit(s) are signed off and, plant is returned to service and advised to client/customer in accordance with requirements.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3.3</w:t>
            </w:r>
          </w:p>
        </w:tc>
        <w:tc>
          <w:tcPr>
            <w:tcW w:w="4909"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Accidents and/or injuries are reported and followed up in accordance with requirements/established procedures.</w:t>
            </w:r>
          </w:p>
        </w:tc>
      </w:tr>
      <w:tr w:rsidTr="00025E5E">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t>3.4</w:t>
            </w:r>
          </w:p>
        </w:tc>
        <w:tc>
          <w:tcPr>
            <w:tcW w:w="4909"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Works completion records, reports, as installed /modified drawing(s) and/or documentation and information are confirmed, processed and appropriate personnel notified.</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9" w:name="O_462571"/>
      <w:bookmarkEnd w:id="9"/>
      <w:r w:rsidRPr="00CB26A2">
        <w:t>Required Skills and Knowledge</w:t>
      </w:r>
    </w:p>
    <w:tbl>
      <w:tblPr>
        <w:tblW w:w="0" w:type="auto"/>
        <w:tblLayout w:type="fixed"/>
        <w:tblCellMar>
          <w:left w:w="62" w:type="dxa"/>
          <w:right w:w="62" w:type="dxa"/>
        </w:tblCellMar>
        <w:tblLook w:val="0000"/>
      </w:tblPr>
      <w:tblGrid>
        <w:gridCol w:w="8460"/>
      </w:tblGrid>
      <w:tr w:rsidTr="00025E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REQUIRED SKILLS AND KNOWLEDGE</w:t>
            </w:r>
          </w:p>
        </w:tc>
      </w:tr>
      <w:tr w:rsidTr="00025E5E">
        <w:tblPrEx>
          <w:tblW w:w="0" w:type="auto"/>
          <w:tblLayout w:type="fixed"/>
          <w:tblCellMar>
            <w:left w:w="62" w:type="dxa"/>
            <w:right w:w="62" w:type="dxa"/>
          </w:tblCellMar>
          <w:tblLook w:val="0000"/>
        </w:tblPrEx>
        <w:trPr>
          <w:trHeight w:val="25755"/>
        </w:trPr>
        <w:tc>
          <w:tcPr>
            <w:tcW w:w="84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8)</w:t>
            </w:r>
            <w:r w:rsidRPr="00CB26A2">
              <w:t xml:space="preserve"> Essential Knowledge and Associated Skills (EKAS): This describes the essential skills and knowledge and their level, required for this unit.</w:t>
            </w:r>
          </w:p>
          <w:p w:rsidR="00000000" w:rsidRPr="00CB26A2" w:rsidP="00CB26A2">
            <w:pPr>
              <w:pStyle w:val="BodyText"/>
            </w:pPr>
            <w:r w:rsidRPr="00CB26A2">
              <w:t>Evidence shall show that knowledge has been acquired of coordinating permit procedures.</w:t>
            </w:r>
          </w:p>
          <w:p w:rsidR="00000000" w:rsidRPr="00CB26A2" w:rsidP="00CB26A2">
            <w:pPr>
              <w:pStyle w:val="BodyText"/>
            </w:pPr>
            <w:r w:rsidRPr="00CB26A2">
              <w:t>All knowledge and skills d</w:t>
            </w:r>
            <w:r w:rsidRPr="00CB26A2">
              <w:t>etailed in this unit should be contextualised to current industry practices and technologies.</w:t>
            </w:r>
          </w:p>
          <w:p w:rsidR="00000000" w:rsidRPr="00CB26A2" w:rsidP="00CB26A2">
            <w:pPr>
              <w:pStyle w:val="BodyText"/>
            </w:pPr>
            <w:r w:rsidRPr="00CB26A2">
              <w:t xml:space="preserve">KS01-TIS50A </w:t>
            </w:r>
            <w:r w:rsidRPr="00CB26A2">
              <w:tab/>
              <w:t>Power system permit procedures</w:t>
            </w:r>
          </w:p>
          <w:p w:rsidR="00000000" w:rsidRPr="00CB26A2" w:rsidP="00CB26A2">
            <w:pPr>
              <w:pStyle w:val="BodyText"/>
            </w:pPr>
            <w:r w:rsidRPr="00CB26A2">
              <w:t>Evidence shall show an understanding of the coordination of power system permit procedures to an extent indicated by t</w:t>
            </w:r>
            <w:r w:rsidRPr="00CB26A2">
              <w:t>he following aspects:</w:t>
            </w:r>
          </w:p>
          <w:p w:rsidR="00000000" w:rsidRPr="00CB26A2" w:rsidP="00CB26A2">
            <w:pPr>
              <w:pStyle w:val="BodyText"/>
            </w:pPr>
            <w:r w:rsidRPr="00CB26A2">
              <w:t>T1</w:t>
            </w:r>
            <w:r w:rsidRPr="00CB26A2">
              <w:tab/>
              <w:t>Co-ordinating access authority procedures encompassing:</w:t>
            </w:r>
          </w:p>
          <w:p w:rsidR="00000000" w:rsidRPr="00CB26A2" w:rsidP="00CB26A2">
            <w:pPr>
              <w:pStyle w:val="ListBullet"/>
            </w:pPr>
            <w:r w:rsidRPr="00CB26A2">
              <w:t>Specific enterprise processes, policies and procedures to be followed</w:t>
            </w:r>
          </w:p>
          <w:p w:rsidR="00000000" w:rsidRPr="00CB26A2" w:rsidP="00CB26A2">
            <w:pPr>
              <w:pStyle w:val="ListBullet"/>
            </w:pPr>
            <w:r w:rsidRPr="00CB26A2">
              <w:t>Processes of consultation, negotiation and co-ordination - clear and concise instructions and informatio</w:t>
            </w:r>
            <w:r w:rsidRPr="00CB26A2">
              <w:t>n, methods for the encouragement of feedback and contributions of information and ideas, responsibilities of members of the team.</w:t>
            </w:r>
          </w:p>
          <w:p w:rsidR="00000000" w:rsidRPr="00CB26A2" w:rsidP="00CB26A2">
            <w:pPr>
              <w:pStyle w:val="ListBullet"/>
            </w:pPr>
            <w:r w:rsidRPr="00CB26A2">
              <w:t>Techniques in analysing, planning, co-ordination and organising work for a safe outcome and according to statutory requirement</w:t>
            </w:r>
            <w:r w:rsidRPr="00CB26A2">
              <w:t>s and regulations</w:t>
            </w:r>
          </w:p>
          <w:p w:rsidR="00000000" w:rsidRPr="00CB26A2" w:rsidP="00CB26A2">
            <w:pPr>
              <w:pStyle w:val="ListBullet"/>
            </w:pPr>
            <w:r w:rsidRPr="00CB26A2">
              <w:t>Techniques in the effective utilisation of available resources</w:t>
            </w:r>
          </w:p>
          <w:p w:rsidR="00000000" w:rsidRPr="00CB26A2" w:rsidP="00CB26A2">
            <w:pPr>
              <w:pStyle w:val="ListBullet"/>
            </w:pPr>
            <w:r w:rsidRPr="00CB26A2">
              <w:t>Techniques in the development of an access authority/permit and/or access authority/permit issuing procedures</w:t>
            </w:r>
          </w:p>
          <w:p w:rsidR="00000000" w:rsidRPr="00CB26A2" w:rsidP="00CB26A2">
            <w:pPr>
              <w:pStyle w:val="ListBullet"/>
            </w:pPr>
            <w:r w:rsidRPr="00CB26A2">
              <w:t>Techniques in facilitating and co-ordinating the delivery and iss</w:t>
            </w:r>
            <w:r w:rsidRPr="00CB26A2">
              <w:t>uing of access authorities</w:t>
            </w:r>
          </w:p>
          <w:p w:rsidR="00000000" w:rsidRPr="00CB26A2" w:rsidP="00CB26A2">
            <w:pPr>
              <w:pStyle w:val="ListBullet"/>
            </w:pPr>
            <w:r w:rsidRPr="00CB26A2">
              <w:t>Techniques in gathering, collating and confirming data on different worksites - electrical network diagrams for the specific work site, earth access authorities, safe working area, work to be carried out in confined space or in h</w:t>
            </w:r>
            <w:r w:rsidRPr="00CB26A2">
              <w:t>azardous environment, specific outsourcing procedures, specific hazard identification, risk classification and management procedures, regulatory requirements such as Occupational Health and Safety and electrical safety.</w:t>
            </w:r>
          </w:p>
          <w:p w:rsidR="00000000" w:rsidRPr="00CB26A2" w:rsidP="00CB26A2">
            <w:pPr>
              <w:pStyle w:val="ListBullet"/>
            </w:pPr>
            <w:r w:rsidRPr="00CB26A2">
              <w:t>Techniques in the receiving and co-o</w:t>
            </w:r>
            <w:r w:rsidRPr="00CB26A2">
              <w:t>rdinating the cancellation of access authorities in readiness for restoration</w:t>
            </w:r>
          </w:p>
          <w:p w:rsidR="00000000" w:rsidRPr="00CB26A2" w:rsidP="00CB26A2">
            <w:pPr>
              <w:pStyle w:val="ListBullet"/>
            </w:pPr>
            <w:r w:rsidRPr="00CB26A2">
              <w:t>Methods of conducting audits on correct access authority procedures</w:t>
            </w:r>
          </w:p>
          <w:p w:rsidR="00000000" w:rsidRPr="00CB26A2" w:rsidP="00CB26A2">
            <w:pPr>
              <w:pStyle w:val="ListBullet"/>
            </w:pPr>
            <w:r w:rsidRPr="00CB26A2">
              <w:t>Process of issuing of other access authorities for work permits - working in confined space, if required, co-ordination of access authorities, engaging and briefing contractors on electrical and other work</w:t>
            </w:r>
          </w:p>
          <w:p w:rsidR="00000000" w:rsidRPr="00CB26A2" w:rsidP="00CB26A2">
            <w:pPr>
              <w:pStyle w:val="ListBullet"/>
            </w:pPr>
            <w:r w:rsidRPr="00CB26A2">
              <w:t>Issue and receipt of operating agreements</w:t>
            </w:r>
          </w:p>
          <w:p w:rsidR="00000000" w:rsidRPr="00CB26A2" w:rsidP="00CB26A2">
            <w:pPr>
              <w:pStyle w:val="BodyText"/>
            </w:pPr>
            <w:r w:rsidRPr="00CB26A2">
              <w:t>T2</w:t>
            </w:r>
            <w:r w:rsidRPr="00CB26A2">
              <w:tab/>
              <w:t xml:space="preserve">High </w:t>
            </w:r>
            <w:r w:rsidRPr="00CB26A2">
              <w:t>voltage switching principles encompassing:</w:t>
            </w:r>
          </w:p>
          <w:p w:rsidR="00000000" w:rsidRPr="00CB26A2" w:rsidP="00CB26A2">
            <w:pPr>
              <w:pStyle w:val="ListBullet"/>
            </w:pPr>
            <w:r w:rsidRPr="00CB26A2">
              <w:t>Standards, codes, legislation, supply authority regulations and or enterprise requirements applicable to switching of high voltage to a given schedule</w:t>
            </w:r>
          </w:p>
          <w:p w:rsidR="00000000" w:rsidRPr="00CB26A2" w:rsidP="00CB26A2">
            <w:pPr>
              <w:pStyle w:val="ListBullet"/>
            </w:pPr>
            <w:r w:rsidRPr="00CB26A2">
              <w:t>Requirements for the use of manuals, system diagrams/plans an</w:t>
            </w:r>
            <w:r w:rsidRPr="00CB26A2">
              <w:t>d drawings - types, characteristics and capabilities of electrical apparatus, use, characteristics and capabilities of specialised tools and testing equipment, network interconnectors source of possible backfeed</w:t>
            </w:r>
          </w:p>
          <w:p w:rsidR="00000000" w:rsidRPr="00CB26A2" w:rsidP="00CB26A2">
            <w:pPr>
              <w:pStyle w:val="ListBullet"/>
            </w:pPr>
            <w:r w:rsidRPr="00CB26A2">
              <w:t>Role of the HV switching operator</w:t>
            </w:r>
          </w:p>
          <w:p w:rsidR="00000000" w:rsidRPr="00CB26A2" w:rsidP="00CB26A2">
            <w:pPr>
              <w:pStyle w:val="ListBullet"/>
            </w:pPr>
            <w:r w:rsidRPr="00CB26A2">
              <w:t>Operationa</w:t>
            </w:r>
            <w:r w:rsidRPr="00CB26A2">
              <w:t>l forms, access authorities and permits associated with HV switching - types of operational forms, access authorities and permits, purpose and procedure for operational forms, access authorities and permits.</w:t>
            </w:r>
          </w:p>
          <w:p w:rsidR="00000000" w:rsidRPr="00CB26A2" w:rsidP="00CB26A2">
            <w:pPr>
              <w:pStyle w:val="ListBullet"/>
            </w:pPr>
            <w:r w:rsidRPr="00CB26A2">
              <w:t>Use and operation of equipment associated with H</w:t>
            </w:r>
            <w:r w:rsidRPr="00CB26A2">
              <w:t xml:space="preserve">V overhead and substation equipment - test instruments, sticks, interrupters, arc stranglers. </w:t>
            </w:r>
          </w:p>
          <w:p w:rsidR="00000000" w:rsidRPr="00CB26A2" w:rsidP="00CB26A2">
            <w:pPr>
              <w:pStyle w:val="ListBullet"/>
            </w:pPr>
            <w:r w:rsidRPr="00CB26A2">
              <w:t>Types and categories of HV switchgear</w:t>
            </w:r>
          </w:p>
          <w:p w:rsidR="00000000" w:rsidRPr="00CB26A2" w:rsidP="00CB26A2">
            <w:pPr>
              <w:pStyle w:val="ListBullet"/>
            </w:pPr>
            <w:r w:rsidRPr="00CB26A2">
              <w:t>Application, function and operating capabilities of switchgear</w:t>
            </w:r>
          </w:p>
          <w:p w:rsidR="00000000" w:rsidRPr="00CB26A2" w:rsidP="00CB26A2">
            <w:pPr>
              <w:pStyle w:val="ListBullet"/>
            </w:pPr>
            <w:r w:rsidRPr="00CB26A2">
              <w:t>Restrictions pertaining to HV switching equipment</w:t>
            </w:r>
          </w:p>
          <w:p w:rsidR="00000000" w:rsidRPr="00CB26A2" w:rsidP="00CB26A2">
            <w:pPr>
              <w:pStyle w:val="ListBullet"/>
            </w:pPr>
            <w:r w:rsidRPr="00CB26A2">
              <w:t>Procedures</w:t>
            </w:r>
            <w:r w:rsidRPr="00CB26A2">
              <w:t xml:space="preserve"> for the isolation of HV transmission main and working earths</w:t>
            </w:r>
          </w:p>
          <w:p w:rsidR="00000000" w:rsidRPr="00CB26A2" w:rsidP="00CB26A2">
            <w:pPr>
              <w:pStyle w:val="ListBullet"/>
            </w:pPr>
            <w:r w:rsidRPr="00CB26A2">
              <w:t xml:space="preserve">Earthing HV electrical apparatus practices and procedures for access - purposes of “Operational” and additional work part “on-site” earths, factors determining the location and effectiveness of </w:t>
            </w:r>
            <w:r w:rsidRPr="00CB26A2">
              <w:t>“Operational” earthing, acceptable industry procedures, personal protective equipment, high voltage switching techniques.</w:t>
            </w:r>
          </w:p>
          <w:p w:rsidR="00000000" w:rsidRPr="00CB26A2" w:rsidP="00CB26A2">
            <w:pPr>
              <w:pStyle w:val="ListBullet"/>
            </w:pPr>
            <w:r w:rsidRPr="00CB26A2">
              <w:t>Operate switching apparatus - identifying hazards, assessing and controlling risks associated with HV switchgear operation, systematic</w:t>
            </w:r>
            <w:r w:rsidRPr="00CB26A2">
              <w:t xml:space="preserve"> and defensive techniques, mobile radio procedures, double isolation procedures.</w:t>
            </w:r>
          </w:p>
          <w:p w:rsidR="00000000" w:rsidRPr="00CB26A2" w:rsidP="00CB26A2">
            <w:pPr>
              <w:pStyle w:val="BodyText"/>
            </w:pPr>
            <w:r w:rsidRPr="00CB26A2">
              <w:t>T3</w:t>
            </w:r>
            <w:r w:rsidRPr="00CB26A2">
              <w:tab/>
              <w:t>High voltage distribution transformer principles encompassing:</w:t>
            </w:r>
          </w:p>
          <w:p w:rsidR="00000000" w:rsidRPr="00CB26A2" w:rsidP="00CB26A2">
            <w:pPr>
              <w:pStyle w:val="ListBullet"/>
            </w:pPr>
            <w:r w:rsidRPr="00CB26A2">
              <w:t xml:space="preserve">Operation of HV distribution transformers - principle governing factors for transformer ratings, protection </w:t>
            </w:r>
            <w:r w:rsidRPr="00CB26A2">
              <w:t>and alarms, operating limitations and the relationship between transformer and HV fuse rating, purpose and principle operation of HV distribution transformer tap changers, HV distribution transformer and transformer — cable combination switching practices,</w:t>
            </w:r>
            <w:r w:rsidRPr="00CB26A2">
              <w:t xml:space="preserve"> paralleling requirements, isolation and earthing procedures for access, common distribution transformer and associated electrical apparatus faults.</w:t>
            </w:r>
          </w:p>
          <w:p w:rsidR="00000000" w:rsidRPr="00CB26A2" w:rsidP="00CB26A2">
            <w:pPr>
              <w:pStyle w:val="ListBullet"/>
            </w:pPr>
            <w:r w:rsidRPr="00CB26A2">
              <w:t>HV underground switching equipment - arc stranglers, switch operation, load break elbows, switching cubicle</w:t>
            </w:r>
            <w:r w:rsidRPr="00CB26A2">
              <w:t>s, canister fuses, bayonet fuses, F and G switching cubicles, voltage indicators and phasing testers</w:t>
            </w:r>
          </w:p>
          <w:p w:rsidR="00000000" w:rsidRPr="00CB26A2" w:rsidP="00CB26A2">
            <w:pPr>
              <w:pStyle w:val="BodyText"/>
            </w:pPr>
            <w:r w:rsidRPr="00CB26A2">
              <w:t>T4</w:t>
            </w:r>
            <w:r w:rsidRPr="00CB26A2">
              <w:tab/>
              <w:t>High voltage SWER system encompassing:</w:t>
            </w:r>
          </w:p>
          <w:p w:rsidR="00000000" w:rsidRPr="00CB26A2" w:rsidP="00CB26A2">
            <w:pPr>
              <w:pStyle w:val="ListBullet"/>
            </w:pPr>
            <w:r w:rsidRPr="00CB26A2">
              <w:t>Application and function of SWER system components</w:t>
            </w:r>
          </w:p>
          <w:p w:rsidR="00000000" w:rsidRPr="00CB26A2" w:rsidP="00CB26A2">
            <w:pPr>
              <w:pStyle w:val="ListBullet"/>
            </w:pPr>
            <w:r w:rsidRPr="00CB26A2">
              <w:t>Circuit arrangement</w:t>
            </w:r>
          </w:p>
          <w:p w:rsidR="00000000" w:rsidRPr="00CB26A2" w:rsidP="00CB26A2">
            <w:pPr>
              <w:pStyle w:val="ListBullet"/>
            </w:pPr>
            <w:r w:rsidRPr="00CB26A2">
              <w:t>Principle of operation</w:t>
            </w:r>
          </w:p>
          <w:p w:rsidR="00000000" w:rsidRPr="00CB26A2" w:rsidP="00CB26A2">
            <w:pPr>
              <w:pStyle w:val="ListBullet"/>
            </w:pPr>
            <w:r w:rsidRPr="00CB26A2">
              <w:t>Hazards and procedures associated with faulty SWER earth systems</w:t>
            </w:r>
          </w:p>
          <w:p w:rsidR="00000000" w:rsidRPr="00CB26A2" w:rsidP="00CB26A2">
            <w:pPr>
              <w:pStyle w:val="ListBullet"/>
            </w:pPr>
            <w:r w:rsidRPr="00CB26A2">
              <w:t>Procedure to isolate, energise and commission SWER substations</w:t>
            </w:r>
          </w:p>
          <w:p w:rsidR="00000000" w:rsidRPr="00CB26A2" w:rsidP="00CB26A2">
            <w:pPr>
              <w:pStyle w:val="BodyText"/>
            </w:pPr>
            <w:r w:rsidRPr="00CB26A2">
              <w:t>T5</w:t>
            </w:r>
            <w:r w:rsidRPr="00CB26A2">
              <w:tab/>
              <w:t>Feeder automation system encompassing:</w:t>
            </w:r>
          </w:p>
          <w:p w:rsidR="00000000" w:rsidRPr="00CB26A2" w:rsidP="00CB26A2">
            <w:pPr>
              <w:pStyle w:val="ListBullet"/>
            </w:pPr>
            <w:r w:rsidRPr="00CB26A2">
              <w:t>Function of feeder automation system and the main components</w:t>
            </w:r>
          </w:p>
          <w:p w:rsidR="00000000" w:rsidRPr="00CB26A2" w:rsidP="00CB26A2">
            <w:pPr>
              <w:pStyle w:val="ListBullet"/>
            </w:pPr>
            <w:r w:rsidRPr="00CB26A2">
              <w:t xml:space="preserve">Operation procedure for </w:t>
            </w:r>
            <w:r w:rsidRPr="00CB26A2">
              <w:t>a remote field device from a local control station</w:t>
            </w:r>
          </w:p>
          <w:p w:rsidR="00000000" w:rsidRPr="00CB26A2" w:rsidP="00CB26A2">
            <w:pPr>
              <w:pStyle w:val="ListBullet"/>
            </w:pPr>
            <w:r w:rsidRPr="00CB26A2">
              <w:t>Functions of “System Control and Date Acquisition” (SCADA) (or any other relevant Data Acquisition and Control) systems and its main components</w:t>
            </w:r>
          </w:p>
          <w:p w:rsidR="00000000" w:rsidRPr="00CB26A2" w:rsidP="00CB26A2">
            <w:pPr>
              <w:pStyle w:val="ListBullet"/>
            </w:pPr>
            <w:r w:rsidRPr="00CB26A2">
              <w:t>SCADA system security interlocks and access restrictions</w:t>
            </w:r>
          </w:p>
          <w:p w:rsidR="00000000" w:rsidRPr="00CB26A2" w:rsidP="00CB26A2">
            <w:pPr>
              <w:pStyle w:val="ListBullet"/>
            </w:pPr>
            <w:r w:rsidRPr="00CB26A2">
              <w:t>SCAD</w:t>
            </w:r>
            <w:r w:rsidRPr="00CB26A2">
              <w:t>A system operation when switching apparatus or retrieving data via a remote access device such as; Remote Access Terminal (RAT), Dial Up Voice Annunciated System and Local Control Station</w:t>
            </w:r>
          </w:p>
          <w:p w:rsidR="00000000" w:rsidRPr="00CB26A2" w:rsidP="00CB26A2">
            <w:pPr>
              <w:pStyle w:val="ListBullet"/>
            </w:pPr>
            <w:r w:rsidRPr="00CB26A2">
              <w:t>Function of the main components of a local/remote control system</w:t>
            </w:r>
          </w:p>
          <w:p w:rsidR="00000000" w:rsidRPr="00CB26A2" w:rsidP="00CB26A2">
            <w:pPr>
              <w:pStyle w:val="ListBullet"/>
            </w:pPr>
            <w:r w:rsidRPr="00CB26A2">
              <w:t>Ope</w:t>
            </w:r>
            <w:r w:rsidRPr="00CB26A2">
              <w:t>ration of a field devices using SCADA systems via a Remote Access Terminal (RAT), Dial Up Annunciated System and Local Control Station.</w:t>
            </w:r>
          </w:p>
          <w:p w:rsidR="00000000" w:rsidRPr="00CB26A2" w:rsidP="00CB26A2">
            <w:pPr>
              <w:pStyle w:val="BodyText"/>
            </w:pPr>
            <w:r w:rsidRPr="00CB26A2">
              <w:t>T6</w:t>
            </w:r>
            <w:r w:rsidRPr="00CB26A2">
              <w:tab/>
              <w:t>HV system switching principles including switching authorisation procedures encompassing:</w:t>
            </w:r>
          </w:p>
          <w:p w:rsidR="00000000" w:rsidRPr="00CB26A2" w:rsidP="00CB26A2">
            <w:pPr>
              <w:pStyle w:val="ListBullet"/>
            </w:pPr>
            <w:r w:rsidRPr="00CB26A2">
              <w:t>Legislation, Standards, co</w:t>
            </w:r>
            <w:r w:rsidRPr="00CB26A2">
              <w:t>des, legislation, supply authority regulations and or enterprise requirements applicable to system switching</w:t>
            </w:r>
          </w:p>
          <w:p w:rsidR="00000000" w:rsidRPr="00CB26A2" w:rsidP="00CB26A2">
            <w:pPr>
              <w:pStyle w:val="ListBullet"/>
            </w:pPr>
            <w:r w:rsidRPr="00CB26A2">
              <w:t>Requirements for the use of manuals, system diagrams/plans and drawings</w:t>
            </w:r>
          </w:p>
          <w:p w:rsidR="00000000" w:rsidRPr="00CB26A2" w:rsidP="00CB26A2">
            <w:pPr>
              <w:pStyle w:val="ListBullet"/>
            </w:pPr>
            <w:r w:rsidRPr="00CB26A2">
              <w:t>Types and characteristics of HV systems and equipment to be switched</w:t>
            </w:r>
          </w:p>
          <w:p w:rsidR="00000000" w:rsidRPr="00CB26A2" w:rsidP="00CB26A2">
            <w:pPr>
              <w:pStyle w:val="ListBullet"/>
            </w:pPr>
            <w:r w:rsidRPr="00CB26A2">
              <w:t>Proced</w:t>
            </w:r>
            <w:r w:rsidRPr="00CB26A2">
              <w:t xml:space="preserve">ures for obtaining correct HV switching authorisation - identification of OHS hazards, assessing and controlling risks, safety procedures and precautions, safe approach distances, responsibilities and protocols, identifying switching resources, procedures </w:t>
            </w:r>
            <w:r w:rsidRPr="00CB26A2">
              <w:t>for obtaining electrical access permits authorities, requirements for team switching, procedures for coordination of operations.</w:t>
            </w:r>
          </w:p>
          <w:p w:rsidR="00000000" w:rsidRPr="00CB26A2" w:rsidP="00CB26A2">
            <w:pPr>
              <w:pStyle w:val="ListBullet"/>
            </w:pPr>
            <w:r w:rsidRPr="00CB26A2">
              <w:t>Techniques in HV system switching - pre-switching checks, switching operational procedures, isolation procedures and proving de</w:t>
            </w:r>
            <w:r w:rsidRPr="00CB26A2">
              <w:t>ad de-energised, earthing procedures, emergency fault procedures, energisation procedures.</w:t>
            </w:r>
          </w:p>
          <w:p w:rsidR="00000000" w:rsidRPr="00CB26A2" w:rsidP="00CB26A2">
            <w:pPr>
              <w:pStyle w:val="BodyText"/>
            </w:pPr>
            <w:r w:rsidRPr="00CB26A2">
              <w:t>T7</w:t>
            </w:r>
            <w:r w:rsidRPr="00CB26A2">
              <w:tab/>
              <w:t>LV system switching principles including switching authorisation procedures encompassing:</w:t>
            </w:r>
          </w:p>
          <w:p w:rsidR="00000000" w:rsidRPr="00CB26A2" w:rsidP="00CB26A2">
            <w:pPr>
              <w:pStyle w:val="ListBullet"/>
            </w:pPr>
            <w:r w:rsidRPr="00CB26A2">
              <w:t>Legislation, Standards, codes, legislation, supply authority regulation</w:t>
            </w:r>
            <w:r w:rsidRPr="00CB26A2">
              <w:t>s and or enterprise requirements applicable to system switching</w:t>
            </w:r>
          </w:p>
          <w:p w:rsidR="00000000" w:rsidRPr="00CB26A2" w:rsidP="00CB26A2">
            <w:pPr>
              <w:pStyle w:val="ListBullet"/>
            </w:pPr>
            <w:r w:rsidRPr="00CB26A2">
              <w:t>Requirements for the use of manuals, system diagrams/plans and drawings</w:t>
            </w:r>
          </w:p>
          <w:p w:rsidR="00000000" w:rsidRPr="00CB26A2" w:rsidP="00CB26A2">
            <w:pPr>
              <w:pStyle w:val="ListBullet"/>
            </w:pPr>
            <w:r w:rsidRPr="00CB26A2">
              <w:t>Types and characteristics of LV systems and equipment to be switched</w:t>
            </w:r>
          </w:p>
          <w:p w:rsidR="00000000" w:rsidRPr="00CB26A2" w:rsidP="00CB26A2">
            <w:pPr>
              <w:pStyle w:val="ListBullet"/>
            </w:pPr>
            <w:r w:rsidRPr="00CB26A2">
              <w:t>Procedures for obtaining correct LV switching authorisation - identification of OHS hazards, assessing and controlling risks, safety procedures and precautions, safe approach distances, responsibilities and protocols, identifying switching resources, proce</w:t>
            </w:r>
            <w:r w:rsidRPr="00CB26A2">
              <w:t>dures for obtaining electrical access permits authorities, requirements for team switching, procedures for coordination of operations.</w:t>
            </w:r>
          </w:p>
          <w:p w:rsidR="00000000" w:rsidRPr="00CB26A2" w:rsidP="00CB26A2">
            <w:pPr>
              <w:pStyle w:val="ListBullet"/>
            </w:pPr>
            <w:r w:rsidRPr="00CB26A2">
              <w:t>Techniques in LV system switching - isolation procedures and proving dead, earthing procedures, pre-switching checks, swi</w:t>
            </w:r>
            <w:r w:rsidRPr="00CB26A2">
              <w:t>tching operational procedures, emergency fault procedures, energisation procedures</w:t>
            </w:r>
          </w:p>
          <w:p w:rsidR="00000000" w:rsidRPr="00CB26A2" w:rsidP="00CB26A2">
            <w:pPr>
              <w:pStyle w:val="BodyText"/>
            </w:pPr>
            <w:r w:rsidRPr="00CB26A2">
              <w:t>T8</w:t>
            </w:r>
            <w:r w:rsidRPr="00CB26A2">
              <w:tab/>
              <w:t>HV overhead and substation switching principles encompassing:</w:t>
            </w:r>
          </w:p>
          <w:p w:rsidR="00000000" w:rsidRPr="00CB26A2" w:rsidP="00CB26A2">
            <w:pPr>
              <w:pStyle w:val="ListBullet"/>
            </w:pPr>
            <w:r w:rsidRPr="00CB26A2">
              <w:t>Legislation, Standards, codes, legislation, supply authority regulations and or enterprise requirements app</w:t>
            </w:r>
            <w:r w:rsidRPr="00CB26A2">
              <w:t>licable to HV overhead and substation switching</w:t>
            </w:r>
          </w:p>
          <w:p w:rsidR="00000000" w:rsidRPr="00CB26A2" w:rsidP="00CB26A2">
            <w:pPr>
              <w:pStyle w:val="ListBullet"/>
            </w:pPr>
            <w:r w:rsidRPr="00CB26A2">
              <w:t>Requirements for the use of manuals, system diagrams/plans and drawings - types, characteristics and capabilities of HV electrical equipment to be switched, use, characteristics and capabilities of specialise</w:t>
            </w:r>
            <w:r w:rsidRPr="00CB26A2">
              <w:t>d tools and testing equipment.</w:t>
            </w:r>
          </w:p>
          <w:p w:rsidR="00000000" w:rsidRPr="00CB26A2" w:rsidP="00CB26A2">
            <w:pPr>
              <w:pStyle w:val="ListBullet"/>
            </w:pPr>
            <w:r w:rsidRPr="00CB26A2">
              <w:t>Role and responsibilities of the HV switching operator</w:t>
            </w:r>
          </w:p>
          <w:p w:rsidR="00000000" w:rsidRPr="00CB26A2" w:rsidP="00CB26A2">
            <w:pPr>
              <w:pStyle w:val="ListBullet"/>
            </w:pPr>
            <w:r w:rsidRPr="00CB26A2">
              <w:t>Operational forms, access authorities and permits hazard/risk assessments associated with HV switching - types of operational forms, access authorities and permits hazard</w:t>
            </w:r>
            <w:r w:rsidRPr="00CB26A2">
              <w:t>/risk assessments, purpose and procedure for operational forms, access authorities and hazard/risk assessments.</w:t>
            </w:r>
          </w:p>
          <w:p w:rsidR="00000000" w:rsidRPr="00CB26A2" w:rsidP="00CB26A2">
            <w:pPr>
              <w:pStyle w:val="ListBullet"/>
            </w:pPr>
            <w:r w:rsidRPr="00CB26A2">
              <w:t xml:space="preserve">Use and operation of equipment associated with HV overhead and substation equipment - test instruments, sticks, interrupters, arc stranglers. </w:t>
            </w:r>
          </w:p>
          <w:p w:rsidR="00000000" w:rsidRPr="00CB26A2" w:rsidP="00CB26A2">
            <w:pPr>
              <w:pStyle w:val="ListBullet"/>
            </w:pPr>
            <w:r w:rsidRPr="00CB26A2">
              <w:t>H</w:t>
            </w:r>
            <w:r w:rsidRPr="00CB26A2">
              <w:t>V switchgear – types, categories, application, operating capabilities.</w:t>
            </w:r>
          </w:p>
          <w:p w:rsidR="00000000" w:rsidRPr="00CB26A2" w:rsidP="00CB26A2">
            <w:pPr>
              <w:pStyle w:val="ListBullet"/>
            </w:pPr>
            <w:r w:rsidRPr="00CB26A2">
              <w:t>Operation of HV overhead switching or indicating devices - fuses; disconnect fuses; load switching; live line indicators; capacitors; reclosers; sectionalisers, underslung links, airbre</w:t>
            </w:r>
            <w:r w:rsidRPr="00CB26A2">
              <w:t>aks; switches, disconnects; live line clamps; phasing sticks; phasing tester</w:t>
            </w:r>
          </w:p>
          <w:p w:rsidR="00000000" w:rsidRPr="00CB26A2" w:rsidP="00CB26A2">
            <w:pPr>
              <w:pStyle w:val="ListBullet"/>
            </w:pPr>
            <w:r w:rsidRPr="00CB26A2">
              <w:t>Operation of protection systems and substation equipment - fault levels and settings; types and applications; protection systems and substation equipment fault levels and settings</w:t>
            </w:r>
            <w:r w:rsidRPr="00CB26A2">
              <w:t>; types and applications.</w:t>
            </w:r>
          </w:p>
          <w:p w:rsidR="00000000" w:rsidRPr="00CB26A2" w:rsidP="00CB26A2">
            <w:pPr>
              <w:pStyle w:val="ListBullet"/>
            </w:pPr>
            <w:r w:rsidRPr="00CB26A2">
              <w:t>Restrictions pertaining to HV switching equipment</w:t>
            </w:r>
          </w:p>
          <w:p w:rsidR="00000000" w:rsidRPr="00CB26A2" w:rsidP="00CB26A2">
            <w:pPr>
              <w:pStyle w:val="ListBullet"/>
            </w:pPr>
            <w:r w:rsidRPr="00CB26A2">
              <w:t>Procedures for the isolation of HV mains and working earths - earthing HV electrical apparatus practices and procedures for access authority issuing; HV switching techniques.</w:t>
            </w:r>
          </w:p>
          <w:p w:rsidR="00000000" w:rsidRPr="00CB26A2" w:rsidP="00CB26A2">
            <w:pPr>
              <w:pStyle w:val="ListBullet"/>
            </w:pPr>
            <w:r w:rsidRPr="00CB26A2">
              <w:t>Opera</w:t>
            </w:r>
            <w:r w:rsidRPr="00CB26A2">
              <w:t>te switching apparatus - identifying hazards, assessing and controlling risks associated with HV switchgear operation, systematic and defensive techniques, mobile radio procedures, double isolation procedures.</w:t>
            </w:r>
          </w:p>
          <w:p w:rsidR="00000000" w:rsidRPr="00CB26A2" w:rsidP="00CB26A2">
            <w:pPr>
              <w:pStyle w:val="BodyText"/>
            </w:pPr>
            <w:r w:rsidRPr="00CB26A2">
              <w:t>T9</w:t>
            </w:r>
            <w:r w:rsidRPr="00CB26A2">
              <w:tab/>
              <w:t>Low voltage overhead and substation switchi</w:t>
            </w:r>
            <w:r w:rsidRPr="00CB26A2">
              <w:t>ng principles encompassing:</w:t>
            </w:r>
          </w:p>
          <w:p w:rsidR="00000000" w:rsidRPr="00CB26A2" w:rsidP="00CB26A2">
            <w:pPr>
              <w:pStyle w:val="ListBullet"/>
            </w:pPr>
            <w:r w:rsidRPr="00CB26A2">
              <w:t>Legislation, Standards, codes, legislation, supply authority regulations and or enterprise requirements applicable to low voltage overhead and substation switching</w:t>
            </w:r>
          </w:p>
          <w:p w:rsidR="00000000" w:rsidRPr="00CB26A2" w:rsidP="00CB26A2">
            <w:pPr>
              <w:pStyle w:val="ListBullet"/>
            </w:pPr>
            <w:r w:rsidRPr="00CB26A2">
              <w:t xml:space="preserve">Requirements for the use of manuals, system diagrams/plans and </w:t>
            </w:r>
            <w:r w:rsidRPr="00CB26A2">
              <w:t>drawings - types, characteristics and capabilities of LV electrical equipment to be switched, use, characteristics and capabilities of specialised tools and testing equipment, role and responsibilities of the LV switching operator.</w:t>
            </w:r>
          </w:p>
          <w:p w:rsidR="00000000" w:rsidRPr="00CB26A2" w:rsidP="00CB26A2">
            <w:pPr>
              <w:pStyle w:val="ListBullet"/>
            </w:pPr>
            <w:r w:rsidRPr="00CB26A2">
              <w:t>Operational forms, acces</w:t>
            </w:r>
            <w:r w:rsidRPr="00CB26A2">
              <w:t>s authorities and hazard/risk assessments associated with HV switching - types of operational forms, access authorities and hazard/risk assessments, purpose and procedure for operational forms, access authorities and hazard/risk assessments.</w:t>
            </w:r>
          </w:p>
          <w:p w:rsidR="00000000" w:rsidRPr="00CB26A2" w:rsidP="00CB26A2">
            <w:pPr>
              <w:pStyle w:val="ListBullet"/>
            </w:pPr>
            <w:r w:rsidRPr="00CB26A2">
              <w:t>Use and operat</w:t>
            </w:r>
            <w:r w:rsidRPr="00CB26A2">
              <w:t xml:space="preserve">ion of equipment associated with LV overhead and substation equipment - test instruments, sticks, interrupters, arc stranglers. </w:t>
            </w:r>
          </w:p>
          <w:p w:rsidR="00000000" w:rsidRPr="00CB26A2" w:rsidP="00CB26A2">
            <w:pPr>
              <w:pStyle w:val="ListBullet"/>
            </w:pPr>
            <w:r w:rsidRPr="00CB26A2">
              <w:t>LV switchgear – types, categories, application, operating capabilities</w:t>
            </w:r>
          </w:p>
          <w:p w:rsidR="00000000" w:rsidRPr="00CB26A2" w:rsidP="00CB26A2">
            <w:pPr>
              <w:pStyle w:val="ListBullet"/>
            </w:pPr>
            <w:r w:rsidRPr="00CB26A2">
              <w:t>Operation of LV overhead switching or indicating devices - fuses; disconnect fuses; load switching; underslung links, air break switches; disconnects; live line clamps; phasing sticks; phasing tester.</w:t>
            </w:r>
          </w:p>
          <w:p w:rsidR="00000000" w:rsidRPr="00CB26A2" w:rsidP="00CB26A2">
            <w:pPr>
              <w:pStyle w:val="ListBullet"/>
            </w:pPr>
            <w:r w:rsidRPr="00CB26A2">
              <w:t>Operation of protection systems and substation equipmen</w:t>
            </w:r>
            <w:r w:rsidRPr="00CB26A2">
              <w:t>t - fault levels and settings; types and applications, protection systems and substation equipment fault levels and settings; types and applications.</w:t>
            </w:r>
          </w:p>
          <w:p w:rsidR="00000000" w:rsidRPr="00CB26A2" w:rsidP="00CB26A2">
            <w:pPr>
              <w:pStyle w:val="ListBullet"/>
            </w:pPr>
            <w:r w:rsidRPr="00CB26A2">
              <w:t>Restrictions pertaining to LV switching equipment</w:t>
            </w:r>
          </w:p>
          <w:p w:rsidR="00000000" w:rsidRPr="00CB26A2" w:rsidP="00CB26A2">
            <w:pPr>
              <w:pStyle w:val="ListBullet"/>
            </w:pPr>
            <w:r w:rsidRPr="00CB26A2">
              <w:t>Procedures for the isolation of LV distributions main an</w:t>
            </w:r>
            <w:r w:rsidRPr="00CB26A2">
              <w:t>d working earths</w:t>
            </w:r>
          </w:p>
          <w:p w:rsidR="00000000" w:rsidRPr="00CB26A2" w:rsidP="00CB26A2">
            <w:pPr>
              <w:pStyle w:val="ListBullet"/>
            </w:pPr>
            <w:r w:rsidRPr="00CB26A2">
              <w:t>Earthing LV electrical apparatus practices and procedures for access authority issuing</w:t>
            </w:r>
          </w:p>
          <w:p w:rsidR="00000000" w:rsidRPr="00CB26A2" w:rsidP="00CB26A2">
            <w:pPr>
              <w:pStyle w:val="ListBullet"/>
            </w:pPr>
            <w:r w:rsidRPr="00CB26A2">
              <w:t>Low voltage switching techniques</w:t>
            </w:r>
          </w:p>
          <w:p w:rsidR="00000000" w:rsidRPr="00CB26A2" w:rsidP="00CB26A2">
            <w:pPr>
              <w:pStyle w:val="ListBullet"/>
            </w:pPr>
            <w:r w:rsidRPr="00CB26A2">
              <w:t>Operate switching apparatus - identifying hazards, assessing and controlling risks associated with LV switchgear operat</w:t>
            </w:r>
            <w:r w:rsidRPr="00CB26A2">
              <w:t>ion, systematic and defensive techniques, mobile radio procedures, double isolation procedures.</w:t>
            </w:r>
          </w:p>
          <w:p w:rsidR="00000000" w:rsidRPr="00CB26A2" w:rsidP="00CB26A2">
            <w:pPr>
              <w:pStyle w:val="BodyText"/>
            </w:pPr>
            <w:r w:rsidRPr="00CB26A2">
              <w:t>T10</w:t>
            </w:r>
            <w:r w:rsidRPr="00CB26A2">
              <w:tab/>
              <w:t>Preparation of a HV switching instruction schedule encompassing:</w:t>
            </w:r>
          </w:p>
          <w:p w:rsidR="00000000" w:rsidRPr="00CB26A2" w:rsidP="00CB26A2">
            <w:pPr>
              <w:pStyle w:val="ListBullet"/>
            </w:pPr>
            <w:r w:rsidRPr="00CB26A2">
              <w:t>Legislation, Standards, codes, legislation, supply authority regulations and or enterprise</w:t>
            </w:r>
            <w:r w:rsidRPr="00CB26A2">
              <w:t xml:space="preserve"> requirements applicable to switching instruction schedules</w:t>
            </w:r>
          </w:p>
          <w:p w:rsidR="00000000" w:rsidRPr="00CB26A2" w:rsidP="00CB26A2">
            <w:pPr>
              <w:pStyle w:val="ListBullet"/>
            </w:pPr>
            <w:r w:rsidRPr="00CB26A2">
              <w:t>Requirements for the use of manuals, system diagrams/plans and drawings - types, characteristics and capabilities of HV electrical equipment to be switched, points of isolation and earthing locati</w:t>
            </w:r>
            <w:r w:rsidRPr="00CB26A2">
              <w:t>ons (safety and working earths), responsibilities of the switching operator.</w:t>
            </w:r>
          </w:p>
          <w:p w:rsidR="00000000" w:rsidRPr="00CB26A2" w:rsidP="00CB26A2">
            <w:pPr>
              <w:pStyle w:val="ListBullet"/>
            </w:pPr>
            <w:r w:rsidRPr="00CB26A2">
              <w:t>Techniques in writing switching instructions - sequence of switching operations, isolation procedures, earthing procedures, switching completion notification procedures.</w:t>
            </w:r>
          </w:p>
          <w:p w:rsidR="00000000" w:rsidRPr="00CB26A2" w:rsidP="00CB26A2">
            <w:pPr>
              <w:pStyle w:val="BodyText"/>
            </w:pPr>
            <w:r w:rsidRPr="00CB26A2">
              <w:t>T11</w:t>
            </w:r>
            <w:r w:rsidRPr="00CB26A2">
              <w:tab/>
              <w:t>Prepa</w:t>
            </w:r>
            <w:r w:rsidRPr="00CB26A2">
              <w:t>ration of a LV switching instruction encompassing:</w:t>
            </w:r>
          </w:p>
          <w:p w:rsidR="00000000" w:rsidRPr="00CB26A2" w:rsidP="00CB26A2">
            <w:pPr>
              <w:pStyle w:val="ListBullet"/>
            </w:pPr>
            <w:r w:rsidRPr="00CB26A2">
              <w:t>Legislation, Standards, codes, legislation, supply authority regulations and or enterprise requirements applicable to switching sheet schedules</w:t>
            </w:r>
          </w:p>
          <w:p w:rsidR="00000000" w:rsidRPr="00CB26A2" w:rsidP="00CB26A2">
            <w:pPr>
              <w:pStyle w:val="ListBullet"/>
            </w:pPr>
            <w:r w:rsidRPr="00CB26A2">
              <w:t>Requirements for the use of manuals, system diagrams/plans a</w:t>
            </w:r>
            <w:r w:rsidRPr="00CB26A2">
              <w:t>nd drawings - types, characteristics and capabilities of LV electrical equipment to be switched, isolation points and earthing, responsibilities of the switching operator.</w:t>
            </w:r>
          </w:p>
          <w:p w:rsidR="00000000" w:rsidRPr="00CB26A2" w:rsidP="00CB26A2">
            <w:pPr>
              <w:pStyle w:val="ListBullet"/>
            </w:pPr>
            <w:r w:rsidRPr="00CB26A2">
              <w:t>Techniques in writing switching schedules - sequence of switching operations, isolat</w:t>
            </w:r>
            <w:r w:rsidRPr="00CB26A2">
              <w:t>ion procedures, earthing procedures, switching completion notification procedures.</w:t>
            </w:r>
          </w:p>
          <w:p w:rsidR="00000000" w:rsidRPr="00CB26A2" w:rsidP="00CB26A2">
            <w:pPr>
              <w:pStyle w:val="BodyText"/>
            </w:pPr>
            <w:r w:rsidRPr="00CB26A2">
              <w:t>T12</w:t>
            </w:r>
            <w:r w:rsidRPr="00CB26A2">
              <w:tab/>
              <w:t>Enterprise specific — policy and procedure instructions encompassing:</w:t>
            </w:r>
          </w:p>
          <w:p w:rsidR="00000000" w:rsidRPr="00CB26A2" w:rsidP="00CB26A2">
            <w:pPr>
              <w:pStyle w:val="ListBullet"/>
            </w:pPr>
            <w:r w:rsidRPr="00CB26A2">
              <w:t>Responsibilities and duty of care of employer and employee relationship</w:t>
            </w:r>
          </w:p>
          <w:p w:rsidR="00000000" w:rsidRPr="00CB26A2" w:rsidP="00CB26A2">
            <w:pPr>
              <w:pStyle w:val="ListBullet"/>
            </w:pPr>
            <w:r w:rsidRPr="00CB26A2">
              <w:t>Methods of obtaining the u</w:t>
            </w:r>
            <w:r w:rsidRPr="00CB26A2">
              <w:t>p-to-date information on enterprise policy and procedures</w:t>
            </w:r>
          </w:p>
          <w:p w:rsidR="00000000" w:rsidRPr="00CB26A2" w:rsidP="00CB26A2">
            <w:pPr>
              <w:pStyle w:val="ListBullet"/>
            </w:pPr>
            <w:r w:rsidRPr="00CB26A2">
              <w:t>Rules and regulations</w:t>
            </w:r>
          </w:p>
          <w:p w:rsidR="00000000" w:rsidRPr="00CB26A2" w:rsidP="00CB26A2">
            <w:pPr>
              <w:pStyle w:val="ListBullet"/>
            </w:pPr>
            <w:r w:rsidRPr="00CB26A2">
              <w:t>Induction into workplace - location of work area and storage area, timetable, uniform, personal well-being, housekeeping rules, emergency procedures, evacuation procedures</w:t>
            </w:r>
          </w:p>
          <w:p w:rsidR="00000000" w:rsidRPr="00CB26A2" w:rsidP="00CB26A2">
            <w:pPr>
              <w:pStyle w:val="ListBullet"/>
            </w:pPr>
            <w:r w:rsidRPr="00CB26A2">
              <w:t>Techniques when deal with others - working in teams, customer relation, complaint and issues procedures.</w:t>
            </w:r>
          </w:p>
          <w:p w:rsidR="00000000" w:rsidRPr="00CB26A2" w:rsidP="00CB26A2">
            <w:pPr>
              <w:pStyle w:val="ListBullet"/>
            </w:pPr>
            <w:r w:rsidRPr="00CB26A2">
              <w:t>Overview of enterprise professional development - fire fighting procedures, fatigue management, training and competency development - understanding and</w:t>
            </w:r>
            <w:r w:rsidRPr="00CB26A2">
              <w:t xml:space="preserve"> promotion</w:t>
            </w:r>
          </w:p>
          <w:p w:rsidR="00000000" w:rsidRPr="00CB26A2" w:rsidP="00CB26A2">
            <w:pPr>
              <w:pStyle w:val="BodyText"/>
            </w:pPr>
            <w:r w:rsidRPr="00CB26A2">
              <w:t>T13</w:t>
            </w:r>
            <w:r w:rsidRPr="00CB26A2">
              <w:tab/>
              <w:t>Enterprises specific — OHS instructions encompassing:</w:t>
            </w:r>
          </w:p>
          <w:p w:rsidR="00000000" w:rsidRPr="00CB26A2" w:rsidP="00CB26A2">
            <w:pPr>
              <w:pStyle w:val="ListBullet"/>
            </w:pPr>
            <w:r w:rsidRPr="00CB26A2">
              <w:t>Standards, codes, legislation, supply authority regulations and specific enterprise regulations pertaining to the OHS policies and procedures</w:t>
            </w:r>
          </w:p>
          <w:p w:rsidR="00000000" w:rsidRPr="00CB26A2" w:rsidP="00CB26A2">
            <w:pPr>
              <w:pStyle w:val="ListBullet"/>
            </w:pPr>
            <w:r w:rsidRPr="00CB26A2">
              <w:t>Methods of obtaining the up-to-date informat</w:t>
            </w:r>
            <w:r w:rsidRPr="00CB26A2">
              <w:t>ion on enterprise OHS policy and procedures</w:t>
            </w:r>
          </w:p>
          <w:p w:rsidR="00000000" w:rsidRPr="00CB26A2" w:rsidP="00CB26A2">
            <w:pPr>
              <w:pStyle w:val="ListBullet"/>
            </w:pPr>
            <w:r w:rsidRPr="00CB26A2">
              <w:t>Specific enterprise personal protection equipment - type and application, where and when to be used, method of replacement, responsibility of maintenance including cleaning inspection and testing, emergency respo</w:t>
            </w:r>
            <w:r w:rsidRPr="00CB26A2">
              <w:t>nse, rescue, evacuation and First Aid procedures</w:t>
            </w:r>
          </w:p>
          <w:p w:rsidR="00000000" w:rsidRPr="00CB26A2" w:rsidP="00CB26A2">
            <w:pPr>
              <w:pStyle w:val="ListBullet"/>
            </w:pPr>
            <w:r w:rsidRPr="00CB26A2">
              <w:t>Personal well-being – hygiene, fatigue/stress management, drugs/alcohol</w:t>
            </w:r>
          </w:p>
          <w:p w:rsidR="00000000" w:rsidRPr="00CB26A2" w:rsidP="00CB26A2">
            <w:pPr>
              <w:pStyle w:val="ListBullet"/>
            </w:pPr>
            <w:r w:rsidRPr="00CB26A2">
              <w:t>OHS training - induction training, specific hazard training, specific task or equipment training, emergency and evacuation training, tr</w:t>
            </w:r>
            <w:r w:rsidRPr="00CB26A2">
              <w:t>aining as part of broader programs such as equipment operation</w:t>
            </w:r>
          </w:p>
          <w:p w:rsidR="00000000" w:rsidRPr="00CB26A2" w:rsidP="00CB26A2">
            <w:pPr>
              <w:pStyle w:val="ListBullet"/>
            </w:pPr>
            <w:r w:rsidRPr="00CB26A2">
              <w:t>OHS records including audits, inspection reports, workplace health and environmental monitoring records, training and instruction records, manufacturers and suppliers information such as MSDSs,</w:t>
            </w:r>
            <w:r w:rsidRPr="00CB26A2">
              <w:t xml:space="preserve"> registers, maintenance reports, workers compensation and rehabilitation records and First Aid/medical records</w:t>
            </w:r>
          </w:p>
          <w:p w:rsidR="00000000" w:rsidRPr="00CB26A2" w:rsidP="00CB26A2">
            <w:pPr>
              <w:pStyle w:val="BodyText"/>
            </w:pPr>
            <w:r w:rsidRPr="00CB26A2">
              <w:t>T14</w:t>
            </w:r>
            <w:r w:rsidRPr="00CB26A2">
              <w:tab/>
              <w:t>Enterprises specific — technical drawing and documents encompassing:</w:t>
            </w:r>
          </w:p>
          <w:p w:rsidR="00000000" w:rsidRPr="00CB26A2" w:rsidP="00CB26A2">
            <w:pPr>
              <w:pStyle w:val="ListBullet"/>
            </w:pPr>
            <w:r w:rsidRPr="00CB26A2">
              <w:t>Types and application of enterprise specific drawings and documents - e</w:t>
            </w:r>
            <w:r w:rsidRPr="00CB26A2">
              <w:t>lectrical and electronic drawings, mechanical drawings, project charts, schedules, graphs, technical manuals and catalogues</w:t>
            </w:r>
          </w:p>
          <w:p w:rsidR="00000000" w:rsidRPr="00CB26A2" w:rsidP="00CB26A2">
            <w:pPr>
              <w:pStyle w:val="ListBullet"/>
            </w:pPr>
            <w:r w:rsidRPr="00CB26A2">
              <w:t>Instruction/worksheets sheets - types and application of enterprise specific symbols and diagrams</w:t>
            </w:r>
          </w:p>
          <w:p w:rsidR="00000000" w:rsidRPr="00CB26A2" w:rsidP="00CB26A2">
            <w:pPr>
              <w:pStyle w:val="ListBullet"/>
            </w:pPr>
            <w:r w:rsidRPr="00CB26A2">
              <w:t>Title box - description of parts a</w:t>
            </w:r>
            <w:r w:rsidRPr="00CB26A2">
              <w:t>nd version control</w:t>
            </w:r>
          </w:p>
          <w:p w:rsidR="00000000" w:rsidRPr="00CB26A2" w:rsidP="00CB26A2">
            <w:pPr>
              <w:pStyle w:val="BodyText"/>
            </w:pPr>
            <w:r w:rsidRPr="00CB26A2">
              <w:t>T15</w:t>
            </w:r>
            <w:r w:rsidRPr="00CB26A2">
              <w:tab/>
              <w:t>Enterprise specific switching diagrams and drawing encompassing:</w:t>
            </w:r>
          </w:p>
          <w:p w:rsidR="00000000" w:rsidRPr="00CB26A2" w:rsidP="00CB26A2">
            <w:pPr>
              <w:pStyle w:val="ListBullet"/>
            </w:pPr>
            <w:r w:rsidRPr="00CB26A2">
              <w:t>Types and application of enterprise specific switching drawings and documents - wiring and schematic diagrams and switching symbols, mechanical drawings dealing with s</w:t>
            </w:r>
            <w:r w:rsidRPr="00CB26A2">
              <w:t>witching operations, project charts, switching schedules, graphs, technical manuals and catalogues, instruction/work sheets.</w:t>
            </w:r>
          </w:p>
          <w:p w:rsidR="00000000" w:rsidRPr="00CB26A2" w:rsidP="00CB26A2">
            <w:pPr>
              <w:pStyle w:val="ListBullet"/>
            </w:pPr>
            <w:r w:rsidRPr="00CB26A2">
              <w:t>Interpretation of different system switching diagrams - LV system switching diagrams, DC traction supply sectioning diagrams, HV tr</w:t>
            </w:r>
            <w:r w:rsidRPr="00CB26A2">
              <w:t>ansmission and distribution system symbols and feeder plans, processes of updating switching diagrams</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10" w:name="O_462566"/>
      <w:bookmarkEnd w:id="10"/>
      <w:r w:rsidRPr="00CB26A2">
        <w:t>Evidence Guide</w:t>
      </w:r>
    </w:p>
    <w:tbl>
      <w:tblPr>
        <w:tblW w:w="0" w:type="auto"/>
        <w:tblLayout w:type="fixed"/>
        <w:tblCellMar>
          <w:left w:w="62" w:type="dxa"/>
          <w:right w:w="62" w:type="dxa"/>
        </w:tblCellMar>
        <w:tblLook w:val="0000"/>
      </w:tblPr>
      <w:tblGrid>
        <w:gridCol w:w="8460"/>
      </w:tblGrid>
      <w:tr w:rsidTr="00025E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EVIDENCE GUIDE</w:t>
            </w:r>
          </w:p>
        </w:tc>
      </w:tr>
      <w:tr w:rsidTr="00025E5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9)</w:t>
            </w:r>
            <w:r w:rsidRPr="00CB26A2">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B26A2" w:rsidP="00CB26A2">
            <w:pPr>
              <w:pStyle w:val="BodyText"/>
            </w:pPr>
            <w:r w:rsidRPr="00CB26A2">
              <w:t>The Evidence Guide form</w:t>
            </w:r>
            <w:r w:rsidRPr="00CB26A2">
              <w:t>s an integral part of this Competency Standard Unit and shall be used in conjunction with all component parts of this unit and, performed in accordance with the Assessment Guidelines of this Training Package.</w:t>
            </w:r>
          </w:p>
        </w:tc>
      </w:tr>
    </w:tbl>
    <w:p w:rsidR="00000000" w:rsidRPr="00CB26A2" w:rsidP="00CB26A2">
      <w:pPr>
        <w:pStyle w:val="BodyText"/>
      </w:pPr>
    </w:p>
    <w:tbl>
      <w:tblPr>
        <w:tblW w:w="0" w:type="auto"/>
        <w:tblLayout w:type="fixed"/>
        <w:tblCellMar>
          <w:left w:w="62" w:type="dxa"/>
          <w:right w:w="62" w:type="dxa"/>
        </w:tblCellMar>
        <w:tblLook w:val="0000"/>
      </w:tblPr>
      <w:tblGrid>
        <w:gridCol w:w="1890"/>
        <w:gridCol w:w="6570"/>
      </w:tblGrid>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9.1)</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Longitudinal competency development approaches to assessment, such as Profiling, require data to be reliably gathered in a form that can be consistently interpreted over time. This approach is best utilised in Apprenticeship programs and reduces assessment</w:t>
            </w:r>
            <w:r w:rsidRPr="00CB26A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B26A2">
              <w:t>tency in a realistically simulated work environment. It is recognised that, in some circumstances, assessment in part or full can occur outside the workplace. However, it must be in accord with Industry and, Regulatory policy in this regard.</w:t>
            </w:r>
          </w:p>
          <w:p w:rsidR="00000000" w:rsidRPr="00CB26A2" w:rsidP="00CB26A2">
            <w:pPr>
              <w:pStyle w:val="BodyText"/>
            </w:pPr>
            <w:r w:rsidRPr="00CB26A2">
              <w:t>Methods chosen</w:t>
            </w:r>
            <w:r w:rsidRPr="00CB26A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B26A2">
              <w:t>equired and the critical nature of the competencies being assessed.</w:t>
            </w:r>
          </w:p>
          <w:p w:rsidR="00000000" w:rsidRPr="00CB26A2" w:rsidP="00CB26A2">
            <w:pPr>
              <w:pStyle w:val="BodyText"/>
            </w:pPr>
            <w:r w:rsidRPr="00CB26A2">
              <w:t>The critical safety nature of working with electricity, electrical equipment, gas or any other hazardous substance/material carries risk in deeming a person competent. Hence, sources of ev</w:t>
            </w:r>
            <w:r w:rsidRPr="00CB26A2">
              <w:t>idence need to be ‘rich’ in nature so as to minimise error in judgment.</w:t>
            </w:r>
          </w:p>
          <w:p w:rsidR="00000000" w:rsidRPr="00CB26A2" w:rsidP="00CB26A2">
            <w:pPr>
              <w:pStyle w:val="BodyText"/>
            </w:pPr>
            <w:r w:rsidRPr="00CB26A2">
              <w:t>Activities associated with normal every day work have a bearing on the decision as to how much and how detailed the data gathered will contribute to its ‘richness’. Some skills are mor</w:t>
            </w:r>
            <w:r w:rsidRPr="00CB26A2">
              <w:t>e critical to safety and operational requirements while the same skills may be more or less frequently practiced. These points are raised for the assessors to consider when choosing an assessment method and developing assessment instruments. Sample assessm</w:t>
            </w:r>
            <w:r w:rsidRPr="00CB26A2">
              <w:t>ent instruments are included for Assessors in the Assessment Guidelines of this Training Package.</w:t>
            </w:r>
          </w:p>
        </w:tc>
      </w:tr>
    </w:tbl>
    <w:p w:rsidR="00000000" w:rsidRPr="00CB26A2" w:rsidP="00CB26A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9.2)</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Before the critical aspects of evidence are considered all prerequisi</w:t>
            </w:r>
            <w:r w:rsidRPr="00CB26A2">
              <w:t>tes shall be met.</w:t>
            </w:r>
          </w:p>
          <w:p w:rsidR="00000000" w:rsidRPr="00CB26A2" w:rsidP="00CB26A2">
            <w:pPr>
              <w:pStyle w:val="BodyText"/>
            </w:pPr>
            <w:r w:rsidRPr="00CB26A2">
              <w:t xml:space="preserve">Evidence for competence in this unit shall be considered holistically. Each element and associated Performance Criteria shall be demonstrated on at least two occasions in accordance with the “Assessment Guidelines – UET12”. Evidence </w:t>
            </w:r>
            <w:r w:rsidRPr="00CB26A2">
              <w:t>shall also comprise:</w:t>
            </w:r>
          </w:p>
          <w:p w:rsidR="00000000" w:rsidRPr="00CB26A2" w:rsidP="00CB26A2">
            <w:pPr>
              <w:pStyle w:val="ListBullet"/>
            </w:pPr>
            <w:r w:rsidRPr="00CB26A2">
              <w:t>A representative body of Performance Criteria demonstrated within the timeframes typically expected of the discipline, work function and industrial environment. In particular this shall incorporate evidence that shows a candidate is a</w:t>
            </w:r>
            <w:r w:rsidRPr="00CB26A2">
              <w:t>ble to:</w:t>
            </w:r>
          </w:p>
          <w:p w:rsidR="00000000" w:rsidRPr="00CB26A2" w:rsidP="00CB26A2">
            <w:pPr>
              <w:pStyle w:val="ListBullet2"/>
            </w:pPr>
            <w:r w:rsidRPr="00CB26A2">
              <w:t>Implement Occupational Health and Safety workplace procedures and practices including the use of risk control measures as specified in the Performance Criteria and range; and</w:t>
            </w:r>
          </w:p>
          <w:p w:rsidR="00000000" w:rsidRPr="00CB26A2" w:rsidP="00CB26A2">
            <w:pPr>
              <w:pStyle w:val="ListBullet2"/>
            </w:pPr>
            <w:r w:rsidRPr="00CB26A2">
              <w:t>Apply sustainable energy principles and practices as specified in the Pe</w:t>
            </w:r>
            <w:r w:rsidRPr="00CB26A2">
              <w:t>rformance Criteria and range; and</w:t>
            </w:r>
          </w:p>
          <w:p w:rsidR="00000000" w:rsidRPr="00CB26A2" w:rsidP="00CB26A2">
            <w:pPr>
              <w:pStyle w:val="ListBullet2"/>
            </w:pPr>
            <w:r w:rsidRPr="00CB26A2">
              <w:t>Demonstrate an understanding of the essential knowledge and associated skills as described in this unit to such an extent that the learner’s performance outcome is reported in accordance with the preferred approach; namely</w:t>
            </w:r>
            <w:r w:rsidRPr="00CB26A2">
              <w:t xml:space="preserve"> a percentile graded result, where required by the regulated environment; and</w:t>
            </w:r>
          </w:p>
          <w:p w:rsidR="00000000" w:rsidRPr="00CB26A2" w:rsidP="00CB26A2">
            <w:pPr>
              <w:pStyle w:val="ListBullet2"/>
            </w:pPr>
            <w:r w:rsidRPr="00CB26A2">
              <w:t>Demonstrate an appropriate level of employability skills; and</w:t>
            </w:r>
          </w:p>
          <w:p w:rsidR="00000000" w:rsidRPr="00CB26A2" w:rsidP="00CB26A2">
            <w:pPr>
              <w:pStyle w:val="ListBullet2"/>
            </w:pPr>
            <w:r w:rsidRPr="00CB26A2">
              <w:t>Conduct work observing the relevant Anti Discrimination legislation, regulations, policies and workplace procedures;</w:t>
            </w:r>
            <w:r w:rsidRPr="00CB26A2">
              <w:t xml:space="preserve"> and</w:t>
            </w:r>
          </w:p>
          <w:p w:rsidR="00000000" w:rsidP="00CB26A2">
            <w:pPr>
              <w:pStyle w:val="ListBullet"/>
              <w:rPr>
                <w:lang w:val="en-NZ"/>
              </w:rPr>
            </w:pPr>
            <w:r w:rsidRPr="00CB26A2">
              <w:t>Demonstrated performance across a representative range of contexts from the prescribed items below:</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B26A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rPr>
                <w:rStyle w:val="SpecialBold"/>
              </w:rPr>
              <w:t>Range of tools/equipment/materials/procedures/workplaces/other variables</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B26A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rPr>
                <w:rStyle w:val="SpecialBold"/>
              </w:rPr>
              <w:t>Item List</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t>Development of a permit schedule and/or permit issuing procedures.</w:t>
            </w:r>
          </w:p>
          <w:p w:rsidR="00000000" w:rsidP="00CB26A2">
            <w:pPr>
              <w:pStyle w:val="BodyText"/>
              <w:rPr>
                <w:lang w:val="en-NZ"/>
              </w:rPr>
            </w:pPr>
            <w:r w:rsidRPr="00CB26A2">
              <w:t>Facilitate and coordinate the delivery and issuing of permits.</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Gather, collate and confirm data on different worksites relevant to:</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t>Electrical network diagrams for the specific work site.</w:t>
            </w:r>
          </w:p>
          <w:p w:rsidR="00000000" w:rsidRPr="00CB26A2" w:rsidP="00CB26A2">
            <w:pPr>
              <w:pStyle w:val="BodyText"/>
            </w:pPr>
            <w:r w:rsidRPr="00CB26A2">
              <w:t>Earth permits.</w:t>
            </w:r>
          </w:p>
          <w:p w:rsidR="00000000" w:rsidRPr="00CB26A2" w:rsidP="00CB26A2">
            <w:pPr>
              <w:pStyle w:val="BodyText"/>
            </w:pPr>
            <w:r w:rsidRPr="00CB26A2">
              <w:t>Safe working area.</w:t>
            </w:r>
          </w:p>
          <w:p w:rsidR="00000000" w:rsidRPr="00CB26A2" w:rsidP="00CB26A2">
            <w:pPr>
              <w:pStyle w:val="BodyText"/>
            </w:pPr>
            <w:r w:rsidRPr="00CB26A2">
              <w:t>Work to be carried out in confined space or in hazardous environment.</w:t>
            </w:r>
          </w:p>
          <w:p w:rsidR="00000000" w:rsidRPr="00CB26A2" w:rsidP="00CB26A2">
            <w:pPr>
              <w:pStyle w:val="BodyText"/>
            </w:pPr>
            <w:r w:rsidRPr="00CB26A2">
              <w:t>Specific outsourcing proced</w:t>
            </w:r>
            <w:r w:rsidRPr="00CB26A2">
              <w:t>ures.</w:t>
            </w:r>
          </w:p>
          <w:p w:rsidR="00000000" w:rsidRPr="00CB26A2" w:rsidP="00CB26A2">
            <w:pPr>
              <w:pStyle w:val="BodyText"/>
            </w:pPr>
            <w:r w:rsidRPr="00CB26A2">
              <w:t>Specific hazard identification</w:t>
            </w:r>
          </w:p>
          <w:p w:rsidR="00000000" w:rsidRPr="00CB26A2" w:rsidP="00CB26A2">
            <w:pPr>
              <w:pStyle w:val="BodyText"/>
            </w:pPr>
            <w:r w:rsidRPr="00CB26A2">
              <w:t>Risk classification and management procedures.</w:t>
            </w:r>
          </w:p>
          <w:p w:rsidR="00000000" w:rsidP="00CB26A2">
            <w:pPr>
              <w:pStyle w:val="BodyText"/>
              <w:rPr>
                <w:lang w:val="en-NZ"/>
              </w:rPr>
            </w:pPr>
            <w:r w:rsidRPr="00CB26A2">
              <w:t>Regulatory requirements such as Occupational Health and Safety and electrical safety.</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t>Receive and coordinate the cancellation of permits in readiness for restoration.</w:t>
            </w:r>
          </w:p>
          <w:p w:rsidR="00000000" w:rsidP="00CB26A2">
            <w:pPr>
              <w:pStyle w:val="BodyText"/>
              <w:rPr>
                <w:lang w:val="en-NZ"/>
              </w:rPr>
            </w:pPr>
            <w:r w:rsidRPr="00CB26A2">
              <w:t>Conduct audits permit correctness procedures.</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t>Issue of other work permits such as working in confined space, if required.</w:t>
            </w:r>
          </w:p>
          <w:p w:rsidR="00000000" w:rsidRPr="00CB26A2" w:rsidP="00CB26A2">
            <w:pPr>
              <w:pStyle w:val="BodyText"/>
            </w:pPr>
            <w:r w:rsidRPr="00CB26A2">
              <w:t xml:space="preserve">Co-ordination of </w:t>
            </w:r>
            <w:r w:rsidRPr="00CB26A2">
              <w:t>permits.</w:t>
            </w:r>
          </w:p>
          <w:p w:rsidR="00000000" w:rsidP="00CB26A2">
            <w:pPr>
              <w:pStyle w:val="BodyText"/>
              <w:rPr>
                <w:lang w:val="en-NZ"/>
              </w:rPr>
            </w:pPr>
            <w:r w:rsidRPr="00CB26A2">
              <w:t>Engaging and briefing contractors on electrical and other work permits.</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6A2">
            <w:pPr>
              <w:pStyle w:val="BodyText"/>
              <w:rPr>
                <w:lang w:val="en-NZ"/>
              </w:rPr>
            </w:pPr>
            <w:r w:rsidRPr="00CB26A2">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6A2" w:rsidP="00CB26A2">
            <w:pPr>
              <w:pStyle w:val="BodyText"/>
            </w:pPr>
            <w:r w:rsidRPr="00CB26A2">
              <w:t xml:space="preserve">Dealing with an unplanned event by drawing on essential knowledge and associated skills to provide appropriate solutions incorporated in the </w:t>
            </w:r>
            <w:r w:rsidRPr="00CB26A2">
              <w:t>holistic assessment with the above listed items.</w:t>
            </w:r>
          </w:p>
        </w:tc>
      </w:tr>
    </w:tbl>
    <w:p w:rsidR="00000000" w:rsidRPr="00CB26A2" w:rsidP="00CB26A2">
      <w:pPr>
        <w:pStyle w:val="BodyText"/>
      </w:pPr>
    </w:p>
    <w:tbl>
      <w:tblPr>
        <w:tblW w:w="0" w:type="auto"/>
        <w:tblLayout w:type="fixed"/>
        <w:tblCellMar>
          <w:left w:w="62" w:type="dxa"/>
          <w:right w:w="62" w:type="dxa"/>
        </w:tblCellMar>
        <w:tblLook w:val="0000"/>
      </w:tblPr>
      <w:tblGrid>
        <w:gridCol w:w="1890"/>
        <w:gridCol w:w="6570"/>
      </w:tblGrid>
      <w:tr w:rsidTr="00025E5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9.3)</w:t>
            </w:r>
          </w:p>
        </w:tc>
      </w:tr>
      <w:tr w:rsidTr="00025E5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This unit should be assessed as it relates to normal work practice using procedures, information and resources typical of a workplace. This should in</w:t>
            </w:r>
            <w:r w:rsidRPr="00CB26A2">
              <w:t>clude:</w:t>
            </w:r>
          </w:p>
          <w:p w:rsidR="00000000" w:rsidRPr="00CB26A2" w:rsidP="00CB26A2">
            <w:pPr>
              <w:pStyle w:val="ListBullet"/>
            </w:pPr>
            <w:r w:rsidRPr="00CB26A2">
              <w:t>OHS policy and work procedures and instructions.</w:t>
            </w:r>
          </w:p>
          <w:p w:rsidR="00000000" w:rsidRPr="00CB26A2" w:rsidP="00CB26A2">
            <w:pPr>
              <w:pStyle w:val="ListBullet"/>
            </w:pPr>
            <w:r w:rsidRPr="00CB26A2">
              <w:t>Suitable work environment, facilities, equipment and materials to undertake actual coordinate permit procedures.</w:t>
            </w:r>
          </w:p>
          <w:p w:rsidR="00000000" w:rsidRPr="00CB26A2" w:rsidP="00CB26A2">
            <w:pPr>
              <w:pStyle w:val="BodyText"/>
            </w:pPr>
            <w:r w:rsidRPr="00CB26A2">
              <w:t>In addition to the resources listed above, in Context of and specific resources for assessment, evidence should show demonstrated competency working at realistic heights above ground i.e. above 3 metres, in limited spaces, with different structural/constru</w:t>
            </w:r>
            <w:r w:rsidRPr="00CB26A2">
              <w:t xml:space="preserve">ction types and method and in a variety of environments. </w:t>
            </w:r>
          </w:p>
        </w:tc>
      </w:tr>
    </w:tbl>
    <w:p w:rsidR="00000000" w:rsidRPr="00CB26A2" w:rsidP="00CB26A2">
      <w:pPr>
        <w:pStyle w:val="BodyText"/>
      </w:pPr>
    </w:p>
    <w:tbl>
      <w:tblPr>
        <w:tblW w:w="0" w:type="auto"/>
        <w:tblLayout w:type="fixed"/>
        <w:tblCellMar>
          <w:left w:w="62" w:type="dxa"/>
          <w:right w:w="62" w:type="dxa"/>
        </w:tblCellMar>
        <w:tblLook w:val="0000"/>
      </w:tblPr>
      <w:tblGrid>
        <w:gridCol w:w="1890"/>
        <w:gridCol w:w="6570"/>
      </w:tblGrid>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9.4)</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This Competency Standard Unit shall be assessed by methods given in Volume 1, Part 3 “Assessment Guidelines”.</w:t>
            </w:r>
          </w:p>
          <w:p w:rsidR="00000000" w:rsidRPr="00CB26A2" w:rsidP="00CB26A2">
            <w:pPr>
              <w:pStyle w:val="BodyText"/>
            </w:pPr>
            <w:r w:rsidRPr="00CB26A2">
              <w:t>Note:</w:t>
            </w:r>
          </w:p>
          <w:p w:rsidR="00000000" w:rsidRPr="00CB26A2" w:rsidP="00CB26A2">
            <w:pPr>
              <w:pStyle w:val="BodyText"/>
            </w:pPr>
            <w:r w:rsidRPr="00CB26A2">
              <w:t>Competent performance with inherent safe working practices is expected in the Industry to which this Competency Standard Unit applies. This requires that the specified essential knowledge and associated skills are assessed in a structured environment which</w:t>
            </w:r>
            <w:r w:rsidRPr="00CB26A2">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CB26A2" w:rsidP="00CB26A2">
      <w:pPr>
        <w:pStyle w:val="BodyText"/>
      </w:pPr>
    </w:p>
    <w:tbl>
      <w:tblPr>
        <w:tblW w:w="0" w:type="auto"/>
        <w:tblLayout w:type="fixed"/>
        <w:tblCellMar>
          <w:left w:w="62" w:type="dxa"/>
          <w:right w:w="62" w:type="dxa"/>
        </w:tblCellMar>
        <w:tblLook w:val="0000"/>
      </w:tblPr>
      <w:tblGrid>
        <w:gridCol w:w="1890"/>
        <w:gridCol w:w="6570"/>
      </w:tblGrid>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Concurrent assessment and relationship wi</w:t>
            </w:r>
            <w:r w:rsidRPr="00CB26A2">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9.5)</w:t>
            </w:r>
          </w:p>
        </w:tc>
      </w:tr>
      <w:tr w:rsidTr="00025E5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There are no concurrent assessment recommendations for this unit.</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11" w:name="O_462570"/>
      <w:bookmarkEnd w:id="11"/>
      <w:r w:rsidRPr="00CB26A2">
        <w:t>Range Statement</w:t>
      </w:r>
    </w:p>
    <w:tbl>
      <w:tblPr>
        <w:tblW w:w="0" w:type="auto"/>
        <w:tblLayout w:type="fixed"/>
        <w:tblCellMar>
          <w:left w:w="62" w:type="dxa"/>
          <w:right w:w="62" w:type="dxa"/>
        </w:tblCellMar>
        <w:tblLook w:val="0000"/>
      </w:tblPr>
      <w:tblGrid>
        <w:gridCol w:w="8460"/>
      </w:tblGrid>
      <w:tr w:rsidTr="00025E5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RANGE STATEMENT</w:t>
            </w:r>
          </w:p>
        </w:tc>
      </w:tr>
      <w:tr w:rsidTr="00025E5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10)</w:t>
            </w:r>
            <w:r w:rsidRPr="00CB26A2">
              <w:t xml:space="preserve"> This relates to the unit of competency as a whole providing the range of contexts and conditions </w:t>
            </w:r>
            <w:r w:rsidRPr="00CB26A2">
              <w:t>to which the Performance Criteria apply. It allows for different work environments and situations that will affect performance.</w:t>
            </w:r>
          </w:p>
          <w:p w:rsidR="00000000" w:rsidRPr="00CB26A2" w:rsidP="00CB26A2">
            <w:pPr>
              <w:pStyle w:val="BodyText"/>
            </w:pPr>
            <w:r w:rsidRPr="00CB26A2">
              <w:t>This Competency Standard Unit shall be demonstrated in relation to the coordination of permit procedures and may include but not</w:t>
            </w:r>
            <w:r w:rsidRPr="00CB26A2">
              <w:t xml:space="preserve"> be limited to the following. </w:t>
            </w:r>
          </w:p>
          <w:p w:rsidR="00000000" w:rsidRPr="00CB26A2" w:rsidP="00CB26A2">
            <w:pPr>
              <w:pStyle w:val="BodyText"/>
            </w:pPr>
            <w:r w:rsidRPr="00CB26A2">
              <w:t xml:space="preserve">Enterprise/organisational specific co-ordination could involve: </w:t>
            </w:r>
          </w:p>
          <w:p w:rsidR="00000000" w:rsidRPr="00CB26A2" w:rsidP="00CB26A2">
            <w:pPr>
              <w:pStyle w:val="BodyText"/>
            </w:pPr>
            <w:r w:rsidRPr="00CB26A2">
              <w:t xml:space="preserve">Electrical network diagrams, electrical permit to work system, other work permit system such as work in confined space or in hazardous environment, outsourcing </w:t>
            </w:r>
            <w:r w:rsidRPr="00CB26A2">
              <w:t>procedures, hazard identification, risk classification and management procedures.</w:t>
            </w:r>
          </w:p>
          <w:p w:rsidR="00000000" w:rsidRPr="00CB26A2" w:rsidP="00CB26A2">
            <w:pPr>
              <w:pStyle w:val="BodyText"/>
            </w:pPr>
            <w:r w:rsidRPr="00CB26A2">
              <w:t>Regulatory requirements include Occupational Health and Safety and electrical safety</w:t>
            </w:r>
          </w:p>
          <w:p w:rsidR="00000000" w:rsidRPr="00CB26A2" w:rsidP="00CB26A2">
            <w:pPr>
              <w:pStyle w:val="BodyText"/>
            </w:pPr>
            <w:r w:rsidRPr="00CB26A2">
              <w:t>Computer based systems can be used in the generation of work schedules, programs and/or r</w:t>
            </w:r>
            <w:r w:rsidRPr="00CB26A2">
              <w:t xml:space="preserve">esource allocation. </w:t>
            </w:r>
          </w:p>
          <w:p w:rsidR="00000000" w:rsidRPr="00CB26A2" w:rsidP="00CB26A2">
            <w:pPr>
              <w:pStyle w:val="BodyText"/>
            </w:pPr>
            <w:r w:rsidRPr="00CB26A2">
              <w:t>The following constants and variables included in the element/Performance Criteria in this unit are fully described in the Definitions Section 1 of this volume and form an integral part of the Range Statement of this unit:</w:t>
            </w:r>
          </w:p>
          <w:p w:rsidR="00000000" w:rsidRPr="00CB26A2" w:rsidP="00CB26A2">
            <w:pPr>
              <w:pStyle w:val="ListBullet3"/>
            </w:pPr>
            <w:r w:rsidRPr="00CB26A2">
              <w:t>Appropriate</w:t>
            </w:r>
            <w:r w:rsidRPr="00CB26A2">
              <w:t xml:space="preserve"> and relevant persons (see Personnel)</w:t>
            </w:r>
          </w:p>
          <w:p w:rsidR="00000000" w:rsidRPr="00CB26A2" w:rsidP="00CB26A2">
            <w:pPr>
              <w:pStyle w:val="ListBullet3"/>
            </w:pPr>
            <w:r w:rsidRPr="00CB26A2">
              <w:t>Appropriate authorities</w:t>
            </w:r>
          </w:p>
          <w:p w:rsidR="00000000" w:rsidRPr="00CB26A2" w:rsidP="00CB26A2">
            <w:pPr>
              <w:pStyle w:val="ListBullet3"/>
            </w:pPr>
            <w:r w:rsidRPr="00CB26A2">
              <w:t>Assessing risk</w:t>
            </w:r>
          </w:p>
          <w:p w:rsidR="00000000" w:rsidRPr="00CB26A2" w:rsidP="00CB26A2">
            <w:pPr>
              <w:pStyle w:val="ListBullet3"/>
            </w:pPr>
            <w:r w:rsidRPr="00CB26A2">
              <w:t>Assessment</w:t>
            </w:r>
          </w:p>
          <w:p w:rsidR="00000000" w:rsidRPr="00CB26A2" w:rsidP="00CB26A2">
            <w:pPr>
              <w:pStyle w:val="ListBullet3"/>
            </w:pPr>
            <w:r w:rsidRPr="00CB26A2">
              <w:t>Authorisation</w:t>
            </w:r>
          </w:p>
          <w:p w:rsidR="00000000" w:rsidRPr="00CB26A2" w:rsidP="00CB26A2">
            <w:pPr>
              <w:pStyle w:val="ListBullet3"/>
            </w:pPr>
            <w:r w:rsidRPr="00CB26A2">
              <w:t>Documenting detail work events, record keeping and or storage of information</w:t>
            </w:r>
          </w:p>
          <w:p w:rsidR="00000000" w:rsidRPr="00CB26A2" w:rsidP="00CB26A2">
            <w:pPr>
              <w:pStyle w:val="ListBullet3"/>
            </w:pPr>
            <w:r w:rsidRPr="00CB26A2">
              <w:t>Drawings and specifications</w:t>
            </w:r>
          </w:p>
          <w:p w:rsidR="00000000" w:rsidRPr="00CB26A2" w:rsidP="00CB26A2">
            <w:pPr>
              <w:pStyle w:val="ListBullet3"/>
            </w:pPr>
            <w:r w:rsidRPr="00CB26A2">
              <w:t>Emergency</w:t>
            </w:r>
          </w:p>
          <w:p w:rsidR="00000000" w:rsidRPr="00CB26A2" w:rsidP="00CB26A2">
            <w:pPr>
              <w:pStyle w:val="ListBullet3"/>
            </w:pPr>
            <w:r w:rsidRPr="00CB26A2">
              <w:t>Environmental and sustainable energy procedures</w:t>
            </w:r>
          </w:p>
          <w:p w:rsidR="00000000" w:rsidRPr="00CB26A2" w:rsidP="00CB26A2">
            <w:pPr>
              <w:pStyle w:val="ListBullet3"/>
            </w:pPr>
            <w:r w:rsidRPr="00CB26A2">
              <w:t>Environmental legislation</w:t>
            </w:r>
          </w:p>
          <w:p w:rsidR="00000000" w:rsidRPr="00CB26A2" w:rsidP="00CB26A2">
            <w:pPr>
              <w:pStyle w:val="ListBullet3"/>
            </w:pPr>
            <w:r w:rsidRPr="00CB26A2">
              <w:t>Environmental management documentation</w:t>
            </w:r>
          </w:p>
          <w:p w:rsidR="00000000" w:rsidRPr="00CB26A2" w:rsidP="00CB26A2">
            <w:pPr>
              <w:pStyle w:val="ListBullet3"/>
            </w:pPr>
            <w:r w:rsidRPr="00CB26A2">
              <w:t>Established procedures</w:t>
            </w:r>
          </w:p>
          <w:p w:rsidR="00000000" w:rsidRPr="00CB26A2" w:rsidP="00CB26A2">
            <w:pPr>
              <w:pStyle w:val="ListBullet3"/>
            </w:pPr>
            <w:r w:rsidRPr="00CB26A2">
              <w:t>Hazards</w:t>
            </w:r>
          </w:p>
          <w:p w:rsidR="00000000" w:rsidRPr="00CB26A2" w:rsidP="00CB26A2">
            <w:pPr>
              <w:pStyle w:val="ListBullet3"/>
            </w:pPr>
            <w:r w:rsidRPr="00CB26A2">
              <w:t>Identifying hazards</w:t>
            </w:r>
          </w:p>
          <w:p w:rsidR="00000000" w:rsidRPr="00CB26A2" w:rsidP="00CB26A2">
            <w:pPr>
              <w:pStyle w:val="ListBullet3"/>
            </w:pPr>
            <w:r w:rsidRPr="00CB26A2">
              <w:t>Inspect</w:t>
            </w:r>
          </w:p>
          <w:p w:rsidR="00000000" w:rsidRPr="00CB26A2" w:rsidP="00CB26A2">
            <w:pPr>
              <w:pStyle w:val="ListBullet3"/>
            </w:pPr>
            <w:r w:rsidRPr="00CB26A2">
              <w:t>Legislation</w:t>
            </w:r>
          </w:p>
          <w:p w:rsidR="00000000" w:rsidRPr="00CB26A2" w:rsidP="00CB26A2">
            <w:pPr>
              <w:pStyle w:val="ListBullet3"/>
            </w:pPr>
            <w:r w:rsidRPr="00CB26A2">
              <w:t>Notification.</w:t>
            </w:r>
          </w:p>
          <w:p w:rsidR="00000000" w:rsidRPr="00CB26A2" w:rsidP="00CB26A2">
            <w:pPr>
              <w:pStyle w:val="ListBullet3"/>
            </w:pPr>
            <w:r w:rsidRPr="00CB26A2">
              <w:t>OHS practices</w:t>
            </w:r>
          </w:p>
          <w:p w:rsidR="00000000" w:rsidRPr="00CB26A2" w:rsidP="00CB26A2">
            <w:pPr>
              <w:pStyle w:val="ListBullet3"/>
            </w:pPr>
            <w:r w:rsidRPr="00CB26A2">
              <w:t>OHS issues</w:t>
            </w:r>
          </w:p>
          <w:p w:rsidR="00000000" w:rsidRPr="00CB26A2" w:rsidP="00CB26A2">
            <w:pPr>
              <w:pStyle w:val="ListBullet3"/>
            </w:pPr>
            <w:r w:rsidRPr="00CB26A2">
              <w:t>Permits and/or permits to work</w:t>
            </w:r>
          </w:p>
          <w:p w:rsidR="00000000" w:rsidRPr="00CB26A2" w:rsidP="00CB26A2">
            <w:pPr>
              <w:pStyle w:val="ListBullet3"/>
            </w:pPr>
            <w:r w:rsidRPr="00CB26A2">
              <w:t>Pe</w:t>
            </w:r>
            <w:r w:rsidRPr="00CB26A2">
              <w:t>rsonnel</w:t>
            </w:r>
          </w:p>
          <w:p w:rsidR="00000000" w:rsidRPr="00CB26A2" w:rsidP="00CB26A2">
            <w:pPr>
              <w:pStyle w:val="ListBullet3"/>
            </w:pPr>
            <w:r w:rsidRPr="00CB26A2">
              <w:t>Quality assurance systems</w:t>
            </w:r>
          </w:p>
          <w:p w:rsidR="00000000" w:rsidRPr="00CB26A2" w:rsidP="00CB26A2">
            <w:pPr>
              <w:pStyle w:val="ListBullet3"/>
            </w:pPr>
            <w:r w:rsidRPr="00CB26A2">
              <w:t>Requirements</w:t>
            </w:r>
          </w:p>
          <w:p w:rsidR="00000000" w:rsidRPr="00CB26A2" w:rsidP="00CB26A2">
            <w:pPr>
              <w:pStyle w:val="ListBullet3"/>
            </w:pPr>
            <w:r w:rsidRPr="00CB26A2">
              <w:t>Work clearance systems</w:t>
            </w:r>
          </w:p>
        </w:tc>
      </w:tr>
    </w:tbl>
    <w:p w:rsidR="00000000" w:rsidRPr="00CB26A2" w:rsidP="00CB26A2">
      <w:pPr>
        <w:pStyle w:val="BodyText"/>
      </w:pPr>
    </w:p>
    <w:p w:rsidR="00000000" w:rsidRPr="00CB26A2" w:rsidP="00CB26A2">
      <w:pPr>
        <w:pStyle w:val="AllowPageBreak"/>
      </w:pPr>
    </w:p>
    <w:p w:rsidR="00000000" w:rsidRPr="00CB26A2" w:rsidP="00CB26A2">
      <w:pPr>
        <w:pStyle w:val="Heading1"/>
      </w:pPr>
      <w:bookmarkStart w:id="12" w:name="O_462573"/>
      <w:bookmarkEnd w:id="12"/>
      <w:r w:rsidRPr="00CB26A2">
        <w:t>Unit Sector(s)</w:t>
      </w:r>
    </w:p>
    <w:p w:rsidR="00000000" w:rsidRPr="00CB26A2" w:rsidP="00CB26A2">
      <w:pPr>
        <w:pStyle w:val="BodyText"/>
      </w:pPr>
      <w:r w:rsidRPr="00CB26A2">
        <w:t>Not applicable.</w:t>
      </w:r>
    </w:p>
    <w:p w:rsidR="00000000" w:rsidRPr="00CB26A2" w:rsidP="00CB26A2">
      <w:pPr>
        <w:pStyle w:val="AllowPageBreak"/>
      </w:pPr>
    </w:p>
    <w:p w:rsidR="00000000" w:rsidRPr="00CB26A2" w:rsidP="00CB26A2">
      <w:pPr>
        <w:pStyle w:val="Heading1"/>
      </w:pPr>
      <w:bookmarkStart w:id="13" w:name="O_462562"/>
      <w:bookmarkEnd w:id="13"/>
      <w:r w:rsidRPr="00CB26A2">
        <w:t>Competency Field</w:t>
      </w:r>
    </w:p>
    <w:tbl>
      <w:tblPr>
        <w:tblW w:w="0" w:type="auto"/>
        <w:tblLayout w:type="fixed"/>
        <w:tblCellMar>
          <w:left w:w="62" w:type="dxa"/>
          <w:right w:w="62" w:type="dxa"/>
        </w:tblCellMar>
        <w:tblLook w:val="0000"/>
      </w:tblPr>
      <w:tblGrid>
        <w:gridCol w:w="2700"/>
        <w:gridCol w:w="5760"/>
      </w:tblGrid>
      <w:tr w:rsidTr="00025E5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B26A2">
            <w:pPr>
              <w:pStyle w:val="BodyText"/>
              <w:rPr>
                <w:lang w:val="en-NZ"/>
              </w:rPr>
            </w:pPr>
            <w:r w:rsidRPr="00CB26A2">
              <w:rPr>
                <w:rStyle w:val="SpecialBold"/>
              </w:rPr>
              <w:t xml:space="preserve">11) </w:t>
            </w:r>
          </w:p>
        </w:tc>
      </w:tr>
      <w:tr w:rsidTr="00025E5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B26A2" w:rsidP="00CB26A2">
            <w:pPr>
              <w:pStyle w:val="BodyText"/>
            </w:pPr>
            <w:r w:rsidRPr="00CB26A2">
              <w:t>Industry Specific Cross-Discipline Units</w:t>
            </w:r>
          </w:p>
        </w:tc>
      </w:tr>
    </w:tbl>
    <w:p w:rsidR="00000000" w:rsidRPr="00CB26A2" w:rsidP="00CB26A2">
      <w:pPr>
        <w:pStyle w:val="BodyText"/>
      </w:pPr>
    </w:p>
    <w:p w:rsidR="00000000" w:rsidRPr="00CB26A2" w:rsidP="00CB26A2"/>
    <w:sectPr w:rsidSect="00CB26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E5E" w:rsidP="00025E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5E" w:rsidP="00CB26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25E5E" w:rsidP="00CB26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25E5E" w:rsidP="00CB26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5E5E" w:rsidP="00025E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E5E" w:rsidP="00CB26A2">
    <w:pPr>
      <w:pStyle w:val="Header"/>
      <w:framePr w:wrap="around"/>
    </w:pPr>
    <w:r>
      <w:fldChar w:fldCharType="begin"/>
    </w:r>
    <w:r>
      <w:instrText xml:space="preserve"> TITLE   \* MERGEFORMAT </w:instrText>
    </w:r>
    <w:r>
      <w:fldChar w:fldCharType="separate"/>
    </w:r>
    <w:r>
      <w:t>UETTDRIS50A Coordinate power system permit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5E5E" w:rsidP="00CB26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324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6C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528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6A2"/>
    <w:pPr>
      <w:spacing w:before="360" w:after="60"/>
      <w:outlineLvl w:val="0"/>
    </w:pPr>
    <w:rPr>
      <w:sz w:val="32"/>
    </w:rPr>
  </w:style>
  <w:style w:type="paragraph" w:styleId="Heading2">
    <w:name w:val="heading 2"/>
    <w:basedOn w:val="HeadingBase"/>
    <w:next w:val="BodyText"/>
    <w:link w:val="Heading2Char"/>
    <w:qFormat/>
    <w:rsid w:val="00CB26A2"/>
    <w:pPr>
      <w:keepLines/>
      <w:spacing w:before="240" w:after="120"/>
      <w:outlineLvl w:val="1"/>
    </w:pPr>
    <w:rPr>
      <w:sz w:val="28"/>
      <w:szCs w:val="40"/>
    </w:rPr>
  </w:style>
  <w:style w:type="paragraph" w:styleId="Heading3">
    <w:name w:val="heading 3"/>
    <w:basedOn w:val="HeadingBase"/>
    <w:next w:val="BodyText"/>
    <w:link w:val="Heading3Char"/>
    <w:qFormat/>
    <w:rsid w:val="00CB26A2"/>
    <w:pPr>
      <w:spacing w:before="180" w:after="120"/>
      <w:outlineLvl w:val="2"/>
    </w:pPr>
    <w:rPr>
      <w:spacing w:val="-10"/>
      <w:kern w:val="32"/>
    </w:rPr>
  </w:style>
  <w:style w:type="paragraph" w:styleId="Heading4">
    <w:name w:val="heading 4"/>
    <w:basedOn w:val="HeadingBase"/>
    <w:next w:val="BodyText"/>
    <w:link w:val="Heading4Char"/>
    <w:qFormat/>
    <w:rsid w:val="00CB26A2"/>
    <w:pPr>
      <w:spacing w:before="160" w:after="120"/>
      <w:outlineLvl w:val="3"/>
    </w:pPr>
    <w:rPr>
      <w:sz w:val="22"/>
    </w:rPr>
  </w:style>
  <w:style w:type="paragraph" w:styleId="Heading5">
    <w:name w:val="heading 5"/>
    <w:basedOn w:val="HeadingBase"/>
    <w:next w:val="Normal"/>
    <w:link w:val="Heading5Char"/>
    <w:qFormat/>
    <w:rsid w:val="00CB26A2"/>
    <w:pPr>
      <w:spacing w:before="80"/>
      <w:outlineLvl w:val="4"/>
    </w:pPr>
    <w:rPr>
      <w:color w:val="918585"/>
      <w:sz w:val="20"/>
    </w:rPr>
  </w:style>
  <w:style w:type="paragraph" w:styleId="Heading6">
    <w:name w:val="heading 6"/>
    <w:basedOn w:val="HeadingBase"/>
    <w:next w:val="Normal"/>
    <w:link w:val="Heading6Char"/>
    <w:qFormat/>
    <w:rsid w:val="00CB26A2"/>
    <w:pPr>
      <w:spacing w:before="60"/>
      <w:outlineLvl w:val="5"/>
    </w:pPr>
    <w:rPr>
      <w:color w:val="918585"/>
      <w:sz w:val="20"/>
    </w:rPr>
  </w:style>
  <w:style w:type="paragraph" w:styleId="Heading7">
    <w:name w:val="heading 7"/>
    <w:basedOn w:val="Normal"/>
    <w:next w:val="Normal"/>
    <w:link w:val="Heading7Char"/>
    <w:qFormat/>
    <w:rsid w:val="00CB26A2"/>
    <w:pPr>
      <w:ind w:left="720"/>
      <w:outlineLvl w:val="6"/>
    </w:pPr>
    <w:rPr>
      <w:i/>
    </w:rPr>
  </w:style>
  <w:style w:type="paragraph" w:styleId="Heading8">
    <w:name w:val="heading 8"/>
    <w:basedOn w:val="Normal"/>
    <w:next w:val="Normal"/>
    <w:link w:val="Heading8Char"/>
    <w:qFormat/>
    <w:rsid w:val="00CB26A2"/>
    <w:pPr>
      <w:ind w:left="720"/>
      <w:outlineLvl w:val="7"/>
    </w:pPr>
    <w:rPr>
      <w:i/>
    </w:rPr>
  </w:style>
  <w:style w:type="paragraph" w:styleId="Heading9">
    <w:name w:val="heading 9"/>
    <w:basedOn w:val="Normal"/>
    <w:next w:val="Normal"/>
    <w:link w:val="Heading9Char"/>
    <w:qFormat/>
    <w:rsid w:val="00CB26A2"/>
    <w:pPr>
      <w:ind w:left="720"/>
      <w:outlineLvl w:val="8"/>
    </w:pPr>
    <w:rPr>
      <w:i/>
    </w:rPr>
  </w:style>
  <w:style w:type="character" w:default="1" w:styleId="DefaultParagraphFont">
    <w:name w:val="Default Paragraph Font"/>
    <w:uiPriority w:val="1"/>
    <w:unhideWhenUsed/>
    <w:rsid w:val="00CB26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6A2"/>
  </w:style>
  <w:style w:type="character" w:customStyle="1" w:styleId="Heading1Char">
    <w:name w:val="Heading 1 Char"/>
    <w:basedOn w:val="DefaultParagraphFont"/>
    <w:link w:val="Heading1"/>
    <w:rsid w:val="00CB26A2"/>
    <w:rPr>
      <w:rFonts w:ascii="Times New Roman" w:eastAsia="Times New Roman" w:hAnsi="Times New Roman" w:cs="Times New Roman"/>
      <w:b/>
      <w:sz w:val="32"/>
      <w:szCs w:val="20"/>
      <w:lang w:eastAsia="en-US"/>
    </w:rPr>
  </w:style>
  <w:style w:type="paragraph" w:styleId="BodyText">
    <w:name w:val="Body Text"/>
    <w:basedOn w:val="Normal"/>
    <w:link w:val="BodyTextChar"/>
    <w:rsid w:val="00CB26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6A2"/>
    <w:rPr>
      <w:rFonts w:ascii="Times New Roman" w:eastAsia="Times New Roman" w:hAnsi="Times New Roman" w:cs="Times New Roman"/>
      <w:sz w:val="24"/>
      <w:lang w:val="en-US" w:eastAsia="en-US"/>
    </w:rPr>
  </w:style>
  <w:style w:type="paragraph" w:styleId="Footer">
    <w:name w:val="footer"/>
    <w:basedOn w:val="Normal"/>
    <w:link w:val="FooterChar"/>
    <w:rsid w:val="00CB26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6A2"/>
    <w:rPr>
      <w:rFonts w:ascii="Times New Roman" w:eastAsia="Times New Roman" w:hAnsi="Times New Roman" w:cs="Times New Roman"/>
      <w:sz w:val="16"/>
      <w:lang w:val="en-US" w:eastAsia="en-US"/>
    </w:rPr>
  </w:style>
  <w:style w:type="paragraph" w:styleId="ListBullet">
    <w:name w:val="List Bullet"/>
    <w:basedOn w:val="List"/>
    <w:rsid w:val="00CB26A2"/>
    <w:pPr>
      <w:numPr>
        <w:numId w:val="14"/>
      </w:numPr>
      <w:tabs>
        <w:tab w:val="clear" w:pos="340"/>
      </w:tabs>
      <w:spacing w:before="40" w:after="40"/>
    </w:pPr>
  </w:style>
  <w:style w:type="character" w:customStyle="1" w:styleId="SpecialBold">
    <w:name w:val="Special Bold"/>
    <w:basedOn w:val="DefaultParagraphFont"/>
    <w:rsid w:val="00CB26A2"/>
    <w:rPr>
      <w:b/>
      <w:spacing w:val="0"/>
    </w:rPr>
  </w:style>
  <w:style w:type="paragraph" w:styleId="ListBullet2">
    <w:name w:val="List Bullet 2"/>
    <w:basedOn w:val="List2"/>
    <w:rsid w:val="00CB26A2"/>
    <w:pPr>
      <w:numPr>
        <w:numId w:val="15"/>
      </w:numPr>
      <w:tabs>
        <w:tab w:val="clear" w:pos="680"/>
      </w:tabs>
    </w:pPr>
  </w:style>
  <w:style w:type="paragraph" w:styleId="Header">
    <w:name w:val="header"/>
    <w:basedOn w:val="Normal"/>
    <w:link w:val="HeaderChar"/>
    <w:rsid w:val="00CB26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6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26A2"/>
    <w:pPr>
      <w:spacing w:before="240" w:after="120"/>
      <w:outlineLvl w:val="0"/>
    </w:pPr>
    <w:rPr>
      <w:rFonts w:ascii="Times New Roman" w:hAnsi="Times New Roman"/>
      <w:b/>
      <w:sz w:val="28"/>
    </w:rPr>
  </w:style>
  <w:style w:type="paragraph" w:customStyle="1" w:styleId="AllowPageBreak">
    <w:name w:val="AllowPageBreak"/>
    <w:rsid w:val="00CB26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26A2"/>
    <w:pPr>
      <w:numPr>
        <w:numId w:val="3"/>
      </w:numPr>
      <w:tabs>
        <w:tab w:val="clear" w:pos="1021"/>
      </w:tabs>
      <w:ind w:left="1037" w:hanging="357"/>
    </w:pPr>
  </w:style>
  <w:style w:type="character" w:customStyle="1" w:styleId="Heading2Char">
    <w:name w:val="Heading 2 Char"/>
    <w:basedOn w:val="DefaultParagraphFont"/>
    <w:link w:val="Heading2"/>
    <w:rsid w:val="00CB26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6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6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6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6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6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6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6A2"/>
    <w:rPr>
      <w:rFonts w:ascii="Courier New" w:eastAsia="Times New Roman" w:hAnsi="Courier New" w:cs="Times New Roman"/>
      <w:i/>
      <w:szCs w:val="20"/>
      <w:lang w:val="en-US" w:eastAsia="en-US"/>
    </w:rPr>
  </w:style>
  <w:style w:type="paragraph" w:customStyle="1" w:styleId="HeadingBase">
    <w:name w:val="Heading Base"/>
    <w:rsid w:val="00CB26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6A2"/>
    <w:pPr>
      <w:tabs>
        <w:tab w:val="right" w:leader="dot" w:pos="9072"/>
      </w:tabs>
      <w:ind w:left="567"/>
    </w:pPr>
    <w:rPr>
      <w:szCs w:val="22"/>
    </w:rPr>
  </w:style>
  <w:style w:type="paragraph" w:customStyle="1" w:styleId="TOCBase">
    <w:name w:val="TOC Base"/>
    <w:rsid w:val="00CB26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6A2"/>
    <w:pPr>
      <w:tabs>
        <w:tab w:val="right" w:leader="dot" w:pos="9072"/>
      </w:tabs>
      <w:spacing w:before="40" w:after="40"/>
      <w:ind w:left="284"/>
    </w:pPr>
    <w:rPr>
      <w:rFonts w:ascii="Times New Roman" w:hAnsi="Times New Roman"/>
    </w:rPr>
  </w:style>
  <w:style w:type="paragraph" w:styleId="TOC1">
    <w:name w:val="toc 1"/>
    <w:basedOn w:val="TOCBase"/>
    <w:next w:val="Normal"/>
    <w:rsid w:val="00CB26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6A2"/>
    <w:pPr>
      <w:spacing w:before="5040"/>
      <w:jc w:val="center"/>
    </w:pPr>
    <w:rPr>
      <w:sz w:val="48"/>
      <w:szCs w:val="72"/>
      <w:lang w:val="en-US"/>
    </w:rPr>
  </w:style>
  <w:style w:type="character" w:customStyle="1" w:styleId="TitleChar">
    <w:name w:val="Title Char"/>
    <w:basedOn w:val="DefaultParagraphFont"/>
    <w:link w:val="Title"/>
    <w:rsid w:val="00CB26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6A2"/>
    <w:pPr>
      <w:tabs>
        <w:tab w:val="left" w:pos="3600"/>
        <w:tab w:val="left" w:pos="3958"/>
      </w:tabs>
    </w:pPr>
  </w:style>
  <w:style w:type="paragraph" w:styleId="List">
    <w:name w:val="List"/>
    <w:basedOn w:val="BodyText"/>
    <w:next w:val="BodyText"/>
    <w:rsid w:val="00CB26A2"/>
    <w:pPr>
      <w:tabs>
        <w:tab w:val="left" w:pos="340"/>
      </w:tabs>
      <w:spacing w:before="60" w:after="60"/>
      <w:ind w:left="340" w:hanging="340"/>
    </w:pPr>
  </w:style>
  <w:style w:type="paragraph" w:customStyle="1" w:styleId="Note">
    <w:name w:val="Note"/>
    <w:basedOn w:val="BodyText"/>
    <w:rsid w:val="00CB26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6A2"/>
    <w:pPr>
      <w:framePr w:wrap="auto" w:hAnchor="text" w:y="6049"/>
    </w:pPr>
    <w:rPr>
      <w:color w:val="000000"/>
      <w:sz w:val="40"/>
    </w:rPr>
  </w:style>
  <w:style w:type="paragraph" w:customStyle="1" w:styleId="TOCTitle">
    <w:name w:val="TOCTitle"/>
    <w:basedOn w:val="Heading1"/>
    <w:rsid w:val="00CB26A2"/>
    <w:pPr>
      <w:spacing w:after="240"/>
      <w:jc w:val="center"/>
      <w:outlineLvl w:val="9"/>
    </w:pPr>
    <w:rPr>
      <w:caps/>
    </w:rPr>
  </w:style>
  <w:style w:type="paragraph" w:customStyle="1" w:styleId="Version">
    <w:name w:val="Version"/>
    <w:rsid w:val="00CB26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6A2"/>
    <w:pPr>
      <w:keepNext w:val="0"/>
      <w:tabs>
        <w:tab w:val="right" w:pos="4176"/>
      </w:tabs>
      <w:ind w:left="198" w:hanging="198"/>
    </w:pPr>
    <w:rPr>
      <w:rFonts w:ascii="Garamond" w:hAnsi="Garamond"/>
    </w:rPr>
  </w:style>
  <w:style w:type="paragraph" w:styleId="IndexHeading">
    <w:name w:val="index heading"/>
    <w:basedOn w:val="Normal"/>
    <w:next w:val="Index1"/>
    <w:semiHidden/>
    <w:rsid w:val="00CB26A2"/>
    <w:pPr>
      <w:spacing w:before="120" w:after="120"/>
    </w:pPr>
    <w:rPr>
      <w:rFonts w:ascii="Arial" w:hAnsi="Arial"/>
      <w:b/>
      <w:color w:val="918585"/>
      <w:sz w:val="24"/>
    </w:rPr>
  </w:style>
  <w:style w:type="paragraph" w:customStyle="1" w:styleId="Chapter">
    <w:name w:val="Chapter"/>
    <w:basedOn w:val="Normal"/>
    <w:rsid w:val="00CB26A2"/>
    <w:pPr>
      <w:spacing w:before="240"/>
    </w:pPr>
    <w:rPr>
      <w:rFonts w:ascii="Times New Roman" w:hAnsi="Times New Roman"/>
      <w:smallCaps/>
      <w:spacing w:val="80"/>
      <w:sz w:val="28"/>
    </w:rPr>
  </w:style>
  <w:style w:type="paragraph" w:customStyle="1" w:styleId="InChapter">
    <w:name w:val="InChapter"/>
    <w:basedOn w:val="Heading3"/>
    <w:rsid w:val="00CB26A2"/>
    <w:pPr>
      <w:spacing w:after="240"/>
      <w:outlineLvl w:val="9"/>
    </w:pPr>
    <w:rPr>
      <w:noProof/>
    </w:rPr>
  </w:style>
  <w:style w:type="paragraph" w:styleId="Index2">
    <w:name w:val="index 2"/>
    <w:basedOn w:val="Normal"/>
    <w:next w:val="Normal"/>
    <w:semiHidden/>
    <w:rsid w:val="00CB26A2"/>
    <w:pPr>
      <w:tabs>
        <w:tab w:val="right" w:pos="4176"/>
      </w:tabs>
      <w:ind w:left="568" w:hanging="284"/>
    </w:pPr>
    <w:rPr>
      <w:rFonts w:ascii="Garamond" w:hAnsi="Garamond"/>
    </w:rPr>
  </w:style>
  <w:style w:type="paragraph" w:customStyle="1" w:styleId="Byline">
    <w:name w:val="Byline"/>
    <w:rsid w:val="00CB26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6A2"/>
    <w:pPr>
      <w:tabs>
        <w:tab w:val="clear" w:pos="3600"/>
        <w:tab w:val="clear" w:pos="3958"/>
      </w:tabs>
      <w:jc w:val="right"/>
    </w:pPr>
  </w:style>
  <w:style w:type="character" w:styleId="Emphasis">
    <w:name w:val="Emphasis"/>
    <w:basedOn w:val="DefaultParagraphFont"/>
    <w:qFormat/>
    <w:rsid w:val="00CB26A2"/>
    <w:rPr>
      <w:i/>
    </w:rPr>
  </w:style>
  <w:style w:type="paragraph" w:styleId="Caption">
    <w:name w:val="caption"/>
    <w:basedOn w:val="BodyText"/>
    <w:next w:val="Normal"/>
    <w:qFormat/>
    <w:rsid w:val="00CB26A2"/>
    <w:pPr>
      <w:framePr w:w="2268" w:hSpace="181" w:vSpace="181" w:wrap="around" w:vAnchor="text" w:hAnchor="page" w:x="1135" w:y="285" w:anchorLock="1"/>
    </w:pPr>
    <w:rPr>
      <w:i/>
    </w:rPr>
  </w:style>
  <w:style w:type="paragraph" w:customStyle="1" w:styleId="MiniTOCTitle">
    <w:name w:val="MiniTOCTitle"/>
    <w:basedOn w:val="Heading4"/>
    <w:rsid w:val="00CB26A2"/>
    <w:pPr>
      <w:spacing w:before="240"/>
      <w:outlineLvl w:val="9"/>
    </w:pPr>
    <w:rPr>
      <w:noProof/>
      <w:sz w:val="24"/>
    </w:rPr>
  </w:style>
  <w:style w:type="paragraph" w:customStyle="1" w:styleId="MiniTOCItem">
    <w:name w:val="MiniTOCItem"/>
    <w:basedOn w:val="ListBullet"/>
    <w:rsid w:val="00CB26A2"/>
    <w:pPr>
      <w:numPr>
        <w:numId w:val="0"/>
      </w:numPr>
      <w:tabs>
        <w:tab w:val="right" w:leader="dot" w:pos="6521"/>
      </w:tabs>
      <w:spacing w:before="0" w:after="0"/>
    </w:pPr>
  </w:style>
  <w:style w:type="paragraph" w:customStyle="1" w:styleId="TOFTitle">
    <w:name w:val="TOFTitle"/>
    <w:basedOn w:val="TOCTitle"/>
    <w:rsid w:val="00CB26A2"/>
  </w:style>
  <w:style w:type="paragraph" w:styleId="TableofFigures">
    <w:name w:val="table of figures"/>
    <w:basedOn w:val="Normal"/>
    <w:next w:val="Normal"/>
    <w:semiHidden/>
    <w:rsid w:val="00CB26A2"/>
    <w:pPr>
      <w:tabs>
        <w:tab w:val="right" w:leader="dot" w:pos="9072"/>
      </w:tabs>
      <w:ind w:left="970" w:hanging="403"/>
    </w:pPr>
    <w:rPr>
      <w:rFonts w:ascii="Times New Roman" w:hAnsi="Times New Roman"/>
      <w:b/>
    </w:rPr>
  </w:style>
  <w:style w:type="paragraph" w:styleId="ListNumber">
    <w:name w:val="List Number"/>
    <w:basedOn w:val="List"/>
    <w:rsid w:val="00CB26A2"/>
    <w:pPr>
      <w:numPr>
        <w:numId w:val="12"/>
      </w:numPr>
    </w:pPr>
  </w:style>
  <w:style w:type="character" w:customStyle="1" w:styleId="WingdingSymbols">
    <w:name w:val="Wingding Symbols"/>
    <w:rsid w:val="00CB26A2"/>
    <w:rPr>
      <w:rFonts w:ascii="Wingdings" w:hAnsi="Wingdings"/>
    </w:rPr>
  </w:style>
  <w:style w:type="paragraph" w:customStyle="1" w:styleId="TableHeading">
    <w:name w:val="Table Heading"/>
    <w:basedOn w:val="HeadingBase"/>
    <w:rsid w:val="00CB26A2"/>
    <w:pPr>
      <w:keepLines/>
      <w:pBdr>
        <w:bottom w:val="single" w:sz="6" w:space="1" w:color="918585"/>
      </w:pBdr>
      <w:spacing w:before="240"/>
    </w:pPr>
  </w:style>
  <w:style w:type="character" w:customStyle="1" w:styleId="HotSpot">
    <w:name w:val="HotSpot"/>
    <w:rsid w:val="00CB26A2"/>
    <w:rPr>
      <w:color w:val="0033CC"/>
      <w:u w:val="none"/>
    </w:rPr>
  </w:style>
  <w:style w:type="paragraph" w:customStyle="1" w:styleId="BodyTextRight">
    <w:name w:val="Body Text Right"/>
    <w:basedOn w:val="BodyText"/>
    <w:rsid w:val="00CB26A2"/>
    <w:pPr>
      <w:spacing w:before="0" w:after="0"/>
      <w:jc w:val="right"/>
    </w:pPr>
  </w:style>
  <w:style w:type="paragraph" w:styleId="Index3">
    <w:name w:val="index 3"/>
    <w:basedOn w:val="ListNumber2"/>
    <w:next w:val="Normal"/>
    <w:semiHidden/>
    <w:rsid w:val="00CB26A2"/>
    <w:pPr>
      <w:numPr>
        <w:numId w:val="0"/>
      </w:numPr>
      <w:tabs>
        <w:tab w:val="right" w:leader="dot" w:pos="4176"/>
      </w:tabs>
    </w:pPr>
  </w:style>
  <w:style w:type="paragraph" w:styleId="ListNumber2">
    <w:name w:val="List Number 2"/>
    <w:basedOn w:val="List2"/>
    <w:rsid w:val="00CB26A2"/>
    <w:pPr>
      <w:numPr>
        <w:numId w:val="11"/>
      </w:numPr>
      <w:tabs>
        <w:tab w:val="clear" w:pos="1060"/>
      </w:tabs>
    </w:pPr>
  </w:style>
  <w:style w:type="paragraph" w:customStyle="1" w:styleId="MarginNote">
    <w:name w:val="Margin Note"/>
    <w:basedOn w:val="BodyText"/>
    <w:rsid w:val="00CB26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6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6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6A2"/>
    <w:rPr>
      <w:sz w:val="32"/>
    </w:rPr>
  </w:style>
  <w:style w:type="paragraph" w:customStyle="1" w:styleId="HeadingProcedure">
    <w:name w:val="Heading Procedure"/>
    <w:basedOn w:val="HeadingBase"/>
    <w:next w:val="Normal"/>
    <w:rsid w:val="00CB26A2"/>
    <w:pPr>
      <w:tabs>
        <w:tab w:val="left" w:pos="0"/>
      </w:tabs>
      <w:spacing w:before="120" w:after="60"/>
    </w:pPr>
    <w:rPr>
      <w:i/>
      <w:color w:val="918585"/>
      <w:sz w:val="22"/>
    </w:rPr>
  </w:style>
  <w:style w:type="paragraph" w:customStyle="1" w:styleId="TableBodyText">
    <w:name w:val="Table Body Text"/>
    <w:basedOn w:val="BodyText"/>
    <w:rsid w:val="00CB26A2"/>
    <w:pPr>
      <w:spacing w:before="60" w:after="60"/>
    </w:pPr>
  </w:style>
  <w:style w:type="paragraph" w:styleId="ListContinue">
    <w:name w:val="List Continue"/>
    <w:basedOn w:val="List"/>
    <w:rsid w:val="00CB26A2"/>
    <w:pPr>
      <w:ind w:firstLine="0"/>
    </w:pPr>
  </w:style>
  <w:style w:type="paragraph" w:customStyle="1" w:styleId="ListNote">
    <w:name w:val="List Note"/>
    <w:basedOn w:val="List"/>
    <w:rsid w:val="00CB26A2"/>
    <w:pPr>
      <w:pBdr>
        <w:top w:val="single" w:sz="6" w:space="2" w:color="918585"/>
        <w:bottom w:val="single" w:sz="6" w:space="2" w:color="918585"/>
      </w:pBdr>
      <w:tabs>
        <w:tab w:val="left" w:pos="1021"/>
      </w:tabs>
      <w:ind w:firstLine="0"/>
    </w:pPr>
  </w:style>
  <w:style w:type="paragraph" w:customStyle="1" w:styleId="Warning">
    <w:name w:val="Warning"/>
    <w:basedOn w:val="BodyText"/>
    <w:rsid w:val="00CB26A2"/>
    <w:pPr>
      <w:shd w:val="clear" w:color="auto" w:fill="D9D9D9"/>
      <w:tabs>
        <w:tab w:val="left" w:pos="992"/>
      </w:tabs>
      <w:ind w:left="119" w:right="119"/>
    </w:pPr>
    <w:rPr>
      <w:sz w:val="20"/>
    </w:rPr>
  </w:style>
  <w:style w:type="paragraph" w:customStyle="1" w:styleId="MarginIcons">
    <w:name w:val="Margin Icons"/>
    <w:basedOn w:val="BodyText"/>
    <w:rsid w:val="00CB26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6A2"/>
    <w:rPr>
      <w:rFonts w:ascii="Courier New" w:hAnsi="Courier New"/>
    </w:rPr>
  </w:style>
  <w:style w:type="paragraph" w:customStyle="1" w:styleId="NoteBullet">
    <w:name w:val="Note Bullet"/>
    <w:basedOn w:val="Note"/>
    <w:rsid w:val="00CB26A2"/>
    <w:pPr>
      <w:tabs>
        <w:tab w:val="clear" w:pos="680"/>
      </w:tabs>
      <w:spacing w:before="60" w:after="60"/>
    </w:pPr>
  </w:style>
  <w:style w:type="paragraph" w:customStyle="1" w:styleId="SubHeading2">
    <w:name w:val="SubHeading2"/>
    <w:basedOn w:val="HeadingBase"/>
    <w:rsid w:val="00CB26A2"/>
    <w:pPr>
      <w:spacing w:before="240" w:after="60"/>
    </w:pPr>
    <w:rPr>
      <w:sz w:val="20"/>
    </w:rPr>
  </w:style>
  <w:style w:type="paragraph" w:customStyle="1" w:styleId="SubHeading1">
    <w:name w:val="SubHeading1"/>
    <w:basedOn w:val="HeadingBase"/>
    <w:rsid w:val="00CB26A2"/>
    <w:pPr>
      <w:spacing w:before="240" w:after="60"/>
    </w:pPr>
    <w:rPr>
      <w:color w:val="918585"/>
      <w:sz w:val="22"/>
    </w:rPr>
  </w:style>
  <w:style w:type="paragraph" w:customStyle="1" w:styleId="SideHeading">
    <w:name w:val="Side Heading"/>
    <w:basedOn w:val="HeadingBase"/>
    <w:rsid w:val="00CB26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6A2"/>
    <w:pPr>
      <w:numPr>
        <w:numId w:val="13"/>
      </w:numPr>
    </w:pPr>
  </w:style>
  <w:style w:type="paragraph" w:styleId="PlainText">
    <w:name w:val="Plain Text"/>
    <w:basedOn w:val="Normal"/>
    <w:link w:val="PlainTextChar"/>
    <w:rsid w:val="00CB26A2"/>
    <w:rPr>
      <w:sz w:val="20"/>
    </w:rPr>
  </w:style>
  <w:style w:type="character" w:customStyle="1" w:styleId="PlainTextChar">
    <w:name w:val="Plain Text Char"/>
    <w:basedOn w:val="DefaultParagraphFont"/>
    <w:link w:val="PlainText"/>
    <w:rsid w:val="00CB26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26A2"/>
    <w:rPr>
      <w:b/>
      <w:smallCaps/>
    </w:rPr>
  </w:style>
  <w:style w:type="paragraph" w:customStyle="1" w:styleId="TableListNumber">
    <w:name w:val="Table List Number"/>
    <w:basedOn w:val="ListNumber"/>
    <w:rsid w:val="00CB26A2"/>
    <w:pPr>
      <w:numPr>
        <w:numId w:val="0"/>
      </w:numPr>
    </w:pPr>
  </w:style>
  <w:style w:type="paragraph" w:styleId="TOC4">
    <w:name w:val="toc 4"/>
    <w:basedOn w:val="TOCBase"/>
    <w:next w:val="Normal"/>
    <w:semiHidden/>
    <w:rsid w:val="00CB26A2"/>
    <w:pPr>
      <w:tabs>
        <w:tab w:val="right" w:leader="dot" w:pos="9071"/>
      </w:tabs>
      <w:ind w:left="1701"/>
    </w:pPr>
  </w:style>
  <w:style w:type="paragraph" w:customStyle="1" w:styleId="ListAlpha">
    <w:name w:val="List Alpha"/>
    <w:basedOn w:val="List"/>
    <w:rsid w:val="00CB26A2"/>
    <w:pPr>
      <w:numPr>
        <w:numId w:val="10"/>
      </w:numPr>
    </w:pPr>
  </w:style>
  <w:style w:type="paragraph" w:customStyle="1" w:styleId="ListAlpha2">
    <w:name w:val="List Alpha 2"/>
    <w:basedOn w:val="List2"/>
    <w:rsid w:val="00CB26A2"/>
    <w:pPr>
      <w:numPr>
        <w:numId w:val="9"/>
      </w:numPr>
    </w:pPr>
  </w:style>
  <w:style w:type="paragraph" w:styleId="List2">
    <w:name w:val="List 2"/>
    <w:basedOn w:val="BodyText"/>
    <w:rsid w:val="00CB26A2"/>
    <w:pPr>
      <w:tabs>
        <w:tab w:val="left" w:pos="680"/>
      </w:tabs>
      <w:spacing w:before="60" w:after="60"/>
      <w:ind w:left="680" w:hanging="340"/>
    </w:pPr>
  </w:style>
  <w:style w:type="paragraph" w:styleId="List3">
    <w:name w:val="List 3"/>
    <w:basedOn w:val="BodyText"/>
    <w:rsid w:val="00CB26A2"/>
    <w:pPr>
      <w:tabs>
        <w:tab w:val="left" w:pos="1021"/>
      </w:tabs>
      <w:spacing w:before="60" w:after="60"/>
      <w:ind w:left="1020" w:hanging="340"/>
    </w:pPr>
  </w:style>
  <w:style w:type="paragraph" w:styleId="List4">
    <w:name w:val="List 4"/>
    <w:basedOn w:val="BodyText"/>
    <w:rsid w:val="00CB26A2"/>
    <w:pPr>
      <w:tabs>
        <w:tab w:val="left" w:pos="1361"/>
      </w:tabs>
      <w:spacing w:before="60" w:after="60"/>
      <w:ind w:left="1361" w:hanging="340"/>
    </w:pPr>
  </w:style>
  <w:style w:type="paragraph" w:styleId="List5">
    <w:name w:val="List 5"/>
    <w:basedOn w:val="BodyText"/>
    <w:rsid w:val="00CB26A2"/>
    <w:pPr>
      <w:tabs>
        <w:tab w:val="left" w:pos="1701"/>
      </w:tabs>
      <w:spacing w:before="60" w:after="60"/>
      <w:ind w:left="1701" w:hanging="340"/>
    </w:pPr>
  </w:style>
  <w:style w:type="paragraph" w:styleId="ListBullet4">
    <w:name w:val="List Bullet 4"/>
    <w:basedOn w:val="List4"/>
    <w:rsid w:val="00CB26A2"/>
    <w:pPr>
      <w:numPr>
        <w:numId w:val="4"/>
      </w:numPr>
    </w:pPr>
  </w:style>
  <w:style w:type="paragraph" w:styleId="ListBullet5">
    <w:name w:val="List Bullet 5"/>
    <w:basedOn w:val="List5"/>
    <w:rsid w:val="00CB26A2"/>
    <w:pPr>
      <w:numPr>
        <w:numId w:val="5"/>
      </w:numPr>
    </w:pPr>
  </w:style>
  <w:style w:type="paragraph" w:styleId="ListContinue2">
    <w:name w:val="List Continue 2"/>
    <w:basedOn w:val="List2"/>
    <w:rsid w:val="00CB26A2"/>
    <w:pPr>
      <w:ind w:firstLine="0"/>
    </w:pPr>
  </w:style>
  <w:style w:type="paragraph" w:styleId="ListContinue3">
    <w:name w:val="List Continue 3"/>
    <w:basedOn w:val="List3"/>
    <w:rsid w:val="00CB26A2"/>
    <w:pPr>
      <w:ind w:left="1021" w:firstLine="0"/>
    </w:pPr>
  </w:style>
  <w:style w:type="paragraph" w:styleId="ListContinue4">
    <w:name w:val="List Continue 4"/>
    <w:basedOn w:val="List4"/>
    <w:rsid w:val="00CB26A2"/>
    <w:pPr>
      <w:ind w:firstLine="0"/>
    </w:pPr>
  </w:style>
  <w:style w:type="paragraph" w:styleId="ListContinue5">
    <w:name w:val="List Continue 5"/>
    <w:basedOn w:val="List5"/>
    <w:rsid w:val="00CB26A2"/>
    <w:pPr>
      <w:ind w:firstLine="0"/>
    </w:pPr>
  </w:style>
  <w:style w:type="paragraph" w:styleId="ListNumber3">
    <w:name w:val="List Number 3"/>
    <w:basedOn w:val="List3"/>
    <w:rsid w:val="00CB26A2"/>
    <w:pPr>
      <w:numPr>
        <w:numId w:val="6"/>
      </w:numPr>
    </w:pPr>
  </w:style>
  <w:style w:type="paragraph" w:styleId="ListNumber4">
    <w:name w:val="List Number 4"/>
    <w:basedOn w:val="List4"/>
    <w:rsid w:val="00CB26A2"/>
    <w:pPr>
      <w:numPr>
        <w:numId w:val="7"/>
      </w:numPr>
    </w:pPr>
  </w:style>
  <w:style w:type="paragraph" w:styleId="ListNumber5">
    <w:name w:val="List Number 5"/>
    <w:basedOn w:val="List5"/>
    <w:rsid w:val="00CB26A2"/>
    <w:pPr>
      <w:numPr>
        <w:numId w:val="8"/>
      </w:numPr>
    </w:pPr>
  </w:style>
  <w:style w:type="paragraph" w:styleId="BlockText">
    <w:name w:val="Block Text"/>
    <w:basedOn w:val="Normal"/>
    <w:rsid w:val="00CB26A2"/>
    <w:pPr>
      <w:spacing w:after="120"/>
      <w:ind w:left="1440" w:right="1440"/>
    </w:pPr>
  </w:style>
  <w:style w:type="character" w:customStyle="1" w:styleId="Subscript">
    <w:name w:val="Subscript"/>
    <w:basedOn w:val="DefaultParagraphFont"/>
    <w:rsid w:val="00CB26A2"/>
    <w:rPr>
      <w:sz w:val="16"/>
      <w:vertAlign w:val="subscript"/>
    </w:rPr>
  </w:style>
  <w:style w:type="character" w:customStyle="1" w:styleId="Superscript">
    <w:name w:val="Superscript"/>
    <w:basedOn w:val="DefaultParagraphFont"/>
    <w:rsid w:val="00CB26A2"/>
    <w:rPr>
      <w:sz w:val="16"/>
      <w:vertAlign w:val="superscript"/>
    </w:rPr>
  </w:style>
  <w:style w:type="character" w:customStyle="1" w:styleId="Symbols">
    <w:name w:val="Symbols"/>
    <w:basedOn w:val="DefaultParagraphFont"/>
    <w:rsid w:val="00CB26A2"/>
    <w:rPr>
      <w:rFonts w:ascii="Symbol" w:hAnsi="Symbol"/>
    </w:rPr>
  </w:style>
  <w:style w:type="character" w:customStyle="1" w:styleId="MenuOptions">
    <w:name w:val="Menu Options"/>
    <w:basedOn w:val="DefaultParagraphFont"/>
    <w:rsid w:val="00CB26A2"/>
    <w:rPr>
      <w:rFonts w:ascii="Arial Narrow" w:hAnsi="Arial Narrow"/>
      <w:smallCaps/>
    </w:rPr>
  </w:style>
  <w:style w:type="character" w:customStyle="1" w:styleId="Buttons">
    <w:name w:val="Buttons"/>
    <w:basedOn w:val="DefaultParagraphFont"/>
    <w:rsid w:val="00CB26A2"/>
    <w:rPr>
      <w:b/>
    </w:rPr>
  </w:style>
  <w:style w:type="character" w:customStyle="1" w:styleId="Underlined">
    <w:name w:val="Underlined"/>
    <w:basedOn w:val="DefaultParagraphFont"/>
    <w:rsid w:val="00CB26A2"/>
    <w:rPr>
      <w:u w:val="single"/>
    </w:rPr>
  </w:style>
  <w:style w:type="paragraph" w:customStyle="1" w:styleId="TableBodyTextRight">
    <w:name w:val="Table Body Text Right"/>
    <w:basedOn w:val="TableBodyText"/>
    <w:rsid w:val="00CB26A2"/>
    <w:pPr>
      <w:widowControl w:val="0"/>
      <w:autoSpaceDE w:val="0"/>
      <w:autoSpaceDN w:val="0"/>
      <w:adjustRightInd w:val="0"/>
      <w:jc w:val="right"/>
    </w:pPr>
    <w:rPr>
      <w:rFonts w:cs="Arial"/>
      <w:szCs w:val="18"/>
    </w:rPr>
  </w:style>
  <w:style w:type="paragraph" w:customStyle="1" w:styleId="CopyrightText">
    <w:name w:val="Copyright Text"/>
    <w:basedOn w:val="BodyText"/>
    <w:rsid w:val="00CB26A2"/>
    <w:rPr>
      <w:sz w:val="18"/>
    </w:rPr>
  </w:style>
  <w:style w:type="paragraph" w:customStyle="1" w:styleId="BodySmallRight">
    <w:name w:val="Body Small Right"/>
    <w:basedOn w:val="BodyTextRight"/>
    <w:rsid w:val="00CB26A2"/>
    <w:rPr>
      <w:sz w:val="18"/>
      <w:szCs w:val="18"/>
    </w:rPr>
  </w:style>
  <w:style w:type="paragraph" w:customStyle="1" w:styleId="MarginEdition">
    <w:name w:val="Margin Edition"/>
    <w:basedOn w:val="MarginNote"/>
    <w:rsid w:val="00CB26A2"/>
    <w:pPr>
      <w:spacing w:before="0" w:after="0"/>
    </w:pPr>
    <w:rPr>
      <w:rFonts w:ascii="Times New Roman" w:hAnsi="Times New Roman"/>
      <w:color w:val="999999"/>
    </w:rPr>
  </w:style>
  <w:style w:type="paragraph" w:customStyle="1" w:styleId="Spacer">
    <w:name w:val="Spacer"/>
    <w:basedOn w:val="Normal"/>
    <w:rsid w:val="00CB26A2"/>
    <w:rPr>
      <w:sz w:val="2"/>
      <w:szCs w:val="2"/>
    </w:rPr>
  </w:style>
  <w:style w:type="character" w:customStyle="1" w:styleId="Small">
    <w:name w:val="Small"/>
    <w:basedOn w:val="DefaultParagraphFont"/>
    <w:rsid w:val="00CB26A2"/>
    <w:rPr>
      <w:sz w:val="16"/>
    </w:rPr>
  </w:style>
  <w:style w:type="paragraph" w:customStyle="1" w:styleId="WideTable">
    <w:name w:val="Wide Table"/>
    <w:basedOn w:val="Normal"/>
    <w:rsid w:val="00CB26A2"/>
    <w:pPr>
      <w:ind w:left="-1418"/>
    </w:pPr>
    <w:rPr>
      <w:sz w:val="2"/>
      <w:szCs w:val="2"/>
    </w:rPr>
  </w:style>
  <w:style w:type="character" w:styleId="PageNumber">
    <w:name w:val="page number"/>
    <w:basedOn w:val="DefaultParagraphFont"/>
    <w:rsid w:val="00CB26A2"/>
  </w:style>
  <w:style w:type="paragraph" w:styleId="Quote">
    <w:name w:val="Quote"/>
    <w:basedOn w:val="Heading1"/>
    <w:link w:val="QuoteChar"/>
    <w:qFormat/>
    <w:rsid w:val="00CB26A2"/>
    <w:rPr>
      <w:b w:val="0"/>
      <w:sz w:val="72"/>
      <w:szCs w:val="72"/>
      <w:lang w:val="en-NZ"/>
    </w:rPr>
  </w:style>
  <w:style w:type="character" w:customStyle="1" w:styleId="QuoteChar">
    <w:name w:val="Quote Char"/>
    <w:basedOn w:val="DefaultParagraphFont"/>
    <w:link w:val="Quote"/>
    <w:rsid w:val="00CB26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6A2"/>
    <w:pPr>
      <w:pageBreakBefore/>
    </w:pPr>
  </w:style>
  <w:style w:type="paragraph" w:customStyle="1" w:styleId="Border">
    <w:name w:val="Border"/>
    <w:basedOn w:val="Normal"/>
    <w:qFormat/>
    <w:rsid w:val="00CB26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6A2"/>
    <w:rPr>
      <w:b/>
      <w:bCs/>
      <w:i/>
      <w:iCs/>
      <w:color w:val="auto"/>
    </w:rPr>
  </w:style>
  <w:style w:type="paragraph" w:styleId="IntenseQuote">
    <w:name w:val="Intense Quote"/>
    <w:basedOn w:val="Normal"/>
    <w:next w:val="Normal"/>
    <w:link w:val="IntenseQuoteChar"/>
    <w:uiPriority w:val="30"/>
    <w:qFormat/>
    <w:rsid w:val="00CB26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6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26A2"/>
    <w:rPr>
      <w:smallCaps/>
      <w:color w:val="auto"/>
      <w:u w:val="single"/>
    </w:rPr>
  </w:style>
  <w:style w:type="character" w:styleId="IntenseReference">
    <w:name w:val="Intense Reference"/>
    <w:basedOn w:val="DefaultParagraphFont"/>
    <w:uiPriority w:val="32"/>
    <w:qFormat/>
    <w:rsid w:val="00CB26A2"/>
    <w:rPr>
      <w:b/>
      <w:bCs/>
      <w:smallCaps/>
      <w:color w:val="auto"/>
      <w:spacing w:val="5"/>
      <w:u w:val="single"/>
    </w:rPr>
  </w:style>
  <w:style w:type="paragraph" w:customStyle="1" w:styleId="2ColumnHeading">
    <w:name w:val="2Column Heading"/>
    <w:basedOn w:val="BodyText"/>
    <w:qFormat/>
    <w:rsid w:val="00CB26A2"/>
    <w:pPr>
      <w:spacing w:after="60"/>
      <w:ind w:left="-2268"/>
    </w:pPr>
    <w:rPr>
      <w:b/>
    </w:rPr>
  </w:style>
  <w:style w:type="paragraph" w:customStyle="1" w:styleId="Heading1TOC">
    <w:name w:val="Heading1 TOC"/>
    <w:basedOn w:val="Normal"/>
    <w:qFormat/>
    <w:rsid w:val="00CB26A2"/>
    <w:pPr>
      <w:spacing w:before="240" w:after="120"/>
    </w:pPr>
    <w:rPr>
      <w:rFonts w:ascii="Times New Roman" w:hAnsi="Times New Roman"/>
      <w:b/>
      <w:sz w:val="32"/>
    </w:rPr>
  </w:style>
  <w:style w:type="paragraph" w:customStyle="1" w:styleId="Heading2TOC">
    <w:name w:val="Heading2 TOC"/>
    <w:basedOn w:val="Normal"/>
    <w:qFormat/>
    <w:rsid w:val="00CB26A2"/>
    <w:pPr>
      <w:spacing w:before="240" w:after="60"/>
    </w:pPr>
    <w:rPr>
      <w:rFonts w:ascii="Times New Roman" w:hAnsi="Times New Roman"/>
      <w:b/>
      <w:sz w:val="28"/>
    </w:rPr>
  </w:style>
  <w:style w:type="character" w:customStyle="1" w:styleId="Underline">
    <w:name w:val="Underline"/>
    <w:basedOn w:val="DefaultParagraphFont"/>
    <w:qFormat/>
    <w:rsid w:val="00CB26A2"/>
    <w:rPr>
      <w:u w:val="single"/>
    </w:rPr>
  </w:style>
  <w:style w:type="character" w:customStyle="1" w:styleId="BoldandItalics">
    <w:name w:val="Bold and Italics"/>
    <w:qFormat/>
    <w:rsid w:val="00CB26A2"/>
    <w:rPr>
      <w:b/>
      <w:i/>
      <w:u w:val="none"/>
    </w:rPr>
  </w:style>
  <w:style w:type="paragraph" w:styleId="BalloonText">
    <w:name w:val="Balloon Text"/>
    <w:basedOn w:val="Normal"/>
    <w:link w:val="BalloonTextChar"/>
    <w:rsid w:val="00CB26A2"/>
    <w:rPr>
      <w:rFonts w:ascii="Tahoma" w:hAnsi="Tahoma" w:cs="Tahoma"/>
      <w:sz w:val="16"/>
      <w:szCs w:val="16"/>
    </w:rPr>
  </w:style>
  <w:style w:type="character" w:customStyle="1" w:styleId="BalloonTextChar">
    <w:name w:val="Balloon Text Char"/>
    <w:basedOn w:val="DefaultParagraphFont"/>
    <w:link w:val="BalloonText"/>
    <w:rsid w:val="00CB26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6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6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4605</Words>
  <Characters>30435</Characters>
  <Application>Microsoft Office Word</Application>
  <DocSecurity>0</DocSecurity>
  <Lines>1024</Lines>
  <Paragraphs>435</Paragraphs>
  <ScaleCrop>false</ScaleCrop>
  <Company>Author-it Software Corporation Ltd.</Company>
  <LinksUpToDate>false</LinksUpToDate>
  <CharactersWithSpaces>34781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UETTDRIS50A Coordinate power system permit procedures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2012-05-26T12:12:00Z</dcterms:created>
  <dcterms:modified xsi:type="dcterms:W3CDTF">2012-05-26T12:12:00Z</dcterms:modified>
</cp:coreProperties>
</file>