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05A" w:rsidP="009E705A">
      <w:pPr>
        <w:pStyle w:val="Title"/>
      </w:pPr>
      <w:bookmarkStart w:id="0" w:name="_GoBack"/>
      <w:bookmarkEnd w:id="0"/>
      <w:r>
        <w:fldChar w:fldCharType="begin"/>
      </w:r>
      <w:r>
        <w:instrText xml:space="preserve"> TITLE   \* MERGEFORMAT </w:instrText>
      </w:r>
      <w:r>
        <w:fldChar w:fldCharType="separate"/>
      </w:r>
      <w:r>
        <w:t>UETTDRIS45A Perform power system substation switching operation to a given schedule</w:t>
      </w:r>
      <w:r>
        <w:fldChar w:fldCharType="end"/>
      </w:r>
    </w:p>
    <w:p w:rsidR="009E705A" w:rsidP="009E705A">
      <w:pPr>
        <w:pStyle w:val="Version"/>
        <w:sectPr w:rsidSect="00286E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EAF" w:rsidP="00286EAF">
      <w:pPr>
        <w:pStyle w:val="SuperHeading"/>
      </w:pPr>
      <w:r w:rsidRPr="00286EAF">
        <w:t>UETTDRIS45A Perform power system substation switching operation to a given schedule</w:t>
      </w:r>
    </w:p>
    <w:p w:rsidR="00000000" w:rsidRPr="00286EAF" w:rsidP="00286EAF">
      <w:pPr>
        <w:pStyle w:val="Heading1"/>
      </w:pPr>
      <w:bookmarkStart w:id="1" w:name="O_462499"/>
      <w:bookmarkEnd w:id="1"/>
      <w:r w:rsidRPr="00286EAF">
        <w:t>Modification History</w:t>
      </w:r>
    </w:p>
    <w:p w:rsidR="00000000" w:rsidRPr="00286EAF" w:rsidP="00286EAF">
      <w:pPr>
        <w:pStyle w:val="BodyText"/>
      </w:pPr>
      <w:r w:rsidRPr="00286EAF">
        <w:t>Not applicable.</w:t>
      </w:r>
    </w:p>
    <w:p w:rsidR="00000000" w:rsidRPr="00286EAF" w:rsidP="00286EAF">
      <w:pPr>
        <w:pStyle w:val="AllowPageBreak"/>
      </w:pPr>
    </w:p>
    <w:p w:rsidR="00000000" w:rsidRPr="00286EAF" w:rsidP="00286EAF">
      <w:pPr>
        <w:pStyle w:val="Heading1"/>
      </w:pPr>
      <w:bookmarkStart w:id="2" w:name="O_462497"/>
      <w:bookmarkEnd w:id="2"/>
      <w:r w:rsidRPr="00286EAF">
        <w:t>Unit Descrip</w:t>
      </w:r>
      <w:r w:rsidRPr="00286EAF">
        <w:t>tor</w:t>
      </w:r>
    </w:p>
    <w:tbl>
      <w:tblPr>
        <w:tblW w:w="0" w:type="auto"/>
        <w:tblLayout w:type="fixed"/>
        <w:tblCellMar>
          <w:left w:w="62" w:type="dxa"/>
          <w:right w:w="62" w:type="dxa"/>
        </w:tblCellMar>
        <w:tblLook w:val="0000"/>
      </w:tblPr>
      <w:tblGrid>
        <w:gridCol w:w="2700"/>
        <w:gridCol w:w="5760"/>
      </w:tblGrid>
      <w:tr w:rsidTr="009E70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1)</w:t>
            </w:r>
            <w:r w:rsidRPr="00286EAF">
              <w:t xml:space="preserve"> </w:t>
            </w:r>
            <w:r w:rsidRPr="00286EAF">
              <w:rPr>
                <w:rStyle w:val="SpecialBold"/>
              </w:rPr>
              <w:t>Scope:</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6E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1.1) Descriptor</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 xml:space="preserve">This Competency Standard Unit covers the conducting of switching operations in a substation in accordance to a given instructions, switching </w:t>
            </w:r>
            <w:r w:rsidRPr="00286EAF">
              <w:t xml:space="preserve">schedule and established enterprises procedures. It encompasses the operation of substation switching devices such as circuit breakers, air break switches, fuses, reclosers, ring main units and isolators. </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3" w:name="O_462486"/>
      <w:bookmarkEnd w:id="3"/>
      <w:r w:rsidRPr="00286EAF">
        <w:t>Application of the Unit</w:t>
      </w:r>
    </w:p>
    <w:tbl>
      <w:tblPr>
        <w:tblW w:w="0" w:type="auto"/>
        <w:tblLayout w:type="fixed"/>
        <w:tblCellMar>
          <w:left w:w="62" w:type="dxa"/>
          <w:right w:w="62" w:type="dxa"/>
        </w:tblCellMar>
        <w:tblLook w:val="0000"/>
      </w:tblPr>
      <w:tblGrid>
        <w:gridCol w:w="2672"/>
        <w:gridCol w:w="5699"/>
      </w:tblGrid>
      <w:tr w:rsidTr="009E705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Applica</w:t>
            </w:r>
            <w:r w:rsidRPr="00286EAF">
              <w:rPr>
                <w:rStyle w:val="SpecialBold"/>
              </w:rPr>
              <w:t>tion of the Unit</w:t>
            </w:r>
          </w:p>
        </w:tc>
        <w:tc>
          <w:tcPr>
            <w:tcW w:w="5699"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2)</w:t>
            </w:r>
          </w:p>
        </w:tc>
      </w:tr>
      <w:tr w:rsidTr="009E705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This Competency Standard Unit is intended to augment formally acquired competencies. It is suitable for employment-based programs under an approved contract of training.</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4" w:name="O_462493"/>
      <w:bookmarkEnd w:id="4"/>
      <w:r w:rsidRPr="00286EAF">
        <w:t>Licensing/Regulatory Information</w:t>
      </w:r>
    </w:p>
    <w:tbl>
      <w:tblPr>
        <w:tblW w:w="0" w:type="auto"/>
        <w:tblLayout w:type="fixed"/>
        <w:tblCellMar>
          <w:left w:w="62" w:type="dxa"/>
          <w:right w:w="62" w:type="dxa"/>
        </w:tblCellMar>
        <w:tblLook w:val="0000"/>
      </w:tblPr>
      <w:tblGrid>
        <w:gridCol w:w="2700"/>
        <w:gridCol w:w="5760"/>
      </w:tblGrid>
      <w:tr w:rsidTr="009E70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 xml:space="preserve">3) </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 xml:space="preserve">The skills and knowledge described in this unit may require a licence/registration to practice in the work place subject to regulations for undertaking of electrical work. Practice in workplace and during training is also subject </w:t>
            </w:r>
            <w:r w:rsidRPr="00286EAF">
              <w:t xml:space="preserve">to regulations directly related to Occupational Health and Safety, electricity/telecommunications/gas/water industry safety and compliance, industrial relations, environmental </w:t>
            </w:r>
            <w:r w:rsidRPr="00286EAF">
              <w:t>protection, anti discrimination and training. Commonwealth, State/Territory or L</w:t>
            </w:r>
            <w:r w:rsidRPr="00286EAF">
              <w:t>ocal Government legislation and regulations may exist that limits the age of operating certain equipment.</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5" w:name="O_462494"/>
      <w:bookmarkEnd w:id="5"/>
      <w:r w:rsidRPr="00286EAF">
        <w:t>Pre-Requisites</w:t>
      </w:r>
    </w:p>
    <w:tbl>
      <w:tblPr>
        <w:tblW w:w="0" w:type="auto"/>
        <w:tblLayout w:type="fixed"/>
        <w:tblCellMar>
          <w:left w:w="62" w:type="dxa"/>
          <w:right w:w="62" w:type="dxa"/>
        </w:tblCellMar>
        <w:tblLook w:val="0000"/>
      </w:tblPr>
      <w:tblGrid>
        <w:gridCol w:w="2700"/>
        <w:gridCol w:w="1980"/>
        <w:gridCol w:w="3780"/>
      </w:tblGrid>
      <w:tr w:rsidTr="009E70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 xml:space="preserve">4) </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4.1)</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Granting of competency in this unit shall be made only after competency in the following unit(s) has/have been confirmed.</w:t>
            </w:r>
          </w:p>
          <w:p w:rsidR="00000000" w:rsidRPr="00286EAF" w:rsidP="00286EAF">
            <w:pPr>
              <w:pStyle w:val="BodyText"/>
            </w:pPr>
            <w:r w:rsidRPr="00286EAF">
              <w:t xml:space="preserve">Where pre-requisite pathways have been identified. All competencies in the Common Unit Group must be have been completed plus all the </w:t>
            </w:r>
            <w:r w:rsidRPr="00286EAF">
              <w:t>competencies in one (1) of the identified Pathway Unit Group(s):</w:t>
            </w:r>
          </w:p>
          <w:p w:rsidR="00000000" w:rsidP="00286EAF">
            <w:pPr>
              <w:pStyle w:val="BodyText"/>
              <w:rPr>
                <w:lang w:val="en-NZ"/>
              </w:rPr>
            </w:pPr>
            <w:r w:rsidRPr="00286EAF">
              <w:t>Common Unit Group</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Unit Code</w:t>
            </w:r>
          </w:p>
        </w:tc>
        <w:tc>
          <w:tcPr>
            <w:tcW w:w="378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Unit Title</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Apply Occupational Health and Safety regulations, codes and practices in the workplace</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Fabricate, assemble and dismantle utilities industry components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Solve problems in d.c. Circuits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Fix and secure electrotechnology equipment</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Use drawings, diagrams, schedules, standards, codes and specifications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w:t>
            </w:r>
            <w:r w:rsidRPr="00286EAF">
              <w:t>ENEEE137A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Document and apply measures to control OHS risks associated with electrotechnology work</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Solve problems in single and three phase low voltage machines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Solve problems in single and three phase electrical apparatus and circuits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Arrange circuits, control and protection for general electrical installations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Solve problems in electromagnetic devices and related circuits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UEENEEG102</w:t>
            </w:r>
            <w:r w:rsidRPr="00286EAF">
              <w:t>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Solve problems in electromagnetic devices and related circuits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UEENEEG103A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Install low voltage wiring and accessories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UEENEEG104A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Install appliances, switchgear and associated accessories for low voltage electrical installations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UEENEEG105A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Verify compliance and functionality of low voltage general electrical installations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Terminate cables, cords and accessories for low voltage circuits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UEENEEG107A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Select wiring systems and cables for low voltage general electrical installatio</w:t>
            </w:r>
            <w:r w:rsidRPr="00286EAF">
              <w:t>ns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Trouble-shoot and repair faults in low voltage electrical apparatus and circuits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Develop and connect electrical control circuits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UEENEEK142A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Apply environmentally and sustainable energy procedures in the energy sector</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 xml:space="preserve">Working safely near live electrical apparatus </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Implement and monitor the power system organisational OHS policies, procedures and programs</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86EAF">
            <w:pPr>
              <w:pStyle w:val="BodyText"/>
              <w:rPr>
                <w:lang w:val="en-NZ"/>
              </w:rPr>
            </w:pPr>
            <w:r w:rsidRPr="00286EAF">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286EAF" w:rsidP="00286EAF">
            <w:pPr>
              <w:pStyle w:val="BodyText"/>
            </w:pPr>
            <w:r w:rsidRPr="00286EAF">
              <w:t>Implement and monitor the power system environmental and sustainable energy m</w:t>
            </w:r>
            <w:r w:rsidRPr="00286EAF">
              <w:t>anagement policies and procedures</w:t>
            </w:r>
          </w:p>
        </w:tc>
      </w:tr>
    </w:tbl>
    <w:p w:rsidR="00000000" w:rsidRPr="00286EAF" w:rsidP="00286EA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E705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 xml:space="preserve">4.2) </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 xml:space="preserve">Participants are best equipped to achieve this unit if they have reading, writing and numeracy skills indicated by the following scales. Description </w:t>
            </w:r>
            <w:r w:rsidRPr="00286EAF">
              <w:t>of each scale is given in Volume 2, Part 3 “Literacy and Numeracy”</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Reading</w:t>
            </w:r>
          </w:p>
        </w:tc>
        <w:tc>
          <w:tcPr>
            <w:tcW w:w="81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w:t>
            </w:r>
          </w:p>
        </w:tc>
        <w:tc>
          <w:tcPr>
            <w:tcW w:w="99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Writing</w:t>
            </w:r>
          </w:p>
        </w:tc>
        <w:tc>
          <w:tcPr>
            <w:tcW w:w="90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w:t>
            </w:r>
          </w:p>
        </w:tc>
        <w:tc>
          <w:tcPr>
            <w:tcW w:w="12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Numeracy</w:t>
            </w:r>
          </w:p>
        </w:tc>
        <w:tc>
          <w:tcPr>
            <w:tcW w:w="72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3</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6" w:name="O_462490"/>
      <w:bookmarkEnd w:id="6"/>
      <w:r w:rsidRPr="00286EAF">
        <w:t>Employability Skills Information</w:t>
      </w:r>
    </w:p>
    <w:tbl>
      <w:tblPr>
        <w:tblW w:w="0" w:type="auto"/>
        <w:tblLayout w:type="fixed"/>
        <w:tblCellMar>
          <w:left w:w="62" w:type="dxa"/>
          <w:right w:w="62" w:type="dxa"/>
        </w:tblCellMar>
        <w:tblLook w:val="0000"/>
      </w:tblPr>
      <w:tblGrid>
        <w:gridCol w:w="2700"/>
        <w:gridCol w:w="5760"/>
      </w:tblGrid>
      <w:tr w:rsidTr="009E70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 xml:space="preserve">5) </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86EAF">
              <w:t>requirements.</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7" w:name="O_462489"/>
      <w:bookmarkEnd w:id="7"/>
      <w:r w:rsidRPr="00286EAF">
        <w:t>Elements and Performance Criteria Pre-Content</w:t>
      </w:r>
    </w:p>
    <w:tbl>
      <w:tblPr>
        <w:tblW w:w="0" w:type="auto"/>
        <w:tblLayout w:type="fixed"/>
        <w:tblCellMar>
          <w:left w:w="62" w:type="dxa"/>
          <w:right w:w="62" w:type="dxa"/>
        </w:tblCellMar>
        <w:tblLook w:val="0000"/>
      </w:tblPr>
      <w:tblGrid>
        <w:gridCol w:w="2700"/>
        <w:gridCol w:w="5760"/>
      </w:tblGrid>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6)</w:t>
            </w:r>
            <w:r w:rsidRPr="00286EA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Performance Cri</w:t>
            </w:r>
            <w:r w:rsidRPr="00286EAF">
              <w:t>teria describe the required performance needed to demonstrate achievement of the element. Assessment of performance is to be consistent with the Evidence Guide.</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8" w:name="O_462488"/>
      <w:bookmarkEnd w:id="8"/>
      <w:r w:rsidRPr="00286EAF">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9E705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PERFORMANCE CRITERIA</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w:t>
            </w:r>
          </w:p>
        </w:tc>
        <w:tc>
          <w:tcPr>
            <w:tcW w:w="2294"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Prepare for substation switching to a given schedule</w:t>
            </w: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1.1</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Switching and work schedule(s), including drawings, plans, requirements, established procedures, and material lists, are received, analysed and confirmed, if necessary, by site inspection.</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1.2</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Rel</w:t>
            </w:r>
            <w:r w:rsidRPr="00286EAF">
              <w:t>evant requirements and established procedures for the work are communicated to all personnel and identified for all work sites.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1.3</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 xml:space="preserve">OHS policies and procedures related to requirements and established procedures for substation switching are obtained and </w:t>
            </w:r>
            <w:r w:rsidRPr="00286EAF">
              <w:t>confirmed for the purposes of the work to be performed and communicated.</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1.4</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Work is prioritised and sequenced following consultation with others for completion within acceptable timeframes and in accordance with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1.5</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Hazards are identified, OHS risks assessed and control measures are prioritised, implemented and monitored including emergency exits kept clear according to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1.6</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 xml:space="preserve">Relevant authority is obtained to access and perform work according </w:t>
            </w:r>
            <w:r w:rsidRPr="00286EAF">
              <w:t>to requirements and/or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1.7</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Resources including personnel, equipment, tools and personal protective equipment required for the job are obtained and confirmed in working order.</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1.8</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Relevant personnel at worksite are confirmed current in First Aid, Pole Top Rescue and other related work procedures according to requirements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1.9</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Liaison and communication issues with other/authorised personnel, authorities, clients and land owners are</w:t>
            </w:r>
            <w:r w:rsidRPr="00286EAF">
              <w:t xml:space="preserve"> resolved to carry out work where necessary.</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1.10</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Site is prepared according to the work schedule and to minimise risk and damage to property, commerce, and individuals in accordance with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1.11</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Personnel participating in the wo</w:t>
            </w:r>
            <w:r w:rsidRPr="00286EAF">
              <w:t>rk, including plant operators and contractors, are fully briefed and respective responsibilities confirmed where applicable in accordance with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1.12</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Road signs, barriers and warning devices are positioned in accordance with requirements.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w:t>
            </w:r>
          </w:p>
        </w:tc>
        <w:tc>
          <w:tcPr>
            <w:tcW w:w="2294"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Carry out substation switching to a given schedule</w:t>
            </w: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2.1</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OHS and sustainable energy principles and practices to reduce the incidents of accidents and minimise waste a</w:t>
            </w:r>
            <w:r w:rsidRPr="00286EAF">
              <w:t>re monitored and followed in accordance with requirements and/or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2.2</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 xml:space="preserve">Lifting, climbing, working in confined spaces and aloft, and use of power tools/equipment, techniques and practices are safely followed and, currency according </w:t>
            </w:r>
            <w:r w:rsidRPr="00286EAF">
              <w:t>to requirements confirmed.</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2.3</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Essential knowledge and associated skills are applied in safe substation switching to a given schedule to ensure completion in an agreed timeframe and, to quality standards with a minimum of waste according to requirements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2.4</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Communications with Switching Control Officer are established and maintained throughout the isolation operation according to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2.5</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Electrical equipment and associated circuits line/network or work site to be switched is isolated and proved de-energised using appropriate devices, earthed where required and load transfer successfully achieved according to requirements and established pr</w:t>
            </w:r>
            <w:r w:rsidRPr="00286EAF">
              <w:t>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2.6</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Substation switching to a given schedule is carried out, in accordance with the work schedule and requirements/established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2.7</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Hazard warnings and safety signs are recognised and hazards and assessed OHS risks are reported t</w:t>
            </w:r>
            <w:r w:rsidRPr="00286EAF">
              <w:t>o the immediate authorised persons for directions according to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2.8</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Unplanned events occurring during substation switching to a given schedule are responded to and undertaken within the scope of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2.9</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Relevant permits are prepared and issued in accordance with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2.10</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Known solutions to a variety of problems are applied using acquired essential knowledge and associated skills.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2.11</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Ongoing checks of quality of the work are und</w:t>
            </w:r>
            <w:r w:rsidRPr="00286EAF">
              <w:t>ertaken in accordance with instructions and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w:t>
            </w:r>
          </w:p>
        </w:tc>
        <w:tc>
          <w:tcPr>
            <w:tcW w:w="2294"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Complete substation switching to a given schedule</w:t>
            </w: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3.1</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Work undertaken is checked against works schedule for conformance with requirements and anomalies reported in accordance with establ</w:t>
            </w:r>
            <w:r w:rsidRPr="00286EAF">
              <w:t>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3.2</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Accidents and/or injuries are reported in accordance with requirements/established procedures, where applicable.</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3.3</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Work site is rehabilitated, cleaned up and made safe in accordance with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3.4</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Tools, equipment and any surplus resources and materials are, where appropriate, cleaned, checked and returned to storage in accordance with 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3.5</w:t>
            </w:r>
          </w:p>
        </w:tc>
        <w:tc>
          <w:tcPr>
            <w:tcW w:w="4922"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Relevant permit(s) are signed off, safety devices are removed, and the system is re-</w:t>
            </w:r>
            <w:r w:rsidRPr="00286EAF">
              <w:t>energised and returned to service in accordance with requirements/established procedures.</w:t>
            </w:r>
          </w:p>
        </w:tc>
      </w:tr>
      <w:tr w:rsidTr="009E705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t>3.6</w:t>
            </w:r>
          </w:p>
        </w:tc>
        <w:tc>
          <w:tcPr>
            <w:tcW w:w="4922"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Works completion records, reports, as installed /modified drawing and/or documentation and information are finalised and processed and appropriate personnel an</w:t>
            </w:r>
            <w:r w:rsidRPr="00286EAF">
              <w:t>d authority notified.</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9" w:name="O_462496"/>
      <w:bookmarkEnd w:id="9"/>
      <w:r w:rsidRPr="00286EAF">
        <w:t>Required Skills and Knowledge</w:t>
      </w:r>
    </w:p>
    <w:tbl>
      <w:tblPr>
        <w:tblW w:w="0" w:type="auto"/>
        <w:tblLayout w:type="fixed"/>
        <w:tblCellMar>
          <w:left w:w="62" w:type="dxa"/>
          <w:right w:w="62" w:type="dxa"/>
        </w:tblCellMar>
        <w:tblLook w:val="0000"/>
      </w:tblPr>
      <w:tblGrid>
        <w:gridCol w:w="8460"/>
      </w:tblGrid>
      <w:tr w:rsidTr="009E70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REQUIRED SKILLS AND KNOWLEDGE</w:t>
            </w:r>
          </w:p>
        </w:tc>
      </w:tr>
      <w:tr w:rsidTr="009E705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8)</w:t>
            </w:r>
            <w:r w:rsidRPr="00286EAF">
              <w:t xml:space="preserve"> Essential Knowledge and Associated Skills (EKAS): This describes the essential skills and knowledge and their level, required for this unit.</w:t>
            </w:r>
          </w:p>
          <w:p w:rsidR="00000000" w:rsidRPr="00286EAF" w:rsidP="00286EAF">
            <w:pPr>
              <w:pStyle w:val="BodyText"/>
            </w:pPr>
            <w:r w:rsidRPr="00286EAF">
              <w:t>Evidence shall show that knowledge has been acquired of performing substation switching to a given schedule.</w:t>
            </w:r>
          </w:p>
          <w:p w:rsidR="00000000" w:rsidRPr="00286EAF" w:rsidP="00286EAF">
            <w:pPr>
              <w:pStyle w:val="BodyText"/>
            </w:pPr>
            <w:r w:rsidRPr="00286EAF">
              <w:t>All knowledge and skills detailed in this unit should be contextualised to current industry practices and technologies.</w:t>
            </w:r>
          </w:p>
          <w:p w:rsidR="00000000" w:rsidRPr="00286EAF" w:rsidP="00286EAF">
            <w:pPr>
              <w:pStyle w:val="BodyText"/>
            </w:pPr>
            <w:r w:rsidRPr="00286EAF">
              <w:t>KS01-TIS45A</w:t>
            </w:r>
            <w:r w:rsidRPr="00286EAF">
              <w:tab/>
              <w:t>Overhead distri</w:t>
            </w:r>
            <w:r w:rsidRPr="00286EAF">
              <w:t>bution network infrastructure</w:t>
            </w:r>
          </w:p>
          <w:p w:rsidR="00000000" w:rsidRPr="00286EAF" w:rsidP="00286EAF">
            <w:pPr>
              <w:pStyle w:val="BodyText"/>
            </w:pPr>
            <w:r w:rsidRPr="00286EAF">
              <w:t>Evidence shall show an understanding of overhead distribution network infrastructure to an extent indicated by the following aspects:</w:t>
            </w:r>
          </w:p>
          <w:p w:rsidR="00000000" w:rsidRPr="00286EAF" w:rsidP="00286EAF">
            <w:pPr>
              <w:pStyle w:val="BodyText"/>
            </w:pPr>
            <w:r w:rsidRPr="00286EAF">
              <w:t>T1</w:t>
            </w:r>
            <w:r w:rsidRPr="00286EAF">
              <w:tab/>
              <w:t>Installation of switchgear and associated equipment encompassing:</w:t>
            </w:r>
          </w:p>
          <w:p w:rsidR="00000000" w:rsidRPr="00286EAF" w:rsidP="00286EAF">
            <w:pPr>
              <w:pStyle w:val="ListBullet"/>
            </w:pPr>
            <w:r w:rsidRPr="00286EAF">
              <w:t>Types and function of v</w:t>
            </w:r>
            <w:r w:rsidRPr="00286EAF">
              <w:t>arious switchgear - isolators, air-break switches, gas-filled switches, vacuum type, links, fuses, oil disconnectors, fuse switches, circuit breakers, operating characteristics, advantages and disadvantages of different types switchgear, installation proce</w:t>
            </w:r>
            <w:r w:rsidRPr="00286EAF">
              <w:t>dures, earthing, requirements and techniques</w:t>
            </w:r>
          </w:p>
          <w:p w:rsidR="00000000" w:rsidRPr="00286EAF" w:rsidP="00286EAF">
            <w:pPr>
              <w:pStyle w:val="ListBullet"/>
            </w:pPr>
            <w:r w:rsidRPr="00286EAF">
              <w:t>Types of equipment - transformers, reactors, regulators, capacitors, relays, surge arrestors, fault indicators and mobile generators</w:t>
            </w:r>
          </w:p>
          <w:p w:rsidR="00000000" w:rsidRPr="00286EAF" w:rsidP="00286EAF">
            <w:pPr>
              <w:pStyle w:val="ListBullet"/>
            </w:pPr>
            <w:r w:rsidRPr="00286EAF">
              <w:t>Installation procedures for switchgear and equipment - standards, codes, legis</w:t>
            </w:r>
            <w:r w:rsidRPr="00286EAF">
              <w:t>lation, supply authority regulations and or enterprise requirements, assembly and erecting procedures, earthing requirements and techniques, pole mounted locations</w:t>
            </w:r>
          </w:p>
          <w:p w:rsidR="00000000" w:rsidRPr="00286EAF" w:rsidP="00286EAF">
            <w:pPr>
              <w:pStyle w:val="ListBullet"/>
            </w:pPr>
            <w:r w:rsidRPr="00286EAF">
              <w:t>Maintenance procedures for switchgear and equipment - diagnosing and rectifying faults accor</w:t>
            </w:r>
            <w:r w:rsidRPr="00286EAF">
              <w:t xml:space="preserve">ding to electricity supply industry standards and procedures, </w:t>
            </w:r>
          </w:p>
          <w:p w:rsidR="00000000" w:rsidRPr="00286EAF" w:rsidP="00286EAF">
            <w:pPr>
              <w:pStyle w:val="ListBullet"/>
            </w:pPr>
            <w:r w:rsidRPr="00286EAF">
              <w:t>Testing and commissioning - electricity supply industry standards and procedures.</w:t>
            </w:r>
          </w:p>
          <w:p w:rsidR="00000000" w:rsidRPr="00286EAF" w:rsidP="00286EAF">
            <w:pPr>
              <w:pStyle w:val="BodyText"/>
            </w:pPr>
            <w:r w:rsidRPr="00286EAF">
              <w:t>T2</w:t>
            </w:r>
            <w:r w:rsidRPr="00286EAF">
              <w:tab/>
              <w:t>Low voltage switching principles encompassing:</w:t>
            </w:r>
          </w:p>
          <w:p w:rsidR="00000000" w:rsidRPr="00286EAF" w:rsidP="00286EAF">
            <w:pPr>
              <w:pStyle w:val="ListBullet"/>
            </w:pPr>
            <w:r w:rsidRPr="00286EAF">
              <w:t>Standards, codes, legislation, supply authority regulations a</w:t>
            </w:r>
            <w:r w:rsidRPr="00286EAF">
              <w:t>nd or enterprise requirements applicable to switching of low voltage to a given schedule</w:t>
            </w:r>
          </w:p>
          <w:p w:rsidR="00000000" w:rsidRPr="00286EAF" w:rsidP="00286EAF">
            <w:pPr>
              <w:pStyle w:val="ListBullet"/>
            </w:pPr>
            <w:r w:rsidRPr="00286EAF">
              <w:t>Requirements for the use of manuals, system diagrams/plans and drawings - types, characteristics and capabilities of electrical apparatus, use, characteristics and cap</w:t>
            </w:r>
            <w:r w:rsidRPr="00286EAF">
              <w:t>abilities of specialised tools and testing equipment, LV network interconnectors source of possible backfeed</w:t>
            </w:r>
          </w:p>
          <w:p w:rsidR="00000000" w:rsidRPr="00286EAF" w:rsidP="00286EAF">
            <w:pPr>
              <w:pStyle w:val="ListBullet"/>
            </w:pPr>
            <w:r w:rsidRPr="00286EAF">
              <w:t>Low voltage switching techniques - identifying hazards, assessing and controlling risks associated with LV switching</w:t>
            </w:r>
            <w:r w:rsidRPr="00286EAF">
              <w:t xml:space="preserve"> operations, electrical access permit(s), operational procedures, earthing procedures</w:t>
            </w:r>
          </w:p>
          <w:p w:rsidR="00000000" w:rsidRPr="00286EAF" w:rsidP="00286EAF">
            <w:pPr>
              <w:pStyle w:val="ListBullet"/>
            </w:pPr>
            <w:r w:rsidRPr="00286EAF">
              <w:t>Personnel protective equipment (PPE) for LV switching</w:t>
            </w:r>
          </w:p>
          <w:p w:rsidR="00000000" w:rsidRPr="00286EAF" w:rsidP="00286EAF">
            <w:pPr>
              <w:pStyle w:val="BodyText"/>
            </w:pPr>
            <w:r w:rsidRPr="00286EAF">
              <w:t>T3</w:t>
            </w:r>
            <w:r w:rsidRPr="00286EAF">
              <w:tab/>
              <w:t>High voltage switching principles encompassing:</w:t>
            </w:r>
          </w:p>
          <w:p w:rsidR="00000000" w:rsidRPr="00286EAF" w:rsidP="00286EAF">
            <w:pPr>
              <w:pStyle w:val="ListBullet"/>
            </w:pPr>
            <w:r w:rsidRPr="00286EAF">
              <w:t>Standards, codes, legislation, supply authority regulations and o</w:t>
            </w:r>
            <w:r w:rsidRPr="00286EAF">
              <w:t>r enterprise requirements applicable to switching of high voltage to a given schedule</w:t>
            </w:r>
          </w:p>
          <w:p w:rsidR="00000000" w:rsidRPr="00286EAF" w:rsidP="00286EAF">
            <w:pPr>
              <w:pStyle w:val="ListBullet"/>
            </w:pPr>
            <w:r w:rsidRPr="00286EAF">
              <w:t>Requirements for the use of manuals, system diagrams/plans and drawings - types, characteristics and capabilities of electrical apparatus, use, characteristics and capabi</w:t>
            </w:r>
            <w:r w:rsidRPr="00286EAF">
              <w:t>lities of specialised tools and testing equipment, network interconnectors source of possible backfeed</w:t>
            </w:r>
          </w:p>
          <w:p w:rsidR="00000000" w:rsidRPr="00286EAF" w:rsidP="00286EAF">
            <w:pPr>
              <w:pStyle w:val="ListBullet"/>
            </w:pPr>
            <w:r w:rsidRPr="00286EAF">
              <w:t>Role of the HV switching operator</w:t>
            </w:r>
          </w:p>
          <w:p w:rsidR="00000000" w:rsidRPr="00286EAF" w:rsidP="00286EAF">
            <w:pPr>
              <w:pStyle w:val="ListBullet"/>
            </w:pPr>
            <w:r w:rsidRPr="00286EAF">
              <w:t>Operational forms, access authorities and permits associated with HV switching - types of operational forms, access aut</w:t>
            </w:r>
            <w:r w:rsidRPr="00286EAF">
              <w:t>horities and permits, purpose and procedure for operational forms, access authorities and permits.</w:t>
            </w:r>
          </w:p>
          <w:p w:rsidR="00000000" w:rsidRPr="00286EAF" w:rsidP="00286EAF">
            <w:pPr>
              <w:pStyle w:val="ListBullet"/>
            </w:pPr>
            <w:r w:rsidRPr="00286EAF">
              <w:t xml:space="preserve">Use and operation of equipment associated with HV overhead and substation equipment - test instruments, sticks, interrupters, arc stranglers. </w:t>
            </w:r>
          </w:p>
          <w:p w:rsidR="00000000" w:rsidRPr="00286EAF" w:rsidP="00286EAF">
            <w:pPr>
              <w:pStyle w:val="ListBullet"/>
            </w:pPr>
            <w:r w:rsidRPr="00286EAF">
              <w:t>Types and cate</w:t>
            </w:r>
            <w:r w:rsidRPr="00286EAF">
              <w:t>gories of HV switchgear</w:t>
            </w:r>
          </w:p>
          <w:p w:rsidR="00000000" w:rsidRPr="00286EAF" w:rsidP="00286EAF">
            <w:pPr>
              <w:pStyle w:val="ListBullet"/>
            </w:pPr>
            <w:r w:rsidRPr="00286EAF">
              <w:t>Application, function and operating capabilities of switchgear</w:t>
            </w:r>
          </w:p>
          <w:p w:rsidR="00000000" w:rsidRPr="00286EAF" w:rsidP="00286EAF">
            <w:pPr>
              <w:pStyle w:val="ListBullet"/>
            </w:pPr>
            <w:r w:rsidRPr="00286EAF">
              <w:t>Restrictions pertaining to HV switching equipment</w:t>
            </w:r>
          </w:p>
          <w:p w:rsidR="00000000" w:rsidRPr="00286EAF" w:rsidP="00286EAF">
            <w:pPr>
              <w:pStyle w:val="ListBullet"/>
            </w:pPr>
            <w:r w:rsidRPr="00286EAF">
              <w:t>Procedures for the isolation of HV transmission main and working earths</w:t>
            </w:r>
          </w:p>
          <w:p w:rsidR="00000000" w:rsidRPr="00286EAF" w:rsidP="00286EAF">
            <w:pPr>
              <w:pStyle w:val="ListBullet"/>
            </w:pPr>
            <w:r w:rsidRPr="00286EAF">
              <w:t xml:space="preserve">Earthing HV electrical apparatus practices and </w:t>
            </w:r>
            <w:r w:rsidRPr="00286EAF">
              <w:t>procedures for access - purposes of “Operational” and additional work part “on-site” earths, factors determining the location and effectiveness of “Operational” earthing, acceptable industry procedures, personal protective equipment, high voltage switching</w:t>
            </w:r>
            <w:r w:rsidRPr="00286EAF">
              <w:t xml:space="preserve"> techniques.</w:t>
            </w:r>
          </w:p>
          <w:p w:rsidR="00000000" w:rsidRPr="00286EAF" w:rsidP="00286EAF">
            <w:pPr>
              <w:pStyle w:val="ListBullet"/>
            </w:pPr>
            <w:r w:rsidRPr="00286EAF">
              <w:t>Operate switching apparatus - identifying hazards, assessing and controlling risks associated with HV switchgear operation, systematic and defensive techniques, mobile radio procedures, double isolation procedures.</w:t>
            </w:r>
          </w:p>
          <w:p w:rsidR="00000000" w:rsidRPr="00286EAF" w:rsidP="00286EAF">
            <w:pPr>
              <w:pStyle w:val="BodyText"/>
            </w:pPr>
            <w:r w:rsidRPr="00286EAF">
              <w:t>T4</w:t>
            </w:r>
            <w:r w:rsidRPr="00286EAF">
              <w:tab/>
              <w:t>High voltage distribution</w:t>
            </w:r>
            <w:r w:rsidRPr="00286EAF">
              <w:t xml:space="preserve"> transformer principles encompassing:</w:t>
            </w:r>
          </w:p>
          <w:p w:rsidR="00000000" w:rsidRPr="00286EAF" w:rsidP="00286EAF">
            <w:pPr>
              <w:pStyle w:val="ListBullet"/>
            </w:pPr>
            <w:r w:rsidRPr="00286EAF">
              <w:t>Operation of HV distribution transformers - principle governing factors for transformer ratings, protection and alarms, operating limitations and the relationship between transformer and HV fuse rating, purpose and pri</w:t>
            </w:r>
            <w:r w:rsidRPr="00286EAF">
              <w:t>nciple operation of HV distribution transformer tap changers, HV distribution transformer and transformer — cable combination switching practices, paralleling requirements, isolation and earthing procedures for access, common distribution transformer and a</w:t>
            </w:r>
            <w:r w:rsidRPr="00286EAF">
              <w:t>ssociated electrical apparatus faults.</w:t>
            </w:r>
          </w:p>
          <w:p w:rsidR="00000000" w:rsidRPr="00286EAF" w:rsidP="00286EAF">
            <w:pPr>
              <w:pStyle w:val="ListBullet"/>
            </w:pPr>
            <w:r w:rsidRPr="00286EAF">
              <w:t>HV underground switching equipment - arc stranglers, switch operation, load break elbows, switching cubicles, canister fuses, bayonet fuses, F and G switching cubicles, voltage indicators and phasing testers</w:t>
            </w:r>
          </w:p>
          <w:p w:rsidR="00000000" w:rsidRPr="00286EAF" w:rsidP="00286EAF">
            <w:pPr>
              <w:pStyle w:val="BodyText"/>
            </w:pPr>
            <w:r w:rsidRPr="00286EAF">
              <w:t>T5</w:t>
            </w:r>
            <w:r w:rsidRPr="00286EAF">
              <w:tab/>
              <w:t>High v</w:t>
            </w:r>
            <w:r w:rsidRPr="00286EAF">
              <w:t>oltage SWER system encompassing:</w:t>
            </w:r>
          </w:p>
          <w:p w:rsidR="00000000" w:rsidRPr="00286EAF" w:rsidP="00286EAF">
            <w:pPr>
              <w:pStyle w:val="ListBullet"/>
            </w:pPr>
            <w:r w:rsidRPr="00286EAF">
              <w:t>Application and function of SWER system components</w:t>
            </w:r>
          </w:p>
          <w:p w:rsidR="00000000" w:rsidRPr="00286EAF" w:rsidP="00286EAF">
            <w:pPr>
              <w:pStyle w:val="ListBullet"/>
            </w:pPr>
            <w:r w:rsidRPr="00286EAF">
              <w:t>Circuit arrangement</w:t>
            </w:r>
          </w:p>
          <w:p w:rsidR="00000000" w:rsidRPr="00286EAF" w:rsidP="00286EAF">
            <w:pPr>
              <w:pStyle w:val="ListBullet"/>
            </w:pPr>
            <w:r w:rsidRPr="00286EAF">
              <w:t>Principle of operation</w:t>
            </w:r>
          </w:p>
          <w:p w:rsidR="00000000" w:rsidRPr="00286EAF" w:rsidP="00286EAF">
            <w:pPr>
              <w:pStyle w:val="ListBullet"/>
            </w:pPr>
            <w:r w:rsidRPr="00286EAF">
              <w:t>Hazards and procedures associated with faulty SWER earth systems</w:t>
            </w:r>
          </w:p>
          <w:p w:rsidR="00000000" w:rsidRPr="00286EAF" w:rsidP="00286EAF">
            <w:pPr>
              <w:pStyle w:val="ListBullet"/>
            </w:pPr>
            <w:r w:rsidRPr="00286EAF">
              <w:t>Procedure to isolate, energise and commission SWER substations</w:t>
            </w:r>
          </w:p>
          <w:p w:rsidR="00000000" w:rsidRPr="00286EAF" w:rsidP="00286EAF">
            <w:pPr>
              <w:pStyle w:val="BodyText"/>
            </w:pPr>
            <w:r w:rsidRPr="00286EAF">
              <w:t>T</w:t>
            </w:r>
            <w:r w:rsidRPr="00286EAF">
              <w:t>6</w:t>
            </w:r>
            <w:r w:rsidRPr="00286EAF">
              <w:tab/>
              <w:t>Feeder automation system encompassing:</w:t>
            </w:r>
          </w:p>
          <w:p w:rsidR="00000000" w:rsidRPr="00286EAF" w:rsidP="00286EAF">
            <w:pPr>
              <w:pStyle w:val="ListBullet"/>
            </w:pPr>
            <w:r w:rsidRPr="00286EAF">
              <w:t>Function of feeder automation system and the main components</w:t>
            </w:r>
          </w:p>
          <w:p w:rsidR="00000000" w:rsidRPr="00286EAF" w:rsidP="00286EAF">
            <w:pPr>
              <w:pStyle w:val="ListBullet"/>
            </w:pPr>
            <w:r w:rsidRPr="00286EAF">
              <w:t>Operation procedure for a remote field device from a local control station</w:t>
            </w:r>
          </w:p>
          <w:p w:rsidR="00000000" w:rsidRPr="00286EAF" w:rsidP="00286EAF">
            <w:pPr>
              <w:pStyle w:val="ListBullet"/>
            </w:pPr>
            <w:r w:rsidRPr="00286EAF">
              <w:t>Functions of “System Control and Date Acquisition”</w:t>
            </w:r>
            <w:r w:rsidRPr="00286EAF">
              <w:t xml:space="preserve"> (SCADA) (or any other relevant Data Acquisition and Control) systems and its main components</w:t>
            </w:r>
          </w:p>
          <w:p w:rsidR="00000000" w:rsidRPr="00286EAF" w:rsidP="00286EAF">
            <w:pPr>
              <w:pStyle w:val="ListBullet"/>
            </w:pPr>
            <w:r w:rsidRPr="00286EAF">
              <w:t>SCADA system security interlocks and access restrictions</w:t>
            </w:r>
          </w:p>
          <w:p w:rsidR="00000000" w:rsidRPr="00286EAF" w:rsidP="00286EAF">
            <w:pPr>
              <w:pStyle w:val="ListBullet"/>
            </w:pPr>
            <w:r w:rsidRPr="00286EAF">
              <w:t>SCADA system operation when switching apparatus or retrieving data via a remote access device such as; Re</w:t>
            </w:r>
            <w:r w:rsidRPr="00286EAF">
              <w:t>mote Access Terminal (RAT), Dial Up Voice Annunciated System and Local Control Station</w:t>
            </w:r>
          </w:p>
          <w:p w:rsidR="00000000" w:rsidRPr="00286EAF" w:rsidP="00286EAF">
            <w:pPr>
              <w:pStyle w:val="ListBullet"/>
            </w:pPr>
            <w:r w:rsidRPr="00286EAF">
              <w:t>Function of the main components of a local/remote control system</w:t>
            </w:r>
          </w:p>
          <w:p w:rsidR="00000000" w:rsidRPr="00286EAF" w:rsidP="00286EAF">
            <w:pPr>
              <w:pStyle w:val="ListBullet"/>
            </w:pPr>
            <w:r w:rsidRPr="00286EAF">
              <w:t>Operation of a field devices using SCADA systems via a Remote Access Terminal (RAT), Dial Up Annunciated</w:t>
            </w:r>
            <w:r w:rsidRPr="00286EAF">
              <w:t xml:space="preserve"> System and Local Control Station.</w:t>
            </w:r>
          </w:p>
          <w:p w:rsidR="00000000" w:rsidRPr="00286EAF" w:rsidP="00286EAF">
            <w:pPr>
              <w:pStyle w:val="BodyText"/>
            </w:pPr>
            <w:r w:rsidRPr="00286EAF">
              <w:t>T7</w:t>
            </w:r>
            <w:r w:rsidRPr="00286EAF">
              <w:tab/>
              <w:t>HV overhead and substation switching principles encompassing:</w:t>
            </w:r>
          </w:p>
          <w:p w:rsidR="00000000" w:rsidRPr="00286EAF" w:rsidP="00286EAF">
            <w:pPr>
              <w:pStyle w:val="ListBullet"/>
            </w:pPr>
            <w:r w:rsidRPr="00286EAF">
              <w:t>Legislation, Standards, codes, legislation, supply authority regulations and or enterprise requirements applicable to HV overhead and substation switching</w:t>
            </w:r>
          </w:p>
          <w:p w:rsidR="00000000" w:rsidRPr="00286EAF" w:rsidP="00286EAF">
            <w:pPr>
              <w:pStyle w:val="ListBullet"/>
            </w:pPr>
            <w:r w:rsidRPr="00286EAF">
              <w:t>R</w:t>
            </w:r>
            <w:r w:rsidRPr="00286EAF">
              <w:t>equirements for the use of manuals, system diagrams/plans and drawings - types, characteristics and capabilities of HV electrical equipment to be switched, use, characteristics and capabilities of specialised tools and testing equipment.</w:t>
            </w:r>
          </w:p>
          <w:p w:rsidR="00000000" w:rsidRPr="00286EAF" w:rsidP="00286EAF">
            <w:pPr>
              <w:pStyle w:val="ListBullet"/>
            </w:pPr>
            <w:r w:rsidRPr="00286EAF">
              <w:t>Role and responsib</w:t>
            </w:r>
            <w:r w:rsidRPr="00286EAF">
              <w:t>ilities of the HV switching operator</w:t>
            </w:r>
          </w:p>
          <w:p w:rsidR="00000000" w:rsidRPr="00286EAF" w:rsidP="00286EAF">
            <w:pPr>
              <w:pStyle w:val="ListBullet"/>
            </w:pPr>
            <w:r w:rsidRPr="00286EAF">
              <w:t>Operational forms, access authorities and permits hazard/risk assessments associated with HV switching - types of operational forms, access authorities and permits hazard/risk assessments, purpose and procedure for oper</w:t>
            </w:r>
            <w:r w:rsidRPr="00286EAF">
              <w:t>ational forms, access authorities and hazard/risk assessments.</w:t>
            </w:r>
          </w:p>
          <w:p w:rsidR="00000000" w:rsidRPr="00286EAF" w:rsidP="00286EAF">
            <w:pPr>
              <w:pStyle w:val="ListBullet"/>
            </w:pPr>
            <w:r w:rsidRPr="00286EAF">
              <w:t xml:space="preserve">Use and operation of equipment associated with HV overhead and substation equipment - test instruments, sticks, interrupters, arc stranglers. </w:t>
            </w:r>
          </w:p>
          <w:p w:rsidR="00000000" w:rsidRPr="00286EAF" w:rsidP="00286EAF">
            <w:pPr>
              <w:pStyle w:val="ListBullet"/>
            </w:pPr>
            <w:r w:rsidRPr="00286EAF">
              <w:t>HV switchgear – types, categories, application, op</w:t>
            </w:r>
            <w:r w:rsidRPr="00286EAF">
              <w:t>erating capabilities.</w:t>
            </w:r>
          </w:p>
          <w:p w:rsidR="00000000" w:rsidRPr="00286EAF" w:rsidP="00286EAF">
            <w:pPr>
              <w:pStyle w:val="ListBullet"/>
            </w:pPr>
            <w:r w:rsidRPr="00286EAF">
              <w:t>Operation of HV overhead switching or indicating devices - fuses; disconnect fuses; load switching; live line indicators; capacitors; reclosers; sectionalisers, underslung links, airbreaks; switches, disconnects; live line clamps; pha</w:t>
            </w:r>
            <w:r w:rsidRPr="00286EAF">
              <w:t>sing sticks; phasing tester</w:t>
            </w:r>
          </w:p>
          <w:p w:rsidR="00000000" w:rsidRPr="00286EAF" w:rsidP="00286EAF">
            <w:pPr>
              <w:pStyle w:val="ListBullet"/>
            </w:pPr>
            <w:r w:rsidRPr="00286EAF">
              <w:t>Operation of protection systems and substation equipment - fault levels and settings; types and applications; protection systems and substation equipment fault levels and settings; types and applications.</w:t>
            </w:r>
          </w:p>
          <w:p w:rsidR="00000000" w:rsidRPr="00286EAF" w:rsidP="00286EAF">
            <w:pPr>
              <w:pStyle w:val="ListBullet"/>
            </w:pPr>
            <w:r w:rsidRPr="00286EAF">
              <w:t>Restrictions pertaining</w:t>
            </w:r>
            <w:r w:rsidRPr="00286EAF">
              <w:t xml:space="preserve"> to HV switching equipment</w:t>
            </w:r>
          </w:p>
          <w:p w:rsidR="00000000" w:rsidRPr="00286EAF" w:rsidP="00286EAF">
            <w:pPr>
              <w:pStyle w:val="ListBullet"/>
            </w:pPr>
            <w:r w:rsidRPr="00286EAF">
              <w:t>Procedures for the isolation of HV mains and working earths - earthing HV electrical apparatus practices and procedures for access authority issuing; HV switching techniques.</w:t>
            </w:r>
          </w:p>
          <w:p w:rsidR="00000000" w:rsidRPr="00286EAF" w:rsidP="00286EAF">
            <w:pPr>
              <w:pStyle w:val="ListBullet"/>
            </w:pPr>
            <w:r w:rsidRPr="00286EAF">
              <w:t>Operate switching apparatus - identifying hazards, ass</w:t>
            </w:r>
            <w:r w:rsidRPr="00286EAF">
              <w:t>essing and controlling risks associated with HV switchgear operation, systematic and defensive techniques, mobile radio procedures, double isolation procedures.</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10" w:name="O_462491"/>
      <w:bookmarkEnd w:id="10"/>
      <w:r w:rsidRPr="00286EAF">
        <w:t>Evidence Guide</w:t>
      </w:r>
    </w:p>
    <w:tbl>
      <w:tblPr>
        <w:tblW w:w="0" w:type="auto"/>
        <w:tblLayout w:type="fixed"/>
        <w:tblCellMar>
          <w:left w:w="62" w:type="dxa"/>
          <w:right w:w="62" w:type="dxa"/>
        </w:tblCellMar>
        <w:tblLook w:val="0000"/>
      </w:tblPr>
      <w:tblGrid>
        <w:gridCol w:w="8460"/>
      </w:tblGrid>
      <w:tr w:rsidTr="009E70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EVIDENCE GUIDE</w:t>
            </w:r>
          </w:p>
        </w:tc>
      </w:tr>
      <w:tr w:rsidTr="009E70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9)</w:t>
            </w:r>
            <w:r w:rsidRPr="00286EAF">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86EAF" w:rsidP="00286EAF">
            <w:pPr>
              <w:pStyle w:val="BodyText"/>
            </w:pPr>
            <w:r w:rsidRPr="00286EAF">
              <w:t>The Evidence Guide form</w:t>
            </w:r>
            <w:r w:rsidRPr="00286EAF">
              <w:t>s an integral part of this Competency Standard Unit and shall be used in conjunction with all component parts of this unit and, performed in accordance with the Assessment Guidelines of this Training Package.</w:t>
            </w:r>
          </w:p>
        </w:tc>
      </w:tr>
    </w:tbl>
    <w:p w:rsidR="00000000" w:rsidRPr="00286EAF" w:rsidP="00286EAF">
      <w:pPr>
        <w:pStyle w:val="BodyText"/>
      </w:pPr>
    </w:p>
    <w:tbl>
      <w:tblPr>
        <w:tblW w:w="0" w:type="auto"/>
        <w:tblLayout w:type="fixed"/>
        <w:tblCellMar>
          <w:left w:w="62" w:type="dxa"/>
          <w:right w:w="62" w:type="dxa"/>
        </w:tblCellMar>
        <w:tblLook w:val="0000"/>
      </w:tblPr>
      <w:tblGrid>
        <w:gridCol w:w="1890"/>
        <w:gridCol w:w="6570"/>
      </w:tblGrid>
      <w:tr w:rsidTr="009E705A">
        <w:tblPrEx>
          <w:tblW w:w="0" w:type="auto"/>
          <w:tblLayout w:type="fixed"/>
          <w:tblCellMar>
            <w:left w:w="62" w:type="dxa"/>
            <w:right w:w="62" w:type="dxa"/>
          </w:tblCellMar>
          <w:tblLook w:val="0000"/>
        </w:tblPrEx>
        <w:trPr>
          <w:trHeight w:val="587"/>
        </w:trPr>
        <w:tc>
          <w:tcPr>
            <w:tcW w:w="189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9.1)</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Longitudinal competency development approaches to assessment, such as Profiling, require data to be reliably gathered in a form that can be consistently interpreted over time. This approach is best utilised in Apprenticeship programs and reduces assessment</w:t>
            </w:r>
            <w:r w:rsidRPr="00286EA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86EAF">
              <w:t>tency in a realistically simulated work environment. It is recognised that, in some circumstances, assessment in part or full can occur outside the workplace. However, it must be in accord with Industry and, Regulatory policy in this regard.</w:t>
            </w:r>
          </w:p>
          <w:p w:rsidR="00000000" w:rsidRPr="00286EAF" w:rsidP="00286EAF">
            <w:pPr>
              <w:pStyle w:val="BodyText"/>
            </w:pPr>
            <w:r w:rsidRPr="00286EAF">
              <w:t>Methods chosen</w:t>
            </w:r>
            <w:r w:rsidRPr="00286EA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86EAF">
              <w:t>equired and the critical nature of the competencies being assessed.</w:t>
            </w:r>
          </w:p>
          <w:p w:rsidR="00000000" w:rsidRPr="00286EAF" w:rsidP="00286EAF">
            <w:pPr>
              <w:pStyle w:val="BodyText"/>
            </w:pPr>
            <w:r w:rsidRPr="00286EAF">
              <w:t>The critical safety nature of working with electricity, electrical equipment, gas or any other hazardous substance/material carries risk in deeming a person competent. Hence, sources of ev</w:t>
            </w:r>
            <w:r w:rsidRPr="00286EAF">
              <w:t>idence need to be ‘rich’ in nature so as to minimise error in judgment.</w:t>
            </w:r>
          </w:p>
          <w:p w:rsidR="00000000" w:rsidRPr="00286EAF" w:rsidP="00286EAF">
            <w:pPr>
              <w:pStyle w:val="BodyText"/>
            </w:pPr>
            <w:r w:rsidRPr="00286EAF">
              <w:t>Activities associated with normal every day work have a bearing on the decision as to how much and how detailed the data gathered will contribute to its ‘richness’. Some skills are mor</w:t>
            </w:r>
            <w:r w:rsidRPr="00286EAF">
              <w:t>e critical to safety and operational requirements while the same skills may be more or less frequently practiced. These points are raised for the assessors to consider when choosing an assessment method and developing assessment instruments. Sample assessm</w:t>
            </w:r>
            <w:r w:rsidRPr="00286EAF">
              <w:t>ent instruments are included for Assessors in the Assessment Guidelines of this Training Package.</w:t>
            </w:r>
          </w:p>
        </w:tc>
      </w:tr>
    </w:tbl>
    <w:p w:rsidR="00000000" w:rsidRPr="00286EAF" w:rsidP="00286EA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9.2)</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Before the critical aspects of evidence are considered all prerequisites shall be met.</w:t>
            </w:r>
          </w:p>
          <w:p w:rsidR="00000000" w:rsidRPr="00286EAF" w:rsidP="00286EAF">
            <w:pPr>
              <w:pStyle w:val="BodyText"/>
            </w:pPr>
            <w:r w:rsidRPr="00286EAF">
              <w:t>Evidence for competence in this unit shall be considered holistically. Each element and associated Performance Criteria shall be demonstrated on at least two occasions i</w:t>
            </w:r>
            <w:r w:rsidRPr="00286EAF">
              <w:t>n accordance with the “Assessment Guidelines – UET09”. Evidence shall also comprise:</w:t>
            </w:r>
          </w:p>
          <w:p w:rsidR="00000000" w:rsidRPr="00286EAF" w:rsidP="00286EAF">
            <w:pPr>
              <w:pStyle w:val="ListBullet"/>
            </w:pPr>
            <w:r w:rsidRPr="00286EAF">
              <w:t>A representative body of Performance Criteria demonstrated within the timeframes typically expected of the discipline, work function and industrial environment. In particu</w:t>
            </w:r>
            <w:r w:rsidRPr="00286EAF">
              <w:t>lar this shall incorporate evidence that shows a candidate is able to:</w:t>
            </w:r>
          </w:p>
          <w:p w:rsidR="00000000" w:rsidRPr="00286EAF" w:rsidP="00286EAF">
            <w:pPr>
              <w:pStyle w:val="ListBullet2"/>
            </w:pPr>
            <w:r w:rsidRPr="00286EAF">
              <w:t>Implement Occupational Health and Safety workplace procedures and practices including the use of risk control measures as specified in the Performance Criteria and range; and</w:t>
            </w:r>
          </w:p>
          <w:p w:rsidR="00000000" w:rsidRPr="00286EAF" w:rsidP="00286EAF">
            <w:pPr>
              <w:pStyle w:val="ListBullet2"/>
            </w:pPr>
            <w:r w:rsidRPr="00286EAF">
              <w:t>Apply sus</w:t>
            </w:r>
            <w:r w:rsidRPr="00286EAF">
              <w:t>tainable energy principles and practices as specified in the Performance Criteria and range; and</w:t>
            </w:r>
          </w:p>
          <w:p w:rsidR="00000000" w:rsidRPr="00286EAF" w:rsidP="00286EAF">
            <w:pPr>
              <w:pStyle w:val="ListBullet2"/>
            </w:pPr>
            <w:r w:rsidRPr="00286EAF">
              <w:t>Demonstrate an understanding of the essential knowledge and associated skills as described in this unit to such an extent that the learner’s performance outcom</w:t>
            </w:r>
            <w:r w:rsidRPr="00286EAF">
              <w:t>e is reported in accordance with the preferred approach; namely a percentile graded result, where required by the regulated environment; and</w:t>
            </w:r>
          </w:p>
          <w:p w:rsidR="00000000" w:rsidRPr="00286EAF" w:rsidP="00286EAF">
            <w:pPr>
              <w:pStyle w:val="ListBullet2"/>
            </w:pPr>
            <w:r w:rsidRPr="00286EAF">
              <w:t>Demonstrate an appropriate level of employability skills; and</w:t>
            </w:r>
          </w:p>
          <w:p w:rsidR="00000000" w:rsidRPr="00286EAF" w:rsidP="00286EAF">
            <w:pPr>
              <w:pStyle w:val="ListBullet"/>
            </w:pPr>
            <w:r w:rsidRPr="00286EAF">
              <w:t>Conduct work observing the relevant Anti Discriminati</w:t>
            </w:r>
            <w:r w:rsidRPr="00286EAF">
              <w:t>on legislation, regulations, policies and workplace procedures; and</w:t>
            </w:r>
          </w:p>
          <w:p w:rsidR="00000000" w:rsidP="00286EAF">
            <w:pPr>
              <w:pStyle w:val="ListBullet2"/>
              <w:rPr>
                <w:lang w:val="en-NZ"/>
              </w:rPr>
            </w:pPr>
            <w:r w:rsidRPr="00286EAF">
              <w:t>Demonstrated performance across a representative range of contexts from the prescribed items below:</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86EA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rPr>
                <w:rStyle w:val="SpecialBold"/>
              </w:rPr>
              <w:t>Range of tools/equipment/materials/procedures/workplaces/other variables</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86EA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AF" w:rsidP="00286EAF">
            <w:pPr>
              <w:pStyle w:val="BodyText"/>
            </w:pPr>
            <w:r w:rsidRPr="00286EA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AF" w:rsidP="00286EAF">
            <w:pPr>
              <w:pStyle w:val="BodyText"/>
            </w:pPr>
            <w:r w:rsidRPr="00286EA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rPr>
                <w:rStyle w:val="SpecialBold"/>
              </w:rPr>
              <w:t>Item List</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AF" w:rsidP="00286EAF">
            <w:pPr>
              <w:pStyle w:val="BodyText"/>
            </w:pPr>
            <w:r w:rsidRPr="00286EAF">
              <w:t>Approvals/clearances</w:t>
            </w:r>
          </w:p>
          <w:p w:rsidR="00000000" w:rsidP="00286EAF">
            <w:pPr>
              <w:pStyle w:val="BodyText"/>
              <w:rPr>
                <w:lang w:val="en-NZ"/>
              </w:rPr>
            </w:pPr>
            <w:r w:rsidRPr="00286EAF">
              <w:t>Access permits</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AF" w:rsidP="00286EAF">
            <w:pPr>
              <w:pStyle w:val="BodyText"/>
            </w:pPr>
            <w:r w:rsidRPr="00286EAF">
              <w:t>Operating sticks</w:t>
            </w:r>
          </w:p>
          <w:p w:rsidR="00000000" w:rsidRPr="00286EAF" w:rsidP="00286EAF">
            <w:pPr>
              <w:pStyle w:val="BodyText"/>
            </w:pPr>
            <w:r w:rsidRPr="00286EAF">
              <w:t>Operating earths</w:t>
            </w:r>
          </w:p>
          <w:p w:rsidR="00000000" w:rsidP="00286EAF">
            <w:pPr>
              <w:pStyle w:val="BodyText"/>
              <w:rPr>
                <w:lang w:val="en-NZ"/>
              </w:rPr>
            </w:pPr>
            <w:r w:rsidRPr="00286EAF">
              <w:t>Voltage detectors</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AF" w:rsidP="00286EAF">
            <w:pPr>
              <w:pStyle w:val="BodyText"/>
            </w:pPr>
            <w:r w:rsidRPr="00286EAF">
              <w:t>Phasing equipment</w:t>
            </w:r>
          </w:p>
          <w:p w:rsidR="00000000" w:rsidP="00286EAF">
            <w:pPr>
              <w:pStyle w:val="BodyText"/>
              <w:rPr>
                <w:lang w:val="en-NZ"/>
              </w:rPr>
            </w:pPr>
            <w:r w:rsidRPr="00286EAF">
              <w:t>Ground equipment isolating handles and earths</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AF" w:rsidP="00286EAF">
            <w:pPr>
              <w:pStyle w:val="BodyText"/>
            </w:pPr>
            <w:r w:rsidRPr="00286EAF">
              <w:t>Links</w:t>
            </w:r>
          </w:p>
          <w:p w:rsidR="00000000" w:rsidRPr="00286EAF" w:rsidP="00286EAF">
            <w:pPr>
              <w:pStyle w:val="BodyText"/>
            </w:pPr>
            <w:r w:rsidRPr="00286EAF">
              <w:t>Air break switches</w:t>
            </w:r>
          </w:p>
          <w:p w:rsidR="00000000" w:rsidP="00286EAF">
            <w:pPr>
              <w:pStyle w:val="BodyText"/>
              <w:rPr>
                <w:lang w:val="en-NZ"/>
              </w:rPr>
            </w:pPr>
            <w:r w:rsidRPr="00286EAF">
              <w:t>Fuses</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Any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AF" w:rsidP="00286EAF">
            <w:pPr>
              <w:pStyle w:val="BodyText"/>
            </w:pPr>
            <w:r w:rsidRPr="00286EAF">
              <w:t>Reclosers</w:t>
            </w:r>
          </w:p>
          <w:p w:rsidR="00000000" w:rsidRPr="00286EAF" w:rsidP="00286EAF">
            <w:pPr>
              <w:pStyle w:val="BodyText"/>
            </w:pPr>
            <w:r w:rsidRPr="00286EAF">
              <w:t>Ring main units</w:t>
            </w:r>
          </w:p>
          <w:p w:rsidR="00000000" w:rsidP="00286EAF">
            <w:pPr>
              <w:pStyle w:val="BodyText"/>
              <w:rPr>
                <w:lang w:val="en-NZ"/>
              </w:rPr>
            </w:pPr>
            <w:r w:rsidRPr="00286EAF">
              <w:t>Circuit breakers</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AF">
            <w:pPr>
              <w:pStyle w:val="BodyText"/>
              <w:rPr>
                <w:lang w:val="en-NZ"/>
              </w:rPr>
            </w:pPr>
            <w:r w:rsidRPr="00286EA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AF" w:rsidP="00286EAF">
            <w:pPr>
              <w:pStyle w:val="BodyText"/>
            </w:pPr>
            <w:r w:rsidRPr="00286EAF">
              <w:t>Dealing with an unplanned event by drawing on essential knowledge and associated skills to provide appropriate solutions incorporated in the holistic assessment with the above listed items.</w:t>
            </w:r>
          </w:p>
        </w:tc>
      </w:tr>
    </w:tbl>
    <w:p w:rsidR="00000000" w:rsidRPr="00286EAF" w:rsidP="00286EAF">
      <w:pPr>
        <w:pStyle w:val="BodyText"/>
      </w:pPr>
    </w:p>
    <w:tbl>
      <w:tblPr>
        <w:tblW w:w="0" w:type="auto"/>
        <w:tblLayout w:type="fixed"/>
        <w:tblCellMar>
          <w:left w:w="62" w:type="dxa"/>
          <w:right w:w="62" w:type="dxa"/>
        </w:tblCellMar>
        <w:tblLook w:val="0000"/>
      </w:tblPr>
      <w:tblGrid>
        <w:gridCol w:w="1890"/>
        <w:gridCol w:w="6570"/>
      </w:tblGrid>
      <w:tr w:rsidTr="009E705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9.3)</w:t>
            </w:r>
          </w:p>
        </w:tc>
      </w:tr>
      <w:tr w:rsidTr="009E705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This uni</w:t>
            </w:r>
            <w:r w:rsidRPr="00286EAF">
              <w:t>t should be assessed as it relates to normal work practice using procedures, information and resources typical of a workplace. This should include:</w:t>
            </w:r>
          </w:p>
          <w:p w:rsidR="00000000" w:rsidRPr="00286EAF" w:rsidP="00286EAF">
            <w:pPr>
              <w:pStyle w:val="ListBullet"/>
            </w:pPr>
            <w:r w:rsidRPr="00286EAF">
              <w:t>OHS policy and work procedures and instructions.</w:t>
            </w:r>
          </w:p>
          <w:p w:rsidR="00000000" w:rsidRPr="00286EAF" w:rsidP="00286EAF">
            <w:pPr>
              <w:pStyle w:val="ListBullet"/>
            </w:pPr>
            <w:r w:rsidRPr="00286EAF">
              <w:t>Suitable work environment, facilities, equipment and materi</w:t>
            </w:r>
            <w:r w:rsidRPr="00286EAF">
              <w:t xml:space="preserve">als to undertake actual substation switching to a given schedule. </w:t>
            </w:r>
          </w:p>
          <w:p w:rsidR="00000000" w:rsidRPr="00286EAF" w:rsidP="00286EAF">
            <w:pPr>
              <w:pStyle w:val="BodyText"/>
            </w:pPr>
            <w:r w:rsidRPr="00286EAF">
              <w:t xml:space="preserve">In addition to the resources listed above, in Context of and specific resources for assessment, evidence should show demonstrated competency </w:t>
            </w:r>
            <w:r w:rsidRPr="00286EAF">
              <w:t>working below ground, in limited spaces, with different structural/construction types and method and in a variety of environments.</w:t>
            </w:r>
          </w:p>
        </w:tc>
      </w:tr>
    </w:tbl>
    <w:p w:rsidR="00000000" w:rsidRPr="00286EAF" w:rsidP="00286EAF">
      <w:pPr>
        <w:pStyle w:val="BodyText"/>
      </w:pPr>
    </w:p>
    <w:tbl>
      <w:tblPr>
        <w:tblW w:w="0" w:type="auto"/>
        <w:tblLayout w:type="fixed"/>
        <w:tblCellMar>
          <w:left w:w="62" w:type="dxa"/>
          <w:right w:w="62" w:type="dxa"/>
        </w:tblCellMar>
        <w:tblLook w:val="0000"/>
      </w:tblPr>
      <w:tblGrid>
        <w:gridCol w:w="1890"/>
        <w:gridCol w:w="6570"/>
      </w:tblGrid>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9.4)</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This Competency Standard Unit shall be assessed by methods given in Volume 1, Part 3 “Assessmen</w:t>
            </w:r>
            <w:r w:rsidRPr="00286EAF">
              <w:t>t Guidelines”.</w:t>
            </w:r>
          </w:p>
          <w:p w:rsidR="00000000" w:rsidRPr="00286EAF" w:rsidP="00286EAF">
            <w:pPr>
              <w:pStyle w:val="BodyText"/>
            </w:pPr>
            <w:r w:rsidRPr="00286EAF">
              <w:t>Note:</w:t>
            </w:r>
          </w:p>
          <w:p w:rsidR="00000000" w:rsidRPr="00286EAF" w:rsidP="00286EAF">
            <w:pPr>
              <w:pStyle w:val="BodyText"/>
            </w:pPr>
            <w:r w:rsidRPr="00286EAF">
              <w:t>Competent performance with inherent safe working practices is expected in the Industry to which this Competency Standard Unit applies. This requires that the specified essential knowledge and associated skills are assessed in a structu</w:t>
            </w:r>
            <w:r w:rsidRPr="00286EAF">
              <w:t>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286EAF" w:rsidP="00286EAF">
      <w:pPr>
        <w:pStyle w:val="BodyText"/>
      </w:pPr>
    </w:p>
    <w:tbl>
      <w:tblPr>
        <w:tblW w:w="0" w:type="auto"/>
        <w:tblLayout w:type="fixed"/>
        <w:tblCellMar>
          <w:left w:w="62" w:type="dxa"/>
          <w:right w:w="62" w:type="dxa"/>
        </w:tblCellMar>
        <w:tblLook w:val="0000"/>
      </w:tblPr>
      <w:tblGrid>
        <w:gridCol w:w="1890"/>
        <w:gridCol w:w="6570"/>
      </w:tblGrid>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Concurrent assessmen</w:t>
            </w:r>
            <w:r w:rsidRPr="00286EAF">
              <w:rPr>
                <w:rStyle w:val="SpecialBold"/>
              </w:rPr>
              <w:t>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9.5)</w:t>
            </w:r>
          </w:p>
        </w:tc>
      </w:tr>
      <w:tr w:rsidTr="009E70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There are no concurrent assessment recommendations for this unit.</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11" w:name="O_462495"/>
      <w:bookmarkEnd w:id="11"/>
      <w:r w:rsidRPr="00286EAF">
        <w:t>Range Statement</w:t>
      </w:r>
    </w:p>
    <w:tbl>
      <w:tblPr>
        <w:tblW w:w="0" w:type="auto"/>
        <w:tblLayout w:type="fixed"/>
        <w:tblCellMar>
          <w:left w:w="62" w:type="dxa"/>
          <w:right w:w="62" w:type="dxa"/>
        </w:tblCellMar>
        <w:tblLook w:val="0000"/>
      </w:tblPr>
      <w:tblGrid>
        <w:gridCol w:w="8460"/>
      </w:tblGrid>
      <w:tr w:rsidTr="009E70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RANGE STATEMENT</w:t>
            </w:r>
          </w:p>
        </w:tc>
      </w:tr>
      <w:tr w:rsidTr="009E70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10)</w:t>
            </w:r>
            <w:r w:rsidRPr="00286EAF">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86EAF" w:rsidP="00286EAF">
            <w:pPr>
              <w:pStyle w:val="BodyText"/>
            </w:pPr>
            <w:r w:rsidRPr="00286EAF">
              <w:t xml:space="preserve">This Competency Standard Unit </w:t>
            </w:r>
            <w:r w:rsidRPr="00286EAF">
              <w:t>shall be demonstrated in relation to the carrying out of switching operations in a substation in accordance to a given instructions and switching schedule.</w:t>
            </w:r>
          </w:p>
          <w:p w:rsidR="00000000" w:rsidRPr="00286EAF" w:rsidP="00286EAF">
            <w:pPr>
              <w:pStyle w:val="BodyText"/>
            </w:pPr>
            <w:r w:rsidRPr="00286EAF">
              <w:t>Switchgear includes ring main units, circuit breakers, isolators, earth switches, HV links, air brea</w:t>
            </w:r>
            <w:r w:rsidRPr="00286EAF">
              <w:t>k switches, capacitor banks, reactor banks, line/wave traps and fuses. (Refer to Definition 25)</w:t>
            </w:r>
          </w:p>
          <w:p w:rsidR="00000000" w:rsidRPr="00286EAF" w:rsidP="00286EAF">
            <w:pPr>
              <w:pStyle w:val="BodyText"/>
            </w:pPr>
            <w:r w:rsidRPr="00286EAF">
              <w:t xml:space="preserve">Specialist tools include HV phasing sticks, HV link sticks, HV live-line clamp operating sticks, HV ground transformer isolating handles and associated earths, </w:t>
            </w:r>
            <w:r w:rsidRPr="00286EAF">
              <w:t>HV overhead operating earths and HV detectors.</w:t>
            </w:r>
          </w:p>
          <w:p w:rsidR="00000000" w:rsidRPr="00286EAF" w:rsidP="00286EAF">
            <w:pPr>
              <w:pStyle w:val="BodyText"/>
            </w:pPr>
            <w:r w:rsidRPr="00286EAF">
              <w:t>Switching program/schedule including necessary detail, e.g. structure, switch or equipment number; locations; HV feeder; outage times; works plan/order.</w:t>
            </w:r>
          </w:p>
          <w:p w:rsidR="00000000" w:rsidRPr="00286EAF" w:rsidP="00286EAF">
            <w:pPr>
              <w:pStyle w:val="BodyText"/>
            </w:pPr>
            <w:r w:rsidRPr="00286EAF">
              <w:t>The following constants and variables included in the el</w:t>
            </w:r>
            <w:r w:rsidRPr="00286EAF">
              <w:t>ement/Performance Criteria in this unit are fully described in the Definitions Section 1 of this volume and form an integral part of the Range Statement of this unit:</w:t>
            </w:r>
          </w:p>
          <w:p w:rsidR="00000000" w:rsidRPr="00286EAF" w:rsidP="00286EAF">
            <w:pPr>
              <w:pStyle w:val="ListBullet3"/>
            </w:pPr>
            <w:r w:rsidRPr="00286EAF">
              <w:t>Appropriate and relevant persons (see Personnel)</w:t>
            </w:r>
          </w:p>
          <w:p w:rsidR="00000000" w:rsidRPr="00286EAF" w:rsidP="00286EAF">
            <w:pPr>
              <w:pStyle w:val="ListBullet3"/>
            </w:pPr>
            <w:r w:rsidRPr="00286EAF">
              <w:t>Appropriate authorities</w:t>
            </w:r>
          </w:p>
          <w:p w:rsidR="00000000" w:rsidRPr="00286EAF" w:rsidP="00286EAF">
            <w:pPr>
              <w:pStyle w:val="ListBullet3"/>
            </w:pPr>
            <w:r w:rsidRPr="00286EAF">
              <w:t>Appropriate work platform</w:t>
            </w:r>
          </w:p>
          <w:p w:rsidR="00000000" w:rsidRPr="00286EAF" w:rsidP="00286EAF">
            <w:pPr>
              <w:pStyle w:val="ListBullet3"/>
            </w:pPr>
            <w:r w:rsidRPr="00286EAF">
              <w:t>Assessing risk</w:t>
            </w:r>
          </w:p>
          <w:p w:rsidR="00000000" w:rsidRPr="00286EAF" w:rsidP="00286EAF">
            <w:pPr>
              <w:pStyle w:val="ListBullet3"/>
            </w:pPr>
            <w:r w:rsidRPr="00286EAF">
              <w:t>Assessment</w:t>
            </w:r>
          </w:p>
          <w:p w:rsidR="00000000" w:rsidRPr="00286EAF" w:rsidP="00286EAF">
            <w:pPr>
              <w:pStyle w:val="ListBullet3"/>
            </w:pPr>
            <w:r w:rsidRPr="00286EAF">
              <w:t>Authorisation</w:t>
            </w:r>
          </w:p>
          <w:p w:rsidR="00000000" w:rsidRPr="00286EAF" w:rsidP="00286EAF">
            <w:pPr>
              <w:pStyle w:val="ListBullet3"/>
            </w:pPr>
            <w:r w:rsidRPr="00286EAF">
              <w:t>Confined space</w:t>
            </w:r>
          </w:p>
          <w:p w:rsidR="00000000" w:rsidRPr="00286EAF" w:rsidP="00286EAF">
            <w:pPr>
              <w:pStyle w:val="ListBullet3"/>
            </w:pPr>
            <w:r w:rsidRPr="00286EAF">
              <w:t>Diagnostic, testing and restoration</w:t>
            </w:r>
          </w:p>
          <w:p w:rsidR="00000000" w:rsidRPr="00286EAF" w:rsidP="00286EAF">
            <w:pPr>
              <w:pStyle w:val="ListBullet3"/>
            </w:pPr>
            <w:r w:rsidRPr="00286EAF">
              <w:t>Documenting detail work events, record keeping and or storage of information</w:t>
            </w:r>
          </w:p>
          <w:p w:rsidR="00000000" w:rsidRPr="00286EAF" w:rsidP="00286EAF">
            <w:pPr>
              <w:pStyle w:val="ListBullet3"/>
            </w:pPr>
            <w:r w:rsidRPr="00286EAF">
              <w:t>Drawings and specifications</w:t>
            </w:r>
          </w:p>
          <w:p w:rsidR="00000000" w:rsidRPr="00286EAF" w:rsidP="00286EAF">
            <w:pPr>
              <w:pStyle w:val="ListBullet3"/>
            </w:pPr>
            <w:r w:rsidRPr="00286EAF">
              <w:t>Emergency</w:t>
            </w:r>
          </w:p>
          <w:p w:rsidR="00000000" w:rsidRPr="00286EAF" w:rsidP="00286EAF">
            <w:pPr>
              <w:pStyle w:val="ListBullet3"/>
            </w:pPr>
            <w:r w:rsidRPr="00286EAF">
              <w:t>Environmental and sustai</w:t>
            </w:r>
            <w:r w:rsidRPr="00286EAF">
              <w:t>nable energy procedures</w:t>
            </w:r>
          </w:p>
          <w:p w:rsidR="00000000" w:rsidRPr="00286EAF" w:rsidP="00286EAF">
            <w:pPr>
              <w:pStyle w:val="ListBullet3"/>
            </w:pPr>
            <w:r w:rsidRPr="00286EAF">
              <w:t>Environmental legislation</w:t>
            </w:r>
          </w:p>
          <w:p w:rsidR="00000000" w:rsidRPr="00286EAF" w:rsidP="00286EAF">
            <w:pPr>
              <w:pStyle w:val="ListBullet3"/>
            </w:pPr>
            <w:r w:rsidRPr="00286EAF">
              <w:t>Environmental management documentation</w:t>
            </w:r>
          </w:p>
          <w:p w:rsidR="00000000" w:rsidRPr="00286EAF" w:rsidP="00286EAF">
            <w:pPr>
              <w:pStyle w:val="ListBullet3"/>
            </w:pPr>
            <w:r w:rsidRPr="00286EAF">
              <w:t>Established procedures</w:t>
            </w:r>
          </w:p>
          <w:p w:rsidR="00000000" w:rsidRPr="00286EAF" w:rsidP="00286EAF">
            <w:pPr>
              <w:pStyle w:val="ListBullet3"/>
            </w:pPr>
            <w:r w:rsidRPr="00286EAF">
              <w:t>Fall prevention</w:t>
            </w:r>
          </w:p>
          <w:p w:rsidR="00000000" w:rsidRPr="00286EAF" w:rsidP="00286EAF">
            <w:pPr>
              <w:pStyle w:val="ListBullet3"/>
            </w:pPr>
            <w:r w:rsidRPr="00286EAF">
              <w:t>Hazards</w:t>
            </w:r>
          </w:p>
          <w:p w:rsidR="00000000" w:rsidRPr="00286EAF" w:rsidP="00286EAF">
            <w:pPr>
              <w:pStyle w:val="ListBullet3"/>
            </w:pPr>
            <w:r w:rsidRPr="00286EAF">
              <w:t>Identifying hazards</w:t>
            </w:r>
          </w:p>
          <w:p w:rsidR="00000000" w:rsidRPr="00286EAF" w:rsidP="00286EAF">
            <w:pPr>
              <w:pStyle w:val="ListBullet3"/>
            </w:pPr>
            <w:r w:rsidRPr="00286EAF">
              <w:t>Inspect</w:t>
            </w:r>
          </w:p>
          <w:p w:rsidR="00000000" w:rsidRPr="00286EAF" w:rsidP="00286EAF">
            <w:pPr>
              <w:pStyle w:val="ListBullet3"/>
            </w:pPr>
            <w:r w:rsidRPr="00286EAF">
              <w:t>Legislation</w:t>
            </w:r>
          </w:p>
          <w:p w:rsidR="00000000" w:rsidRPr="00286EAF" w:rsidP="00286EAF">
            <w:pPr>
              <w:pStyle w:val="ListBullet3"/>
            </w:pPr>
            <w:r w:rsidRPr="00286EAF">
              <w:t>MSDS</w:t>
            </w:r>
          </w:p>
          <w:p w:rsidR="00000000" w:rsidRPr="00286EAF" w:rsidP="00286EAF">
            <w:pPr>
              <w:pStyle w:val="ListBullet3"/>
            </w:pPr>
            <w:r w:rsidRPr="00286EAF">
              <w:t>Notification</w:t>
            </w:r>
          </w:p>
          <w:p w:rsidR="00000000" w:rsidRPr="00286EAF" w:rsidP="00286EAF">
            <w:pPr>
              <w:pStyle w:val="ListBullet3"/>
            </w:pPr>
            <w:r w:rsidRPr="00286EAF">
              <w:t>OHS practices</w:t>
            </w:r>
          </w:p>
          <w:p w:rsidR="00000000" w:rsidRPr="00286EAF" w:rsidP="00286EAF">
            <w:pPr>
              <w:pStyle w:val="ListBullet3"/>
            </w:pPr>
            <w:r w:rsidRPr="00286EAF">
              <w:t>OHS issues</w:t>
            </w:r>
          </w:p>
          <w:p w:rsidR="00000000" w:rsidRPr="00286EAF" w:rsidP="00286EAF">
            <w:pPr>
              <w:pStyle w:val="ListBullet3"/>
            </w:pPr>
            <w:r w:rsidRPr="00286EAF">
              <w:t>Permits and/or permits to work</w:t>
            </w:r>
          </w:p>
          <w:p w:rsidR="00000000" w:rsidRPr="00286EAF" w:rsidP="00286EAF">
            <w:pPr>
              <w:pStyle w:val="ListBullet3"/>
            </w:pPr>
            <w:r w:rsidRPr="00286EAF">
              <w:t>Personnel</w:t>
            </w:r>
          </w:p>
          <w:p w:rsidR="00000000" w:rsidRPr="00286EAF" w:rsidP="00286EAF">
            <w:pPr>
              <w:pStyle w:val="ListBullet3"/>
            </w:pPr>
            <w:r w:rsidRPr="00286EAF">
              <w:t>Quality assurance systems</w:t>
            </w:r>
          </w:p>
          <w:p w:rsidR="00000000" w:rsidRPr="00286EAF" w:rsidP="00286EAF">
            <w:pPr>
              <w:pStyle w:val="ListBullet3"/>
            </w:pPr>
            <w:r w:rsidRPr="00286EAF">
              <w:t>Requirements</w:t>
            </w:r>
          </w:p>
          <w:p w:rsidR="00000000" w:rsidRPr="00286EAF" w:rsidP="00286EAF">
            <w:pPr>
              <w:pStyle w:val="ListBullet3"/>
            </w:pPr>
            <w:r w:rsidRPr="00286EAF">
              <w:t>Testing procedures</w:t>
            </w:r>
          </w:p>
          <w:p w:rsidR="00000000" w:rsidRPr="00286EAF" w:rsidP="00286EAF">
            <w:pPr>
              <w:pStyle w:val="ListBullet3"/>
            </w:pPr>
            <w:r w:rsidRPr="00286EAF">
              <w:t>Work clearance systems</w:t>
            </w:r>
          </w:p>
        </w:tc>
      </w:tr>
    </w:tbl>
    <w:p w:rsidR="00000000" w:rsidRPr="00286EAF" w:rsidP="00286EAF">
      <w:pPr>
        <w:pStyle w:val="BodyText"/>
      </w:pPr>
    </w:p>
    <w:p w:rsidR="00000000" w:rsidRPr="00286EAF" w:rsidP="00286EAF">
      <w:pPr>
        <w:pStyle w:val="AllowPageBreak"/>
      </w:pPr>
    </w:p>
    <w:p w:rsidR="00000000" w:rsidRPr="00286EAF" w:rsidP="00286EAF">
      <w:pPr>
        <w:pStyle w:val="Heading1"/>
      </w:pPr>
      <w:bookmarkStart w:id="12" w:name="O_462498"/>
      <w:bookmarkEnd w:id="12"/>
      <w:r w:rsidRPr="00286EAF">
        <w:t>Unit Sector(s)</w:t>
      </w:r>
    </w:p>
    <w:p w:rsidR="00000000" w:rsidRPr="00286EAF" w:rsidP="00286EAF">
      <w:pPr>
        <w:pStyle w:val="BodyText"/>
      </w:pPr>
      <w:r w:rsidRPr="00286EAF">
        <w:t>Not applicable.</w:t>
      </w:r>
    </w:p>
    <w:p w:rsidR="00000000" w:rsidRPr="00286EAF" w:rsidP="00286EAF">
      <w:pPr>
        <w:pStyle w:val="AllowPageBreak"/>
      </w:pPr>
    </w:p>
    <w:p w:rsidR="00000000" w:rsidRPr="00286EAF" w:rsidP="00286EAF">
      <w:pPr>
        <w:pStyle w:val="Heading1"/>
      </w:pPr>
      <w:bookmarkStart w:id="13" w:name="O_462487"/>
      <w:bookmarkEnd w:id="13"/>
      <w:r w:rsidRPr="00286EAF">
        <w:t>Competency Field</w:t>
      </w:r>
    </w:p>
    <w:tbl>
      <w:tblPr>
        <w:tblW w:w="0" w:type="auto"/>
        <w:tblLayout w:type="fixed"/>
        <w:tblCellMar>
          <w:left w:w="62" w:type="dxa"/>
          <w:right w:w="62" w:type="dxa"/>
        </w:tblCellMar>
        <w:tblLook w:val="0000"/>
      </w:tblPr>
      <w:tblGrid>
        <w:gridCol w:w="2700"/>
        <w:gridCol w:w="5760"/>
      </w:tblGrid>
      <w:tr w:rsidTr="009E70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6EAF">
            <w:pPr>
              <w:pStyle w:val="BodyText"/>
              <w:rPr>
                <w:lang w:val="en-NZ"/>
              </w:rPr>
            </w:pPr>
            <w:r w:rsidRPr="00286EAF">
              <w:rPr>
                <w:rStyle w:val="SpecialBold"/>
              </w:rPr>
              <w:t xml:space="preserve">11) </w:t>
            </w:r>
          </w:p>
        </w:tc>
      </w:tr>
      <w:tr w:rsidTr="009E70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6EAF" w:rsidP="00286EAF">
            <w:pPr>
              <w:pStyle w:val="BodyText"/>
            </w:pPr>
            <w:r w:rsidRPr="00286EAF">
              <w:t>Industry Specific Cross-Discipline Units</w:t>
            </w:r>
          </w:p>
        </w:tc>
      </w:tr>
    </w:tbl>
    <w:p w:rsidR="00000000" w:rsidRPr="00286EAF" w:rsidP="00286EAF">
      <w:pPr>
        <w:pStyle w:val="BodyText"/>
      </w:pPr>
    </w:p>
    <w:p w:rsidR="00000000" w:rsidRPr="00286EAF" w:rsidP="00286EAF"/>
    <w:sectPr w:rsidSect="00286E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05A" w:rsidP="009E70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5A" w:rsidP="00286E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E705A" w:rsidP="00286E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E705A" w:rsidP="00286E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AF" w:rsidRPr="009E705A" w:rsidP="009E70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5A" w:rsidRPr="002D2AF8" w:rsidP="00286EAF">
    <w:pPr>
      <w:pStyle w:val="Header"/>
      <w:framePr w:wrap="around"/>
    </w:pPr>
    <w:r>
      <w:fldChar w:fldCharType="begin"/>
    </w:r>
    <w:r>
      <w:instrText xml:space="preserve"> TITLE   \* MERGEFORMAT </w:instrText>
    </w:r>
    <w:r>
      <w:fldChar w:fldCharType="separate"/>
    </w:r>
    <w:r>
      <w:t>UETTDRIS45A Perform power system substation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E705A" w:rsidP="00286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45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0EA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A7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EAF"/>
    <w:pPr>
      <w:spacing w:before="360" w:after="60"/>
      <w:outlineLvl w:val="0"/>
    </w:pPr>
    <w:rPr>
      <w:sz w:val="32"/>
    </w:rPr>
  </w:style>
  <w:style w:type="paragraph" w:styleId="Heading2">
    <w:name w:val="heading 2"/>
    <w:basedOn w:val="HeadingBase"/>
    <w:next w:val="BodyText"/>
    <w:link w:val="Heading2Char"/>
    <w:qFormat/>
    <w:rsid w:val="00286EAF"/>
    <w:pPr>
      <w:keepLines/>
      <w:spacing w:before="240" w:after="120"/>
      <w:outlineLvl w:val="1"/>
    </w:pPr>
    <w:rPr>
      <w:sz w:val="28"/>
      <w:szCs w:val="40"/>
    </w:rPr>
  </w:style>
  <w:style w:type="paragraph" w:styleId="Heading3">
    <w:name w:val="heading 3"/>
    <w:basedOn w:val="HeadingBase"/>
    <w:next w:val="BodyText"/>
    <w:link w:val="Heading3Char"/>
    <w:qFormat/>
    <w:rsid w:val="00286EAF"/>
    <w:pPr>
      <w:spacing w:before="180" w:after="120"/>
      <w:outlineLvl w:val="2"/>
    </w:pPr>
    <w:rPr>
      <w:spacing w:val="-10"/>
      <w:kern w:val="32"/>
    </w:rPr>
  </w:style>
  <w:style w:type="paragraph" w:styleId="Heading4">
    <w:name w:val="heading 4"/>
    <w:basedOn w:val="HeadingBase"/>
    <w:next w:val="BodyText"/>
    <w:link w:val="Heading4Char"/>
    <w:qFormat/>
    <w:rsid w:val="00286EAF"/>
    <w:pPr>
      <w:spacing w:before="160" w:after="120"/>
      <w:outlineLvl w:val="3"/>
    </w:pPr>
    <w:rPr>
      <w:sz w:val="22"/>
    </w:rPr>
  </w:style>
  <w:style w:type="paragraph" w:styleId="Heading5">
    <w:name w:val="heading 5"/>
    <w:basedOn w:val="HeadingBase"/>
    <w:next w:val="Normal"/>
    <w:link w:val="Heading5Char"/>
    <w:qFormat/>
    <w:rsid w:val="00286EAF"/>
    <w:pPr>
      <w:spacing w:before="80"/>
      <w:outlineLvl w:val="4"/>
    </w:pPr>
    <w:rPr>
      <w:color w:val="918585"/>
      <w:sz w:val="20"/>
    </w:rPr>
  </w:style>
  <w:style w:type="paragraph" w:styleId="Heading6">
    <w:name w:val="heading 6"/>
    <w:basedOn w:val="HeadingBase"/>
    <w:next w:val="Normal"/>
    <w:link w:val="Heading6Char"/>
    <w:qFormat/>
    <w:rsid w:val="00286EAF"/>
    <w:pPr>
      <w:spacing w:before="60"/>
      <w:outlineLvl w:val="5"/>
    </w:pPr>
    <w:rPr>
      <w:color w:val="918585"/>
      <w:sz w:val="20"/>
    </w:rPr>
  </w:style>
  <w:style w:type="paragraph" w:styleId="Heading7">
    <w:name w:val="heading 7"/>
    <w:basedOn w:val="Normal"/>
    <w:next w:val="Normal"/>
    <w:link w:val="Heading7Char"/>
    <w:qFormat/>
    <w:rsid w:val="00286EAF"/>
    <w:pPr>
      <w:ind w:left="720"/>
      <w:outlineLvl w:val="6"/>
    </w:pPr>
    <w:rPr>
      <w:i/>
    </w:rPr>
  </w:style>
  <w:style w:type="paragraph" w:styleId="Heading8">
    <w:name w:val="heading 8"/>
    <w:basedOn w:val="Normal"/>
    <w:next w:val="Normal"/>
    <w:link w:val="Heading8Char"/>
    <w:qFormat/>
    <w:rsid w:val="00286EAF"/>
    <w:pPr>
      <w:ind w:left="720"/>
      <w:outlineLvl w:val="7"/>
    </w:pPr>
    <w:rPr>
      <w:i/>
    </w:rPr>
  </w:style>
  <w:style w:type="paragraph" w:styleId="Heading9">
    <w:name w:val="heading 9"/>
    <w:basedOn w:val="Normal"/>
    <w:next w:val="Normal"/>
    <w:link w:val="Heading9Char"/>
    <w:qFormat/>
    <w:rsid w:val="00286EAF"/>
    <w:pPr>
      <w:ind w:left="720"/>
      <w:outlineLvl w:val="8"/>
    </w:pPr>
    <w:rPr>
      <w:i/>
    </w:rPr>
  </w:style>
  <w:style w:type="character" w:default="1" w:styleId="DefaultParagraphFont">
    <w:name w:val="Default Paragraph Font"/>
    <w:uiPriority w:val="1"/>
    <w:unhideWhenUsed/>
    <w:rsid w:val="00286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EAF"/>
  </w:style>
  <w:style w:type="character" w:customStyle="1" w:styleId="Heading1Char">
    <w:name w:val="Heading 1 Char"/>
    <w:basedOn w:val="DefaultParagraphFont"/>
    <w:link w:val="Heading1"/>
    <w:rsid w:val="00286EAF"/>
    <w:rPr>
      <w:rFonts w:ascii="Times New Roman" w:eastAsia="Times New Roman" w:hAnsi="Times New Roman" w:cs="Times New Roman"/>
      <w:b/>
      <w:sz w:val="32"/>
      <w:szCs w:val="20"/>
      <w:lang w:eastAsia="en-US"/>
    </w:rPr>
  </w:style>
  <w:style w:type="paragraph" w:styleId="BodyText">
    <w:name w:val="Body Text"/>
    <w:basedOn w:val="Normal"/>
    <w:link w:val="BodyTextChar"/>
    <w:rsid w:val="00286E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EAF"/>
    <w:rPr>
      <w:rFonts w:ascii="Times New Roman" w:eastAsia="Times New Roman" w:hAnsi="Times New Roman" w:cs="Times New Roman"/>
      <w:sz w:val="24"/>
      <w:lang w:eastAsia="en-US"/>
    </w:rPr>
  </w:style>
  <w:style w:type="paragraph" w:styleId="Footer">
    <w:name w:val="footer"/>
    <w:basedOn w:val="Normal"/>
    <w:link w:val="FooterChar"/>
    <w:rsid w:val="00286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EAF"/>
    <w:rPr>
      <w:rFonts w:ascii="Times New Roman" w:eastAsia="Times New Roman" w:hAnsi="Times New Roman" w:cs="Times New Roman"/>
      <w:sz w:val="16"/>
      <w:lang w:eastAsia="en-US"/>
    </w:rPr>
  </w:style>
  <w:style w:type="paragraph" w:styleId="ListBullet">
    <w:name w:val="List Bullet"/>
    <w:basedOn w:val="List"/>
    <w:rsid w:val="00286EAF"/>
    <w:pPr>
      <w:numPr>
        <w:numId w:val="14"/>
      </w:numPr>
      <w:tabs>
        <w:tab w:val="clear" w:pos="340"/>
      </w:tabs>
      <w:spacing w:before="40" w:after="40"/>
    </w:pPr>
  </w:style>
  <w:style w:type="character" w:customStyle="1" w:styleId="SpecialBold">
    <w:name w:val="Special Bold"/>
    <w:basedOn w:val="DefaultParagraphFont"/>
    <w:rsid w:val="00286EAF"/>
    <w:rPr>
      <w:b/>
      <w:spacing w:val="0"/>
    </w:rPr>
  </w:style>
  <w:style w:type="paragraph" w:styleId="ListBullet2">
    <w:name w:val="List Bullet 2"/>
    <w:basedOn w:val="List2"/>
    <w:rsid w:val="00286EAF"/>
    <w:pPr>
      <w:numPr>
        <w:numId w:val="15"/>
      </w:numPr>
      <w:tabs>
        <w:tab w:val="clear" w:pos="680"/>
      </w:tabs>
    </w:pPr>
  </w:style>
  <w:style w:type="paragraph" w:customStyle="1" w:styleId="SuperHeading">
    <w:name w:val="SuperHeading"/>
    <w:basedOn w:val="Normal"/>
    <w:rsid w:val="00286EAF"/>
    <w:pPr>
      <w:spacing w:before="240" w:after="120"/>
      <w:outlineLvl w:val="0"/>
    </w:pPr>
    <w:rPr>
      <w:rFonts w:ascii="Times New Roman" w:hAnsi="Times New Roman"/>
      <w:b/>
      <w:sz w:val="28"/>
    </w:rPr>
  </w:style>
  <w:style w:type="paragraph" w:customStyle="1" w:styleId="AllowPageBreak">
    <w:name w:val="AllowPageBreak"/>
    <w:rsid w:val="00286E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6EAF"/>
    <w:pPr>
      <w:numPr>
        <w:numId w:val="3"/>
      </w:numPr>
      <w:tabs>
        <w:tab w:val="clear" w:pos="1021"/>
      </w:tabs>
      <w:ind w:left="1037" w:hanging="357"/>
    </w:pPr>
  </w:style>
  <w:style w:type="character" w:customStyle="1" w:styleId="Heading2Char">
    <w:name w:val="Heading 2 Char"/>
    <w:basedOn w:val="DefaultParagraphFont"/>
    <w:link w:val="Heading2"/>
    <w:rsid w:val="00286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EAF"/>
    <w:rPr>
      <w:rFonts w:ascii="Courier New" w:eastAsia="Times New Roman" w:hAnsi="Courier New" w:cs="Times New Roman"/>
      <w:i/>
      <w:szCs w:val="20"/>
      <w:lang w:eastAsia="en-US"/>
    </w:rPr>
  </w:style>
  <w:style w:type="paragraph" w:customStyle="1" w:styleId="HeadingBase">
    <w:name w:val="Heading Base"/>
    <w:rsid w:val="00286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EAF"/>
    <w:pPr>
      <w:tabs>
        <w:tab w:val="right" w:leader="dot" w:pos="9072"/>
      </w:tabs>
      <w:ind w:left="567"/>
    </w:pPr>
    <w:rPr>
      <w:szCs w:val="22"/>
    </w:rPr>
  </w:style>
  <w:style w:type="paragraph" w:customStyle="1" w:styleId="TOCBase">
    <w:name w:val="TOC Base"/>
    <w:rsid w:val="00286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EAF"/>
    <w:pPr>
      <w:tabs>
        <w:tab w:val="right" w:leader="dot" w:pos="9072"/>
      </w:tabs>
      <w:spacing w:before="40" w:after="40"/>
      <w:ind w:left="284"/>
    </w:pPr>
    <w:rPr>
      <w:rFonts w:ascii="Times New Roman" w:hAnsi="Times New Roman"/>
    </w:rPr>
  </w:style>
  <w:style w:type="paragraph" w:styleId="TOC1">
    <w:name w:val="toc 1"/>
    <w:basedOn w:val="TOCBase"/>
    <w:next w:val="Normal"/>
    <w:rsid w:val="00286E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EAF"/>
    <w:pPr>
      <w:spacing w:before="5040"/>
      <w:jc w:val="center"/>
    </w:pPr>
    <w:rPr>
      <w:sz w:val="48"/>
      <w:szCs w:val="72"/>
      <w:lang w:val="en-US"/>
    </w:rPr>
  </w:style>
  <w:style w:type="character" w:customStyle="1" w:styleId="TitleChar">
    <w:name w:val="Title Char"/>
    <w:basedOn w:val="DefaultParagraphFont"/>
    <w:link w:val="Title"/>
    <w:rsid w:val="00286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EAF"/>
    <w:pPr>
      <w:tabs>
        <w:tab w:val="left" w:pos="3600"/>
        <w:tab w:val="left" w:pos="3958"/>
      </w:tabs>
    </w:pPr>
  </w:style>
  <w:style w:type="paragraph" w:styleId="List">
    <w:name w:val="List"/>
    <w:basedOn w:val="BodyText"/>
    <w:next w:val="BodyText"/>
    <w:rsid w:val="00286EAF"/>
    <w:pPr>
      <w:tabs>
        <w:tab w:val="left" w:pos="340"/>
      </w:tabs>
      <w:spacing w:before="60" w:after="60"/>
      <w:ind w:left="340" w:hanging="340"/>
    </w:pPr>
  </w:style>
  <w:style w:type="paragraph" w:customStyle="1" w:styleId="Note">
    <w:name w:val="Note"/>
    <w:basedOn w:val="BodyText"/>
    <w:rsid w:val="00286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EAF"/>
    <w:pPr>
      <w:framePr w:wrap="auto" w:hAnchor="text" w:y="6049"/>
    </w:pPr>
    <w:rPr>
      <w:color w:val="000000"/>
      <w:sz w:val="40"/>
    </w:rPr>
  </w:style>
  <w:style w:type="paragraph" w:customStyle="1" w:styleId="TOCTitle">
    <w:name w:val="TOCTitle"/>
    <w:basedOn w:val="Heading1"/>
    <w:rsid w:val="00286EAF"/>
    <w:pPr>
      <w:spacing w:after="240"/>
      <w:jc w:val="center"/>
      <w:outlineLvl w:val="9"/>
    </w:pPr>
    <w:rPr>
      <w:caps/>
    </w:rPr>
  </w:style>
  <w:style w:type="paragraph" w:customStyle="1" w:styleId="Version">
    <w:name w:val="Version"/>
    <w:rsid w:val="00286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EAF"/>
    <w:pPr>
      <w:keepNext w:val="0"/>
      <w:tabs>
        <w:tab w:val="right" w:pos="4176"/>
      </w:tabs>
      <w:ind w:left="198" w:hanging="198"/>
    </w:pPr>
    <w:rPr>
      <w:rFonts w:ascii="Garamond" w:hAnsi="Garamond"/>
    </w:rPr>
  </w:style>
  <w:style w:type="paragraph" w:styleId="IndexHeading">
    <w:name w:val="index heading"/>
    <w:basedOn w:val="Normal"/>
    <w:next w:val="Index1"/>
    <w:semiHidden/>
    <w:rsid w:val="00286EAF"/>
    <w:pPr>
      <w:spacing w:before="120" w:after="120"/>
    </w:pPr>
    <w:rPr>
      <w:rFonts w:ascii="Arial" w:hAnsi="Arial"/>
      <w:b/>
      <w:color w:val="918585"/>
      <w:sz w:val="24"/>
    </w:rPr>
  </w:style>
  <w:style w:type="paragraph" w:styleId="Header">
    <w:name w:val="header"/>
    <w:basedOn w:val="Normal"/>
    <w:link w:val="HeaderChar"/>
    <w:rsid w:val="00286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EAF"/>
    <w:rPr>
      <w:rFonts w:ascii="Times New Roman" w:eastAsia="Times New Roman" w:hAnsi="Times New Roman" w:cs="Times New Roman"/>
      <w:sz w:val="16"/>
      <w:szCs w:val="20"/>
      <w:lang w:val="en-GB" w:eastAsia="en-US"/>
    </w:rPr>
  </w:style>
  <w:style w:type="paragraph" w:customStyle="1" w:styleId="Chapter">
    <w:name w:val="Chapter"/>
    <w:basedOn w:val="Normal"/>
    <w:rsid w:val="00286EAF"/>
    <w:pPr>
      <w:spacing w:before="240"/>
    </w:pPr>
    <w:rPr>
      <w:rFonts w:ascii="Times New Roman" w:hAnsi="Times New Roman"/>
      <w:smallCaps/>
      <w:spacing w:val="80"/>
      <w:sz w:val="28"/>
    </w:rPr>
  </w:style>
  <w:style w:type="paragraph" w:customStyle="1" w:styleId="InChapter">
    <w:name w:val="InChapter"/>
    <w:basedOn w:val="Heading3"/>
    <w:rsid w:val="00286EAF"/>
    <w:pPr>
      <w:spacing w:after="240"/>
      <w:outlineLvl w:val="9"/>
    </w:pPr>
    <w:rPr>
      <w:noProof/>
    </w:rPr>
  </w:style>
  <w:style w:type="paragraph" w:styleId="Index2">
    <w:name w:val="index 2"/>
    <w:basedOn w:val="Normal"/>
    <w:next w:val="Normal"/>
    <w:semiHidden/>
    <w:rsid w:val="00286EAF"/>
    <w:pPr>
      <w:tabs>
        <w:tab w:val="right" w:pos="4176"/>
      </w:tabs>
      <w:ind w:left="568" w:hanging="284"/>
    </w:pPr>
    <w:rPr>
      <w:rFonts w:ascii="Garamond" w:hAnsi="Garamond"/>
    </w:rPr>
  </w:style>
  <w:style w:type="paragraph" w:customStyle="1" w:styleId="Byline">
    <w:name w:val="Byline"/>
    <w:rsid w:val="00286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EAF"/>
    <w:pPr>
      <w:tabs>
        <w:tab w:val="clear" w:pos="3600"/>
        <w:tab w:val="clear" w:pos="3958"/>
      </w:tabs>
      <w:jc w:val="right"/>
    </w:pPr>
  </w:style>
  <w:style w:type="character" w:styleId="Emphasis">
    <w:name w:val="Emphasis"/>
    <w:basedOn w:val="DefaultParagraphFont"/>
    <w:qFormat/>
    <w:rsid w:val="00286EAF"/>
    <w:rPr>
      <w:i/>
    </w:rPr>
  </w:style>
  <w:style w:type="paragraph" w:styleId="Caption">
    <w:name w:val="caption"/>
    <w:basedOn w:val="BodyText"/>
    <w:next w:val="Normal"/>
    <w:qFormat/>
    <w:rsid w:val="00286EAF"/>
    <w:pPr>
      <w:framePr w:w="2268" w:hSpace="181" w:vSpace="181" w:wrap="around" w:vAnchor="text" w:hAnchor="page" w:x="1135" w:y="285" w:anchorLock="1"/>
    </w:pPr>
    <w:rPr>
      <w:i/>
    </w:rPr>
  </w:style>
  <w:style w:type="paragraph" w:customStyle="1" w:styleId="MiniTOCTitle">
    <w:name w:val="MiniTOCTitle"/>
    <w:basedOn w:val="Heading4"/>
    <w:rsid w:val="00286EAF"/>
    <w:pPr>
      <w:spacing w:before="240"/>
      <w:outlineLvl w:val="9"/>
    </w:pPr>
    <w:rPr>
      <w:noProof/>
      <w:sz w:val="24"/>
    </w:rPr>
  </w:style>
  <w:style w:type="paragraph" w:customStyle="1" w:styleId="MiniTOCItem">
    <w:name w:val="MiniTOCItem"/>
    <w:basedOn w:val="ListBullet"/>
    <w:rsid w:val="00286EAF"/>
    <w:pPr>
      <w:numPr>
        <w:numId w:val="0"/>
      </w:numPr>
      <w:tabs>
        <w:tab w:val="right" w:leader="dot" w:pos="6521"/>
      </w:tabs>
      <w:spacing w:before="0" w:after="0"/>
    </w:pPr>
  </w:style>
  <w:style w:type="paragraph" w:customStyle="1" w:styleId="TOFTitle">
    <w:name w:val="TOFTitle"/>
    <w:basedOn w:val="TOCTitle"/>
    <w:rsid w:val="00286EAF"/>
  </w:style>
  <w:style w:type="paragraph" w:styleId="TableofFigures">
    <w:name w:val="table of figures"/>
    <w:basedOn w:val="Normal"/>
    <w:next w:val="Normal"/>
    <w:semiHidden/>
    <w:rsid w:val="00286EAF"/>
    <w:pPr>
      <w:tabs>
        <w:tab w:val="right" w:leader="dot" w:pos="9072"/>
      </w:tabs>
      <w:ind w:left="970" w:hanging="403"/>
    </w:pPr>
    <w:rPr>
      <w:rFonts w:ascii="Times New Roman" w:hAnsi="Times New Roman"/>
      <w:b/>
    </w:rPr>
  </w:style>
  <w:style w:type="paragraph" w:styleId="ListNumber">
    <w:name w:val="List Number"/>
    <w:basedOn w:val="List"/>
    <w:rsid w:val="00286EAF"/>
    <w:pPr>
      <w:numPr>
        <w:numId w:val="12"/>
      </w:numPr>
    </w:pPr>
  </w:style>
  <w:style w:type="character" w:customStyle="1" w:styleId="WingdingSymbols">
    <w:name w:val="Wingding Symbols"/>
    <w:rsid w:val="00286EAF"/>
    <w:rPr>
      <w:rFonts w:ascii="Wingdings" w:hAnsi="Wingdings"/>
    </w:rPr>
  </w:style>
  <w:style w:type="paragraph" w:customStyle="1" w:styleId="TableHeading">
    <w:name w:val="Table Heading"/>
    <w:basedOn w:val="HeadingBase"/>
    <w:rsid w:val="00286EAF"/>
    <w:pPr>
      <w:keepLines/>
      <w:pBdr>
        <w:bottom w:val="single" w:sz="6" w:space="1" w:color="918585"/>
      </w:pBdr>
      <w:spacing w:before="240"/>
    </w:pPr>
  </w:style>
  <w:style w:type="character" w:customStyle="1" w:styleId="HotSpot">
    <w:name w:val="HotSpot"/>
    <w:rsid w:val="00286EAF"/>
    <w:rPr>
      <w:color w:val="0033CC"/>
      <w:u w:val="none"/>
    </w:rPr>
  </w:style>
  <w:style w:type="paragraph" w:customStyle="1" w:styleId="BodyTextRight">
    <w:name w:val="Body Text Right"/>
    <w:basedOn w:val="BodyText"/>
    <w:rsid w:val="00286EAF"/>
    <w:pPr>
      <w:spacing w:before="0" w:after="0"/>
      <w:jc w:val="right"/>
    </w:pPr>
  </w:style>
  <w:style w:type="paragraph" w:styleId="Index3">
    <w:name w:val="index 3"/>
    <w:basedOn w:val="ListNumber2"/>
    <w:next w:val="Normal"/>
    <w:semiHidden/>
    <w:rsid w:val="00286EAF"/>
    <w:pPr>
      <w:numPr>
        <w:numId w:val="0"/>
      </w:numPr>
      <w:tabs>
        <w:tab w:val="right" w:leader="dot" w:pos="4176"/>
      </w:tabs>
    </w:pPr>
  </w:style>
  <w:style w:type="paragraph" w:styleId="ListNumber2">
    <w:name w:val="List Number 2"/>
    <w:basedOn w:val="List2"/>
    <w:rsid w:val="00286EAF"/>
    <w:pPr>
      <w:numPr>
        <w:numId w:val="11"/>
      </w:numPr>
      <w:tabs>
        <w:tab w:val="clear" w:pos="1060"/>
      </w:tabs>
    </w:pPr>
  </w:style>
  <w:style w:type="paragraph" w:customStyle="1" w:styleId="MarginNote">
    <w:name w:val="Margin Note"/>
    <w:basedOn w:val="BodyText"/>
    <w:rsid w:val="00286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EAF"/>
    <w:rPr>
      <w:sz w:val="32"/>
    </w:rPr>
  </w:style>
  <w:style w:type="paragraph" w:customStyle="1" w:styleId="HeadingProcedure">
    <w:name w:val="Heading Procedure"/>
    <w:basedOn w:val="HeadingBase"/>
    <w:next w:val="Normal"/>
    <w:rsid w:val="00286EAF"/>
    <w:pPr>
      <w:tabs>
        <w:tab w:val="left" w:pos="0"/>
      </w:tabs>
      <w:spacing w:before="120" w:after="60"/>
    </w:pPr>
    <w:rPr>
      <w:i/>
      <w:color w:val="918585"/>
      <w:sz w:val="22"/>
    </w:rPr>
  </w:style>
  <w:style w:type="paragraph" w:customStyle="1" w:styleId="TableBodyText">
    <w:name w:val="Table Body Text"/>
    <w:basedOn w:val="BodyText"/>
    <w:rsid w:val="00286EAF"/>
    <w:pPr>
      <w:spacing w:before="60" w:after="60"/>
    </w:pPr>
  </w:style>
  <w:style w:type="paragraph" w:styleId="ListContinue">
    <w:name w:val="List Continue"/>
    <w:basedOn w:val="List"/>
    <w:rsid w:val="00286EAF"/>
    <w:pPr>
      <w:ind w:firstLine="0"/>
    </w:pPr>
  </w:style>
  <w:style w:type="paragraph" w:customStyle="1" w:styleId="ListNote">
    <w:name w:val="List Note"/>
    <w:basedOn w:val="List"/>
    <w:rsid w:val="00286EAF"/>
    <w:pPr>
      <w:pBdr>
        <w:top w:val="single" w:sz="6" w:space="2" w:color="918585"/>
        <w:bottom w:val="single" w:sz="6" w:space="2" w:color="918585"/>
      </w:pBdr>
      <w:tabs>
        <w:tab w:val="left" w:pos="1021"/>
      </w:tabs>
      <w:ind w:firstLine="0"/>
    </w:pPr>
  </w:style>
  <w:style w:type="paragraph" w:customStyle="1" w:styleId="Warning">
    <w:name w:val="Warning"/>
    <w:basedOn w:val="BodyText"/>
    <w:rsid w:val="00286EAF"/>
    <w:pPr>
      <w:shd w:val="clear" w:color="auto" w:fill="D9D9D9"/>
      <w:tabs>
        <w:tab w:val="left" w:pos="992"/>
      </w:tabs>
      <w:ind w:left="119" w:right="119"/>
    </w:pPr>
    <w:rPr>
      <w:sz w:val="20"/>
    </w:rPr>
  </w:style>
  <w:style w:type="paragraph" w:customStyle="1" w:styleId="MarginIcons">
    <w:name w:val="Margin Icons"/>
    <w:basedOn w:val="BodyText"/>
    <w:rsid w:val="00286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EAF"/>
    <w:rPr>
      <w:rFonts w:ascii="Courier New" w:hAnsi="Courier New"/>
    </w:rPr>
  </w:style>
  <w:style w:type="paragraph" w:customStyle="1" w:styleId="NoteBullet">
    <w:name w:val="Note Bullet"/>
    <w:basedOn w:val="Note"/>
    <w:rsid w:val="00286EAF"/>
    <w:pPr>
      <w:tabs>
        <w:tab w:val="clear" w:pos="680"/>
      </w:tabs>
      <w:spacing w:before="60" w:after="60"/>
    </w:pPr>
  </w:style>
  <w:style w:type="paragraph" w:customStyle="1" w:styleId="SubHeading2">
    <w:name w:val="SubHeading2"/>
    <w:basedOn w:val="HeadingBase"/>
    <w:rsid w:val="00286EAF"/>
    <w:pPr>
      <w:spacing w:before="240" w:after="60"/>
    </w:pPr>
    <w:rPr>
      <w:sz w:val="20"/>
    </w:rPr>
  </w:style>
  <w:style w:type="paragraph" w:customStyle="1" w:styleId="SubHeading1">
    <w:name w:val="SubHeading1"/>
    <w:basedOn w:val="HeadingBase"/>
    <w:rsid w:val="00286EAF"/>
    <w:pPr>
      <w:spacing w:before="240" w:after="60"/>
    </w:pPr>
    <w:rPr>
      <w:color w:val="918585"/>
      <w:sz w:val="22"/>
    </w:rPr>
  </w:style>
  <w:style w:type="paragraph" w:customStyle="1" w:styleId="SideHeading">
    <w:name w:val="Side Heading"/>
    <w:basedOn w:val="HeadingBase"/>
    <w:rsid w:val="00286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EAF"/>
    <w:pPr>
      <w:numPr>
        <w:numId w:val="13"/>
      </w:numPr>
    </w:pPr>
  </w:style>
  <w:style w:type="paragraph" w:styleId="PlainText">
    <w:name w:val="Plain Text"/>
    <w:basedOn w:val="Normal"/>
    <w:link w:val="PlainTextChar"/>
    <w:rsid w:val="00286EAF"/>
    <w:rPr>
      <w:sz w:val="20"/>
    </w:rPr>
  </w:style>
  <w:style w:type="character" w:customStyle="1" w:styleId="PlainTextChar">
    <w:name w:val="Plain Text Char"/>
    <w:basedOn w:val="DefaultParagraphFont"/>
    <w:link w:val="PlainText"/>
    <w:rsid w:val="00286EAF"/>
    <w:rPr>
      <w:rFonts w:ascii="Courier New" w:eastAsia="Times New Roman" w:hAnsi="Courier New" w:cs="Times New Roman"/>
      <w:sz w:val="20"/>
      <w:szCs w:val="20"/>
      <w:lang w:eastAsia="en-US"/>
    </w:rPr>
  </w:style>
  <w:style w:type="character" w:customStyle="1" w:styleId="MenuOption">
    <w:name w:val="Menu Option"/>
    <w:basedOn w:val="DefaultParagraphFont"/>
    <w:rsid w:val="00286EAF"/>
    <w:rPr>
      <w:b/>
      <w:smallCaps/>
    </w:rPr>
  </w:style>
  <w:style w:type="paragraph" w:customStyle="1" w:styleId="TableListNumber">
    <w:name w:val="Table List Number"/>
    <w:basedOn w:val="ListNumber"/>
    <w:rsid w:val="00286EAF"/>
    <w:pPr>
      <w:numPr>
        <w:numId w:val="0"/>
      </w:numPr>
    </w:pPr>
  </w:style>
  <w:style w:type="paragraph" w:styleId="TOC4">
    <w:name w:val="toc 4"/>
    <w:basedOn w:val="TOCBase"/>
    <w:next w:val="Normal"/>
    <w:semiHidden/>
    <w:rsid w:val="00286EAF"/>
    <w:pPr>
      <w:tabs>
        <w:tab w:val="right" w:leader="dot" w:pos="9071"/>
      </w:tabs>
      <w:ind w:left="1701"/>
    </w:pPr>
  </w:style>
  <w:style w:type="paragraph" w:customStyle="1" w:styleId="ListAlpha">
    <w:name w:val="List Alpha"/>
    <w:basedOn w:val="List"/>
    <w:rsid w:val="00286EAF"/>
    <w:pPr>
      <w:numPr>
        <w:numId w:val="10"/>
      </w:numPr>
    </w:pPr>
  </w:style>
  <w:style w:type="paragraph" w:customStyle="1" w:styleId="ListAlpha2">
    <w:name w:val="List Alpha 2"/>
    <w:basedOn w:val="List2"/>
    <w:rsid w:val="00286EAF"/>
    <w:pPr>
      <w:numPr>
        <w:numId w:val="9"/>
      </w:numPr>
    </w:pPr>
  </w:style>
  <w:style w:type="paragraph" w:styleId="List2">
    <w:name w:val="List 2"/>
    <w:basedOn w:val="BodyText"/>
    <w:rsid w:val="00286EAF"/>
    <w:pPr>
      <w:tabs>
        <w:tab w:val="left" w:pos="680"/>
      </w:tabs>
      <w:spacing w:before="60" w:after="60"/>
      <w:ind w:left="680" w:hanging="340"/>
    </w:pPr>
  </w:style>
  <w:style w:type="paragraph" w:styleId="List3">
    <w:name w:val="List 3"/>
    <w:basedOn w:val="BodyText"/>
    <w:rsid w:val="00286EAF"/>
    <w:pPr>
      <w:tabs>
        <w:tab w:val="left" w:pos="1021"/>
      </w:tabs>
      <w:spacing w:before="60" w:after="60"/>
      <w:ind w:left="1020" w:hanging="340"/>
    </w:pPr>
  </w:style>
  <w:style w:type="paragraph" w:styleId="List4">
    <w:name w:val="List 4"/>
    <w:basedOn w:val="BodyText"/>
    <w:rsid w:val="00286EAF"/>
    <w:pPr>
      <w:tabs>
        <w:tab w:val="left" w:pos="1361"/>
      </w:tabs>
      <w:spacing w:before="60" w:after="60"/>
      <w:ind w:left="1361" w:hanging="340"/>
    </w:pPr>
  </w:style>
  <w:style w:type="paragraph" w:styleId="List5">
    <w:name w:val="List 5"/>
    <w:basedOn w:val="BodyText"/>
    <w:rsid w:val="00286EAF"/>
    <w:pPr>
      <w:tabs>
        <w:tab w:val="left" w:pos="1701"/>
      </w:tabs>
      <w:spacing w:before="60" w:after="60"/>
      <w:ind w:left="1701" w:hanging="340"/>
    </w:pPr>
  </w:style>
  <w:style w:type="paragraph" w:styleId="ListBullet4">
    <w:name w:val="List Bullet 4"/>
    <w:basedOn w:val="List4"/>
    <w:rsid w:val="00286EAF"/>
    <w:pPr>
      <w:numPr>
        <w:numId w:val="4"/>
      </w:numPr>
    </w:pPr>
  </w:style>
  <w:style w:type="paragraph" w:styleId="ListBullet5">
    <w:name w:val="List Bullet 5"/>
    <w:basedOn w:val="List5"/>
    <w:rsid w:val="00286EAF"/>
    <w:pPr>
      <w:numPr>
        <w:numId w:val="5"/>
      </w:numPr>
    </w:pPr>
  </w:style>
  <w:style w:type="paragraph" w:styleId="ListContinue2">
    <w:name w:val="List Continue 2"/>
    <w:basedOn w:val="List2"/>
    <w:rsid w:val="00286EAF"/>
    <w:pPr>
      <w:ind w:firstLine="0"/>
    </w:pPr>
  </w:style>
  <w:style w:type="paragraph" w:styleId="ListContinue3">
    <w:name w:val="List Continue 3"/>
    <w:basedOn w:val="List3"/>
    <w:rsid w:val="00286EAF"/>
    <w:pPr>
      <w:ind w:left="1021" w:firstLine="0"/>
    </w:pPr>
  </w:style>
  <w:style w:type="paragraph" w:styleId="ListContinue4">
    <w:name w:val="List Continue 4"/>
    <w:basedOn w:val="List4"/>
    <w:rsid w:val="00286EAF"/>
    <w:pPr>
      <w:ind w:firstLine="0"/>
    </w:pPr>
  </w:style>
  <w:style w:type="paragraph" w:styleId="ListContinue5">
    <w:name w:val="List Continue 5"/>
    <w:basedOn w:val="List5"/>
    <w:rsid w:val="00286EAF"/>
    <w:pPr>
      <w:ind w:firstLine="0"/>
    </w:pPr>
  </w:style>
  <w:style w:type="paragraph" w:styleId="ListNumber3">
    <w:name w:val="List Number 3"/>
    <w:basedOn w:val="List3"/>
    <w:rsid w:val="00286EAF"/>
    <w:pPr>
      <w:numPr>
        <w:numId w:val="6"/>
      </w:numPr>
    </w:pPr>
  </w:style>
  <w:style w:type="paragraph" w:styleId="ListNumber4">
    <w:name w:val="List Number 4"/>
    <w:basedOn w:val="List4"/>
    <w:rsid w:val="00286EAF"/>
    <w:pPr>
      <w:numPr>
        <w:numId w:val="7"/>
      </w:numPr>
    </w:pPr>
  </w:style>
  <w:style w:type="paragraph" w:styleId="ListNumber5">
    <w:name w:val="List Number 5"/>
    <w:basedOn w:val="List5"/>
    <w:rsid w:val="00286EAF"/>
    <w:pPr>
      <w:numPr>
        <w:numId w:val="8"/>
      </w:numPr>
    </w:pPr>
  </w:style>
  <w:style w:type="paragraph" w:styleId="BlockText">
    <w:name w:val="Block Text"/>
    <w:basedOn w:val="Normal"/>
    <w:rsid w:val="00286EAF"/>
    <w:pPr>
      <w:spacing w:after="120"/>
      <w:ind w:left="1440" w:right="1440"/>
    </w:pPr>
  </w:style>
  <w:style w:type="character" w:customStyle="1" w:styleId="Subscript">
    <w:name w:val="Subscript"/>
    <w:basedOn w:val="DefaultParagraphFont"/>
    <w:rsid w:val="00286EAF"/>
    <w:rPr>
      <w:sz w:val="16"/>
      <w:vertAlign w:val="subscript"/>
    </w:rPr>
  </w:style>
  <w:style w:type="character" w:customStyle="1" w:styleId="Superscript">
    <w:name w:val="Superscript"/>
    <w:basedOn w:val="DefaultParagraphFont"/>
    <w:rsid w:val="00286EAF"/>
    <w:rPr>
      <w:sz w:val="16"/>
      <w:vertAlign w:val="superscript"/>
    </w:rPr>
  </w:style>
  <w:style w:type="character" w:customStyle="1" w:styleId="Symbols">
    <w:name w:val="Symbols"/>
    <w:basedOn w:val="DefaultParagraphFont"/>
    <w:rsid w:val="00286EAF"/>
    <w:rPr>
      <w:rFonts w:ascii="Symbol" w:hAnsi="Symbol"/>
    </w:rPr>
  </w:style>
  <w:style w:type="character" w:customStyle="1" w:styleId="MenuOptions">
    <w:name w:val="Menu Options"/>
    <w:basedOn w:val="DefaultParagraphFont"/>
    <w:rsid w:val="00286EAF"/>
    <w:rPr>
      <w:rFonts w:ascii="Arial Narrow" w:hAnsi="Arial Narrow"/>
      <w:smallCaps/>
    </w:rPr>
  </w:style>
  <w:style w:type="character" w:customStyle="1" w:styleId="Buttons">
    <w:name w:val="Buttons"/>
    <w:basedOn w:val="DefaultParagraphFont"/>
    <w:rsid w:val="00286EAF"/>
    <w:rPr>
      <w:b/>
    </w:rPr>
  </w:style>
  <w:style w:type="character" w:customStyle="1" w:styleId="Underlined">
    <w:name w:val="Underlined"/>
    <w:basedOn w:val="DefaultParagraphFont"/>
    <w:rsid w:val="00286EAF"/>
    <w:rPr>
      <w:u w:val="single"/>
    </w:rPr>
  </w:style>
  <w:style w:type="paragraph" w:customStyle="1" w:styleId="TableBodyTextRight">
    <w:name w:val="Table Body Text Right"/>
    <w:basedOn w:val="TableBodyText"/>
    <w:rsid w:val="00286EAF"/>
    <w:pPr>
      <w:widowControl w:val="0"/>
      <w:autoSpaceDE w:val="0"/>
      <w:autoSpaceDN w:val="0"/>
      <w:adjustRightInd w:val="0"/>
      <w:jc w:val="right"/>
    </w:pPr>
    <w:rPr>
      <w:rFonts w:cs="Arial"/>
      <w:szCs w:val="18"/>
    </w:rPr>
  </w:style>
  <w:style w:type="paragraph" w:customStyle="1" w:styleId="CopyrightText">
    <w:name w:val="Copyright Text"/>
    <w:basedOn w:val="BodyText"/>
    <w:rsid w:val="00286EAF"/>
    <w:rPr>
      <w:sz w:val="18"/>
    </w:rPr>
  </w:style>
  <w:style w:type="paragraph" w:customStyle="1" w:styleId="BodySmallRight">
    <w:name w:val="Body Small Right"/>
    <w:basedOn w:val="BodyTextRight"/>
    <w:rsid w:val="00286EAF"/>
    <w:rPr>
      <w:sz w:val="18"/>
      <w:szCs w:val="18"/>
    </w:rPr>
  </w:style>
  <w:style w:type="paragraph" w:customStyle="1" w:styleId="MarginEdition">
    <w:name w:val="Margin Edition"/>
    <w:basedOn w:val="MarginNote"/>
    <w:rsid w:val="00286EAF"/>
    <w:pPr>
      <w:spacing w:before="0" w:after="0"/>
    </w:pPr>
    <w:rPr>
      <w:rFonts w:ascii="Times New Roman" w:hAnsi="Times New Roman"/>
      <w:color w:val="999999"/>
    </w:rPr>
  </w:style>
  <w:style w:type="paragraph" w:customStyle="1" w:styleId="Spacer">
    <w:name w:val="Spacer"/>
    <w:basedOn w:val="Normal"/>
    <w:rsid w:val="00286EAF"/>
    <w:rPr>
      <w:sz w:val="2"/>
      <w:szCs w:val="2"/>
    </w:rPr>
  </w:style>
  <w:style w:type="character" w:customStyle="1" w:styleId="Small">
    <w:name w:val="Small"/>
    <w:basedOn w:val="DefaultParagraphFont"/>
    <w:rsid w:val="00286EAF"/>
    <w:rPr>
      <w:sz w:val="16"/>
    </w:rPr>
  </w:style>
  <w:style w:type="paragraph" w:customStyle="1" w:styleId="WideTable">
    <w:name w:val="Wide Table"/>
    <w:basedOn w:val="Normal"/>
    <w:rsid w:val="00286EAF"/>
    <w:pPr>
      <w:ind w:left="-1418"/>
    </w:pPr>
    <w:rPr>
      <w:sz w:val="2"/>
      <w:szCs w:val="2"/>
    </w:rPr>
  </w:style>
  <w:style w:type="character" w:styleId="PageNumber">
    <w:name w:val="page number"/>
    <w:basedOn w:val="DefaultParagraphFont"/>
    <w:rsid w:val="00286EAF"/>
  </w:style>
  <w:style w:type="paragraph" w:styleId="Quote">
    <w:name w:val="Quote"/>
    <w:basedOn w:val="Heading1"/>
    <w:link w:val="QuoteChar"/>
    <w:qFormat/>
    <w:rsid w:val="00286EAF"/>
    <w:rPr>
      <w:b w:val="0"/>
      <w:sz w:val="72"/>
      <w:szCs w:val="72"/>
      <w:lang w:val="en-NZ"/>
    </w:rPr>
  </w:style>
  <w:style w:type="character" w:customStyle="1" w:styleId="QuoteChar">
    <w:name w:val="Quote Char"/>
    <w:basedOn w:val="DefaultParagraphFont"/>
    <w:link w:val="Quote"/>
    <w:rsid w:val="00286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EAF"/>
    <w:pPr>
      <w:pageBreakBefore/>
    </w:pPr>
  </w:style>
  <w:style w:type="paragraph" w:customStyle="1" w:styleId="Border">
    <w:name w:val="Border"/>
    <w:basedOn w:val="Normal"/>
    <w:qFormat/>
    <w:rsid w:val="00286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EAF"/>
    <w:rPr>
      <w:b/>
      <w:bCs/>
      <w:i/>
      <w:iCs/>
      <w:color w:val="auto"/>
    </w:rPr>
  </w:style>
  <w:style w:type="paragraph" w:styleId="IntenseQuote">
    <w:name w:val="Intense Quote"/>
    <w:basedOn w:val="Normal"/>
    <w:next w:val="Normal"/>
    <w:link w:val="IntenseQuoteChar"/>
    <w:uiPriority w:val="30"/>
    <w:qFormat/>
    <w:rsid w:val="00286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EAF"/>
    <w:rPr>
      <w:smallCaps/>
      <w:color w:val="auto"/>
      <w:u w:val="single"/>
    </w:rPr>
  </w:style>
  <w:style w:type="character" w:styleId="IntenseReference">
    <w:name w:val="Intense Reference"/>
    <w:basedOn w:val="DefaultParagraphFont"/>
    <w:uiPriority w:val="32"/>
    <w:qFormat/>
    <w:rsid w:val="00286EAF"/>
    <w:rPr>
      <w:b/>
      <w:bCs/>
      <w:smallCaps/>
      <w:color w:val="auto"/>
      <w:spacing w:val="5"/>
      <w:u w:val="single"/>
    </w:rPr>
  </w:style>
  <w:style w:type="paragraph" w:customStyle="1" w:styleId="2ColumnHeading">
    <w:name w:val="2Column Heading"/>
    <w:basedOn w:val="BodyText"/>
    <w:qFormat/>
    <w:rsid w:val="00286EAF"/>
    <w:pPr>
      <w:spacing w:after="60"/>
      <w:ind w:left="-2268"/>
    </w:pPr>
    <w:rPr>
      <w:b/>
    </w:rPr>
  </w:style>
  <w:style w:type="paragraph" w:customStyle="1" w:styleId="Heading1TOC">
    <w:name w:val="Heading1 TOC"/>
    <w:basedOn w:val="Normal"/>
    <w:qFormat/>
    <w:rsid w:val="00286EAF"/>
    <w:pPr>
      <w:spacing w:before="240" w:after="120"/>
    </w:pPr>
    <w:rPr>
      <w:rFonts w:ascii="Times New Roman" w:hAnsi="Times New Roman"/>
      <w:b/>
      <w:sz w:val="32"/>
    </w:rPr>
  </w:style>
  <w:style w:type="paragraph" w:customStyle="1" w:styleId="Heading2TOC">
    <w:name w:val="Heading2 TOC"/>
    <w:basedOn w:val="Normal"/>
    <w:qFormat/>
    <w:rsid w:val="00286EAF"/>
    <w:pPr>
      <w:spacing w:before="240" w:after="60"/>
    </w:pPr>
    <w:rPr>
      <w:rFonts w:ascii="Times New Roman" w:hAnsi="Times New Roman"/>
      <w:b/>
      <w:sz w:val="28"/>
    </w:rPr>
  </w:style>
  <w:style w:type="character" w:customStyle="1" w:styleId="Underline">
    <w:name w:val="Underline"/>
    <w:basedOn w:val="DefaultParagraphFont"/>
    <w:qFormat/>
    <w:rsid w:val="00286EAF"/>
    <w:rPr>
      <w:u w:val="single"/>
    </w:rPr>
  </w:style>
  <w:style w:type="character" w:customStyle="1" w:styleId="BoldandItalics">
    <w:name w:val="Bold and Italics"/>
    <w:qFormat/>
    <w:rsid w:val="00286EAF"/>
    <w:rPr>
      <w:b/>
      <w:i/>
      <w:u w:val="none"/>
    </w:rPr>
  </w:style>
  <w:style w:type="paragraph" w:styleId="BalloonText">
    <w:name w:val="Balloon Text"/>
    <w:basedOn w:val="Normal"/>
    <w:link w:val="BalloonTextChar"/>
    <w:rsid w:val="00286EAF"/>
    <w:rPr>
      <w:rFonts w:ascii="Tahoma" w:hAnsi="Tahoma" w:cs="Tahoma"/>
      <w:sz w:val="16"/>
      <w:szCs w:val="16"/>
    </w:rPr>
  </w:style>
  <w:style w:type="character" w:customStyle="1" w:styleId="BalloonTextChar">
    <w:name w:val="Balloon Text Char"/>
    <w:basedOn w:val="DefaultParagraphFont"/>
    <w:link w:val="BalloonText"/>
    <w:rsid w:val="00286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E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EAF"/>
    <w:rPr>
      <w:b/>
      <w:color w:val="660033"/>
      <w:spacing w:val="0"/>
    </w:rPr>
  </w:style>
  <w:style w:type="paragraph" w:customStyle="1" w:styleId="Nameditemlist">
    <w:name w:val="Named item list"/>
    <w:basedOn w:val="BodyText"/>
    <w:qFormat/>
    <w:rsid w:val="00286E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3416</Words>
  <Characters>21975</Characters>
  <Application>Microsoft Office Word</Application>
  <DocSecurity>0</DocSecurity>
  <Lines>787</Lines>
  <Paragraphs>323</Paragraphs>
  <ScaleCrop>false</ScaleCrop>
  <Company>Author-it Software Corporation Ltd.</Company>
  <LinksUpToDate>false</LinksUpToDate>
  <CharactersWithSpaces>25165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UETTDRIS45A Perform power system substation switching operation to a given schedule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2012-10-10T08:03:00Z</dcterms:created>
  <dcterms:modified xsi:type="dcterms:W3CDTF">2012-10-10T08:03:00Z</dcterms:modified>
</cp:coreProperties>
</file>