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442B" w:rsidP="001F442B">
      <w:pPr>
        <w:pStyle w:val="Title"/>
      </w:pPr>
      <w:bookmarkStart w:id="0" w:name="_GoBack"/>
      <w:bookmarkEnd w:id="0"/>
      <w:r>
        <w:fldChar w:fldCharType="begin"/>
      </w:r>
      <w:r>
        <w:instrText xml:space="preserve"> TITLE   \* MERGEFORMAT </w:instrText>
      </w:r>
      <w:r>
        <w:fldChar w:fldCharType="separate"/>
      </w:r>
      <w:r>
        <w:t>UETTDRIS44A Perform HV field switching operation to a given schedule</w:t>
      </w:r>
      <w:r>
        <w:fldChar w:fldCharType="end"/>
      </w:r>
    </w:p>
    <w:p w:rsidR="001F442B" w:rsidP="001F442B">
      <w:pPr>
        <w:pStyle w:val="Version"/>
        <w:sectPr w:rsidSect="00110D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10DA8" w:rsidP="00110DA8">
      <w:pPr>
        <w:pStyle w:val="SuperHeading"/>
      </w:pPr>
      <w:r w:rsidRPr="00110DA8">
        <w:t>UETTDRIS44A Perform HV field switching operation to a given schedule</w:t>
      </w:r>
    </w:p>
    <w:p w:rsidR="00000000" w:rsidRPr="00110DA8" w:rsidP="00110DA8">
      <w:pPr>
        <w:pStyle w:val="Heading1"/>
      </w:pPr>
      <w:bookmarkStart w:id="1" w:name="O_536643"/>
      <w:bookmarkEnd w:id="1"/>
      <w:r w:rsidRPr="00110DA8">
        <w:t>Modification History</w:t>
      </w:r>
    </w:p>
    <w:p w:rsidR="00000000" w:rsidRPr="00110DA8" w:rsidP="00110DA8">
      <w:pPr>
        <w:pStyle w:val="BodyText"/>
      </w:pPr>
      <w:r w:rsidRPr="00110DA8">
        <w:t>Not applicable.</w:t>
      </w:r>
    </w:p>
    <w:p w:rsidR="00000000" w:rsidRPr="00110DA8" w:rsidP="00110DA8">
      <w:pPr>
        <w:pStyle w:val="AllowPageBreak"/>
      </w:pPr>
    </w:p>
    <w:p w:rsidR="00000000" w:rsidRPr="00110DA8" w:rsidP="00110DA8">
      <w:pPr>
        <w:pStyle w:val="Heading1"/>
      </w:pPr>
      <w:bookmarkStart w:id="2" w:name="O_536642"/>
      <w:bookmarkEnd w:id="2"/>
      <w:r w:rsidRPr="00110DA8">
        <w:t>Unit Descriptor</w:t>
      </w:r>
    </w:p>
    <w:tbl>
      <w:tblPr>
        <w:tblW w:w="0" w:type="auto"/>
        <w:tblLayout w:type="fixed"/>
        <w:tblCellMar>
          <w:left w:w="62" w:type="dxa"/>
          <w:right w:w="62" w:type="dxa"/>
        </w:tblCellMar>
        <w:tblLook w:val="0000"/>
      </w:tblPr>
      <w:tblGrid>
        <w:gridCol w:w="2700"/>
        <w:gridCol w:w="5760"/>
      </w:tblGrid>
      <w:tr w:rsidTr="001F442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rPr>
                <w:rStyle w:val="SpecialBold"/>
              </w:rPr>
              <w:t>1)</w:t>
            </w:r>
            <w:r w:rsidRPr="00110DA8">
              <w:t xml:space="preserve"> </w:t>
            </w:r>
            <w:r w:rsidRPr="00110DA8">
              <w:rPr>
                <w:rStyle w:val="SpecialBold"/>
              </w:rPr>
              <w:t>Scope:</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10DA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rPr>
                <w:rStyle w:val="SpecialBold"/>
              </w:rPr>
              <w:t>1.1) Descriptor</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t>This Competency Standard Unit covers the carrying out of high voltage switching operations involving the operation of circuit breaking and isolation devices from a given switching schedule and according to enterprise procedures. It also encompasses the pro</w:t>
            </w:r>
            <w:r w:rsidRPr="00110DA8">
              <w:t>cess of; communicating with the Switching Control Officer or Electrical Control Officer, isolating the electrical equipment and the line or work site, as well as proving that the area is de-energised and earthed, issuing/accepting electrical permits and th</w:t>
            </w:r>
            <w:r w:rsidRPr="00110DA8">
              <w:t xml:space="preserve">e returning of the affected circuits to service. </w:t>
            </w:r>
          </w:p>
        </w:tc>
      </w:tr>
    </w:tbl>
    <w:p w:rsidR="00000000" w:rsidRPr="00110DA8" w:rsidP="00110DA8">
      <w:pPr>
        <w:pStyle w:val="BodyText"/>
      </w:pPr>
    </w:p>
    <w:p w:rsidR="00000000" w:rsidRPr="00110DA8" w:rsidP="00110DA8">
      <w:pPr>
        <w:pStyle w:val="AllowPageBreak"/>
      </w:pPr>
    </w:p>
    <w:p w:rsidR="00000000" w:rsidRPr="00110DA8" w:rsidP="00110DA8">
      <w:pPr>
        <w:pStyle w:val="Heading1"/>
      </w:pPr>
      <w:bookmarkStart w:id="3" w:name="O_536641"/>
      <w:bookmarkEnd w:id="3"/>
      <w:r w:rsidRPr="00110DA8">
        <w:t>Application of the Unit</w:t>
      </w:r>
    </w:p>
    <w:tbl>
      <w:tblPr>
        <w:tblW w:w="0" w:type="auto"/>
        <w:tblLayout w:type="fixed"/>
        <w:tblCellMar>
          <w:left w:w="62" w:type="dxa"/>
          <w:right w:w="62" w:type="dxa"/>
        </w:tblCellMar>
        <w:tblLook w:val="0000"/>
      </w:tblPr>
      <w:tblGrid>
        <w:gridCol w:w="2672"/>
        <w:gridCol w:w="5699"/>
      </w:tblGrid>
      <w:tr w:rsidTr="001F442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rPr>
                <w:rStyle w:val="SpecialBold"/>
              </w:rPr>
              <w:t>2)</w:t>
            </w:r>
          </w:p>
        </w:tc>
      </w:tr>
      <w:tr w:rsidTr="001F442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t>This Competency Standard Unit is intended to augment formally acquired competencies. It is suitable for employment-based programs under an approved contract of training.</w:t>
            </w:r>
          </w:p>
        </w:tc>
      </w:tr>
    </w:tbl>
    <w:p w:rsidR="00000000" w:rsidRPr="00110DA8" w:rsidP="00110DA8">
      <w:pPr>
        <w:pStyle w:val="BodyText"/>
      </w:pPr>
    </w:p>
    <w:p w:rsidR="00000000" w:rsidRPr="00110DA8" w:rsidP="00110DA8">
      <w:pPr>
        <w:pStyle w:val="AllowPageBreak"/>
      </w:pPr>
    </w:p>
    <w:p w:rsidR="00000000" w:rsidRPr="00110DA8" w:rsidP="00110DA8">
      <w:pPr>
        <w:pStyle w:val="Heading1"/>
      </w:pPr>
      <w:bookmarkStart w:id="4" w:name="O_536640"/>
      <w:bookmarkEnd w:id="4"/>
      <w:r w:rsidRPr="00110DA8">
        <w:t>Licensing/Regulatory Information</w:t>
      </w:r>
    </w:p>
    <w:tbl>
      <w:tblPr>
        <w:tblW w:w="0" w:type="auto"/>
        <w:tblLayout w:type="fixed"/>
        <w:tblCellMar>
          <w:left w:w="62" w:type="dxa"/>
          <w:right w:w="62" w:type="dxa"/>
        </w:tblCellMar>
        <w:tblLook w:val="0000"/>
      </w:tblPr>
      <w:tblGrid>
        <w:gridCol w:w="2700"/>
        <w:gridCol w:w="5760"/>
      </w:tblGrid>
      <w:tr w:rsidTr="001F442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rPr>
                <w:rStyle w:val="SpecialBold"/>
              </w:rPr>
              <w:t xml:space="preserve">3) </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t>The skil</w:t>
            </w:r>
            <w:r w:rsidRPr="00110DA8">
              <w:t xml:space="preserve">ls and knowledge described in this unit may require a licence/registration to practice in the work place subject to regulations for undertaking of electrical work. </w:t>
            </w:r>
            <w:r w:rsidRPr="00110DA8">
              <w:t>Practice in workplace and during training is also subject to regulations directly related to</w:t>
            </w:r>
            <w:r w:rsidRPr="00110DA8">
              <w:t xml:space="preserve"> Occupational Health and Safety, electricity/telecommunications/gas/water industry safety and compliance, industrial relations, environmental protection, anti discrimination and training. Commonwealth, State/Territory or Local Government legislation and re</w:t>
            </w:r>
            <w:r w:rsidRPr="00110DA8">
              <w:t>gulations may exist that limits the age of operating certain equipment.</w:t>
            </w:r>
          </w:p>
        </w:tc>
      </w:tr>
    </w:tbl>
    <w:p w:rsidR="00000000" w:rsidRPr="00110DA8" w:rsidP="00110DA8">
      <w:pPr>
        <w:pStyle w:val="BodyText"/>
      </w:pPr>
    </w:p>
    <w:p w:rsidR="00000000" w:rsidRPr="00110DA8" w:rsidP="00110DA8">
      <w:pPr>
        <w:pStyle w:val="AllowPageBreak"/>
      </w:pPr>
    </w:p>
    <w:p w:rsidR="00000000" w:rsidRPr="00110DA8" w:rsidP="00110DA8">
      <w:pPr>
        <w:pStyle w:val="Heading1"/>
      </w:pPr>
      <w:bookmarkStart w:id="5" w:name="O_536639"/>
      <w:bookmarkEnd w:id="5"/>
      <w:r w:rsidRPr="00110DA8">
        <w:t>Pre-Requisites</w:t>
      </w:r>
    </w:p>
    <w:tbl>
      <w:tblPr>
        <w:tblW w:w="0" w:type="auto"/>
        <w:tblLayout w:type="fixed"/>
        <w:tblCellMar>
          <w:left w:w="62" w:type="dxa"/>
          <w:right w:w="62" w:type="dxa"/>
        </w:tblCellMar>
        <w:tblLook w:val="0000"/>
      </w:tblPr>
      <w:tblGrid>
        <w:gridCol w:w="2700"/>
        <w:gridCol w:w="1800"/>
        <w:gridCol w:w="3949"/>
        <w:gridCol w:w="15"/>
      </w:tblGrid>
      <w:tr w:rsidTr="001F442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rPr>
                <w:rStyle w:val="SpecialBold"/>
              </w:rPr>
              <w:t>Prerequisite Unit(s)</w:t>
            </w:r>
          </w:p>
        </w:tc>
        <w:tc>
          <w:tcPr>
            <w:tcW w:w="5764" w:type="dxa"/>
            <w:gridSpan w:val="3"/>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rPr>
                <w:rStyle w:val="SpecialBold"/>
              </w:rPr>
              <w:t xml:space="preserve">4) </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rPr>
                <w:rStyle w:val="SpecialBold"/>
              </w:rPr>
              <w:t>Competencies</w:t>
            </w:r>
          </w:p>
        </w:tc>
        <w:tc>
          <w:tcPr>
            <w:tcW w:w="5764" w:type="dxa"/>
            <w:gridSpan w:val="3"/>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rPr>
                <w:rStyle w:val="SpecialBold"/>
              </w:rPr>
              <w:t>4.1)</w:t>
            </w:r>
          </w:p>
        </w:tc>
      </w:tr>
      <w:tr w:rsidTr="001F442B">
        <w:tblPrEx>
          <w:tblW w:w="0" w:type="auto"/>
          <w:tblLayout w:type="fixed"/>
          <w:tblCellMar>
            <w:left w:w="62" w:type="dxa"/>
            <w:right w:w="62" w:type="dxa"/>
          </w:tblCellMar>
          <w:tblLook w:val="0000"/>
        </w:tblPrEx>
        <w:trPr>
          <w:gridAfter w:val="1"/>
          <w:wAfter w:w="15" w:type="dxa"/>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9" w:type="dxa"/>
            <w:gridSpan w:val="2"/>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t>Granting of competency in this unit shall be made only after competency in the following unit(s) has/have been confirmed.</w:t>
            </w:r>
          </w:p>
          <w:p w:rsidR="00000000" w:rsidRPr="00110DA8" w:rsidP="00110DA8">
            <w:pPr>
              <w:pStyle w:val="BodyText"/>
            </w:pPr>
            <w:r w:rsidRPr="00110DA8">
              <w:t xml:space="preserve">Where pre-requisite pathways have been identified. All competencies in the Common Unit Group must be have been completed plus all the </w:t>
            </w:r>
            <w:r w:rsidRPr="00110DA8">
              <w:t>competencies in one (1) of the identified Pathway Unit Group(s):</w:t>
            </w:r>
          </w:p>
          <w:p w:rsidR="00000000" w:rsidRPr="00110DA8" w:rsidP="00110DA8">
            <w:pPr>
              <w:pStyle w:val="BodyText"/>
            </w:pPr>
            <w:r w:rsidRPr="00110DA8">
              <w:t>Transmission Overhead</w:t>
            </w:r>
          </w:p>
          <w:p w:rsidR="00000000" w:rsidRPr="00110DA8" w:rsidP="00110DA8">
            <w:pPr>
              <w:pStyle w:val="BodyText"/>
            </w:pPr>
            <w:r w:rsidRPr="00110DA8">
              <w:t>Distribution Overhead</w:t>
            </w:r>
          </w:p>
          <w:p w:rsidR="00000000" w:rsidRPr="00110DA8" w:rsidP="00110DA8">
            <w:pPr>
              <w:pStyle w:val="BodyText"/>
            </w:pPr>
            <w:r w:rsidRPr="00110DA8">
              <w:t>Rail Traction</w:t>
            </w:r>
          </w:p>
          <w:p w:rsidR="00000000" w:rsidRPr="00110DA8" w:rsidP="00110DA8">
            <w:pPr>
              <w:pStyle w:val="BodyText"/>
            </w:pPr>
            <w:r w:rsidRPr="00110DA8">
              <w:t>Distribution Cable Jointing</w:t>
            </w:r>
          </w:p>
          <w:p w:rsidR="00000000" w:rsidRPr="00110DA8" w:rsidP="00110DA8">
            <w:pPr>
              <w:pStyle w:val="BodyText"/>
            </w:pPr>
            <w:r w:rsidRPr="00110DA8">
              <w:t>Electrical</w:t>
            </w:r>
          </w:p>
          <w:p w:rsidR="00000000" w:rsidP="00110DA8">
            <w:pPr>
              <w:pStyle w:val="BodyText"/>
              <w:rPr>
                <w:lang w:val="en-NZ"/>
              </w:rPr>
            </w:pPr>
            <w:r w:rsidRPr="00110DA8">
              <w:t>Common Unit Group</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Unit Code</w:t>
            </w:r>
          </w:p>
        </w:tc>
        <w:tc>
          <w:tcPr>
            <w:tcW w:w="3964" w:type="dxa"/>
            <w:gridSpan w:val="2"/>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Unit Title</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UEENEEE101A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Apply Occupational Health and Safety regulations, codes and practices in the workplace</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UEENEEE102A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Fabricate, assemble and dismantle utilities industry components</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UEENEEE104A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Solve problems in d.c. Circuits</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UEENEEE105A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Fix and secure electrotechnolog</w:t>
            </w:r>
            <w:r w:rsidRPr="00110DA8">
              <w:t xml:space="preserve">y </w:t>
            </w:r>
            <w:r w:rsidRPr="00110DA8">
              <w:t>equipment</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UEENEEE107A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Use drawings, diagrams, schedules, standards, codes and specifications</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UEENEEG101A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Solve problems in electromagnetic devices and related circuits</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UEENEEG102A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Solve problems in low voltage a.c. Circuits</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UETTDREL16A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 xml:space="preserve">Working safely near live electrical apparatus </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3"/>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 xml:space="preserve">Transmission Overhead Pathway Group </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Unit Code</w:t>
            </w:r>
          </w:p>
        </w:tc>
        <w:tc>
          <w:tcPr>
            <w:tcW w:w="3964" w:type="dxa"/>
            <w:gridSpan w:val="2"/>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Unit Title</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UETTDREL11A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 xml:space="preserve">Apply sustainable energy and environmental procedures </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UETTDREL12A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 xml:space="preserve">Operate plant and equipment near live electrical conductors and apparatus </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UETTDRIS54A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 xml:space="preserve">Install and maintain poles, structures, overhead conductors and cables </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UETTDRTP26A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 xml:space="preserve">Install transmission structures and associated hardware </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UETTDRTP27A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 xml:space="preserve">Maintain transmission structures and associated hardware </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UETTDRTP29A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 xml:space="preserve">Install and maintain transmission overhead conductors and cables </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3"/>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Distribution Overhead Pathway Group</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Unit Code</w:t>
            </w:r>
          </w:p>
        </w:tc>
        <w:tc>
          <w:tcPr>
            <w:tcW w:w="3964" w:type="dxa"/>
            <w:gridSpan w:val="2"/>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Unit Title</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UETTDREL11A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 xml:space="preserve">Apply sustainable energy and environmental procedures </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UETTDRDP12A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 xml:space="preserve">Maintain overhead energised low voltage conductors and cables </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UETTDREL12A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 xml:space="preserve">Operate plant and equipment near live electrical conductors and apparatus </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UETTDRIS41A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 xml:space="preserve">Install network infrastructure electrical equipment </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UETTDRIS42A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 xml:space="preserve">Maintain network infrastructure electrical equipment </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UETTDRIS52A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Install and maintain poles, structures and associated hardware</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UETTDRIS54A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Install and maintain poles, structures, over</w:t>
            </w:r>
            <w:r w:rsidRPr="00110DA8">
              <w:t xml:space="preserve">head conductors and cables </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UETTDRIS56A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 xml:space="preserve">Install and maintain low voltage overhead services </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3"/>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Rail Traction Pathway Group</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Unit Code</w:t>
            </w:r>
          </w:p>
        </w:tc>
        <w:tc>
          <w:tcPr>
            <w:tcW w:w="3964" w:type="dxa"/>
            <w:gridSpan w:val="2"/>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Unit Title</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UETTDREL11A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 xml:space="preserve">Apply sustainable energy and environmental procedures </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UETTDREL12A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 xml:space="preserve">Operate plant and equipment near live electrical conductors and apparatus </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UETTDRIS52A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Install and maintain poles, structures and associated hardware</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UETTDRIS54A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 xml:space="preserve">Install and maintain poles, structures, overhead conductors and cables </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UETTDRRT21A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 xml:space="preserve">Install traction overhead wiring systems </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UETTDRRT22A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 xml:space="preserve">Maintain traction overhead wiring systems </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UETTDRRT23A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 xml:space="preserve">Install rail traction bonds </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UETTDRRT27A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 xml:space="preserve">Install overhead traction components and equipment </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UETTDRRT28A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Maintain overhead traction compone</w:t>
            </w:r>
            <w:r w:rsidRPr="00110DA8">
              <w:t xml:space="preserve">nts and equipment </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3"/>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Distribution Cable Jointing Pathway Group</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Unit Code</w:t>
            </w:r>
          </w:p>
        </w:tc>
        <w:tc>
          <w:tcPr>
            <w:tcW w:w="3964" w:type="dxa"/>
            <w:gridSpan w:val="2"/>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Unit Title</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UETTDRCJ21A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 xml:space="preserve">Lay ESI electrical cables </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UETTDRCJ26A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 xml:space="preserve">Install and maintain de-energised low voltage underground polymeric cables. </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UETTDRCJ27A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 xml:space="preserve">Install and maintain de-energised high voltage underground polymeric cables. </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UETTDREL11A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 xml:space="preserve">Apply sustainable energy and environmental procedures </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UETTDREL12A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 xml:space="preserve">Operate plant and equipment near live electrical conductors and apparatus </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UETTDRIS41A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Instal</w:t>
            </w:r>
            <w:r w:rsidRPr="00110DA8">
              <w:t xml:space="preserve">l network infrastructure electrical equipment </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UETTDRIS42A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 xml:space="preserve">Maintain network infrastructure electrical equipment </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UETTDRIS55A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 xml:space="preserve">Install and maintain low voltage underground services </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3"/>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Electrical Pathway Group</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Unit Code</w:t>
            </w:r>
          </w:p>
        </w:tc>
        <w:tc>
          <w:tcPr>
            <w:tcW w:w="3964" w:type="dxa"/>
            <w:gridSpan w:val="2"/>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Unit Title</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UEENEEE137A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Document and apply measures to control OHS risks associated with electrotechnology work</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UEENEEG006A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Solve problems in single and three phase low voltage machines</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UEENEEG033A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Solve problems in single and three phase electrical apparatus and circuits</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w:t>
            </w:r>
            <w:r w:rsidRPr="00110DA8">
              <w:t>EENEEG063A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Arrange circuits, control and protection for general electrical installations</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UEENEEG106A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Terminate cables, cords and accessories for low voltage circuits</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UEENEEG108A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Trouble-shoot and repair faults in low voltage electrical apparatus and circuits</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UEENEEG109A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Develop and connect electrical control circuits</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UEENEEK142A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Apply environmentally and sustainable energy procedures in the energy sector</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10DA8">
            <w:pPr>
              <w:pStyle w:val="BodyText"/>
              <w:rPr>
                <w:lang w:val="en-NZ"/>
              </w:rPr>
            </w:pPr>
            <w:r w:rsidRPr="00110DA8">
              <w:t>UETTDRIS67A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RPr="00110DA8" w:rsidP="00110DA8">
            <w:pPr>
              <w:pStyle w:val="BodyText"/>
            </w:pPr>
            <w:r w:rsidRPr="00110DA8">
              <w:t>Solve pr</w:t>
            </w:r>
            <w:r w:rsidRPr="00110DA8">
              <w:t>oblems in energy supply network equipment</w:t>
            </w:r>
          </w:p>
        </w:tc>
      </w:tr>
    </w:tbl>
    <w:p w:rsidR="00000000" w:rsidRPr="00110DA8" w:rsidP="00110DA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F442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rPr>
                <w:rStyle w:val="SpecialBold"/>
              </w:rPr>
              <w:t xml:space="preserve">4.2) </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 xml:space="preserve">Participants are best equipped to achieve this unit if they have reading, writing and numeracy skills indicated by the following scales. Description </w:t>
            </w:r>
            <w:r w:rsidRPr="00110DA8">
              <w:t>of each scale is given in Volume 2, Part 3 “Literacy and Numeracy”</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Reading</w:t>
            </w:r>
          </w:p>
        </w:tc>
        <w:tc>
          <w:tcPr>
            <w:tcW w:w="810"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3</w:t>
            </w:r>
          </w:p>
        </w:tc>
        <w:tc>
          <w:tcPr>
            <w:tcW w:w="990"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Writing</w:t>
            </w:r>
          </w:p>
        </w:tc>
        <w:tc>
          <w:tcPr>
            <w:tcW w:w="900"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3</w:t>
            </w:r>
          </w:p>
        </w:tc>
        <w:tc>
          <w:tcPr>
            <w:tcW w:w="1260"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Numeracy</w:t>
            </w:r>
          </w:p>
        </w:tc>
        <w:tc>
          <w:tcPr>
            <w:tcW w:w="720" w:type="dxa"/>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t>3</w:t>
            </w:r>
          </w:p>
        </w:tc>
      </w:tr>
    </w:tbl>
    <w:p w:rsidR="00000000" w:rsidRPr="00110DA8" w:rsidP="00110DA8">
      <w:pPr>
        <w:pStyle w:val="BodyText"/>
      </w:pPr>
    </w:p>
    <w:p w:rsidR="00000000" w:rsidRPr="00110DA8" w:rsidP="00110DA8">
      <w:pPr>
        <w:pStyle w:val="AllowPageBreak"/>
      </w:pPr>
    </w:p>
    <w:p w:rsidR="00000000" w:rsidRPr="00110DA8" w:rsidP="00110DA8">
      <w:pPr>
        <w:pStyle w:val="Heading1"/>
      </w:pPr>
      <w:bookmarkStart w:id="6" w:name="O_536638"/>
      <w:bookmarkEnd w:id="6"/>
      <w:r w:rsidRPr="00110DA8">
        <w:t>Employability Skills Information</w:t>
      </w:r>
    </w:p>
    <w:tbl>
      <w:tblPr>
        <w:tblW w:w="0" w:type="auto"/>
        <w:tblLayout w:type="fixed"/>
        <w:tblCellMar>
          <w:left w:w="62" w:type="dxa"/>
          <w:right w:w="62" w:type="dxa"/>
        </w:tblCellMar>
        <w:tblLook w:val="0000"/>
      </w:tblPr>
      <w:tblGrid>
        <w:gridCol w:w="2700"/>
        <w:gridCol w:w="5760"/>
      </w:tblGrid>
      <w:tr w:rsidTr="001F442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rPr>
                <w:rStyle w:val="SpecialBold"/>
              </w:rPr>
              <w:t xml:space="preserve">5) </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10DA8">
              <w:t>requirements.</w:t>
            </w:r>
          </w:p>
        </w:tc>
      </w:tr>
    </w:tbl>
    <w:p w:rsidR="00000000" w:rsidRPr="00110DA8" w:rsidP="00110DA8">
      <w:pPr>
        <w:pStyle w:val="BodyText"/>
      </w:pPr>
    </w:p>
    <w:p w:rsidR="00000000" w:rsidRPr="00110DA8" w:rsidP="00110DA8">
      <w:pPr>
        <w:pStyle w:val="AllowPageBreak"/>
      </w:pPr>
    </w:p>
    <w:p w:rsidR="00000000" w:rsidRPr="00110DA8" w:rsidP="00110DA8">
      <w:pPr>
        <w:pStyle w:val="Heading1"/>
      </w:pPr>
      <w:bookmarkStart w:id="7" w:name="O_536637"/>
      <w:bookmarkEnd w:id="7"/>
      <w:r w:rsidRPr="00110DA8">
        <w:t>Elements and Performance Criteria Pre-Content</w:t>
      </w:r>
    </w:p>
    <w:tbl>
      <w:tblPr>
        <w:tblW w:w="0" w:type="auto"/>
        <w:tblLayout w:type="fixed"/>
        <w:tblCellMar>
          <w:left w:w="62" w:type="dxa"/>
          <w:right w:w="62" w:type="dxa"/>
        </w:tblCellMar>
        <w:tblLook w:val="0000"/>
      </w:tblPr>
      <w:tblGrid>
        <w:gridCol w:w="2700"/>
        <w:gridCol w:w="5760"/>
      </w:tblGrid>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rPr>
                <w:rStyle w:val="SpecialBold"/>
              </w:rPr>
              <w:t>6)</w:t>
            </w:r>
            <w:r w:rsidRPr="00110DA8">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t>Performance Criteria describe the required performance needed to demonstrate achievement of the element</w:t>
            </w:r>
            <w:r w:rsidRPr="00110DA8">
              <w:t>. Assessment of performance is to be consistent with the Evidence Guide.</w:t>
            </w:r>
          </w:p>
        </w:tc>
      </w:tr>
    </w:tbl>
    <w:p w:rsidR="00000000" w:rsidRPr="00110DA8" w:rsidP="00110DA8">
      <w:pPr>
        <w:pStyle w:val="BodyText"/>
      </w:pPr>
    </w:p>
    <w:p w:rsidR="00000000" w:rsidRPr="00110DA8" w:rsidP="00110DA8">
      <w:pPr>
        <w:pStyle w:val="AllowPageBreak"/>
      </w:pPr>
    </w:p>
    <w:p w:rsidR="00000000" w:rsidRPr="00110DA8" w:rsidP="00110DA8">
      <w:pPr>
        <w:pStyle w:val="Heading1"/>
      </w:pPr>
      <w:bookmarkStart w:id="8" w:name="O_536636"/>
      <w:bookmarkEnd w:id="8"/>
      <w:r w:rsidRPr="00110DA8">
        <w:t>Elements and Performance Criteria</w:t>
      </w:r>
    </w:p>
    <w:tbl>
      <w:tblPr>
        <w:tblW w:w="0" w:type="auto"/>
        <w:tblLayout w:type="fixed"/>
        <w:tblCellMar>
          <w:left w:w="62" w:type="dxa"/>
          <w:right w:w="62" w:type="dxa"/>
        </w:tblCellMar>
        <w:tblLook w:val="0000"/>
      </w:tblPr>
      <w:tblGrid>
        <w:gridCol w:w="406"/>
        <w:gridCol w:w="2294"/>
        <w:gridCol w:w="838"/>
        <w:gridCol w:w="4922"/>
      </w:tblGrid>
      <w:tr w:rsidTr="001F442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rPr>
                <w:rStyle w:val="SpecialBold"/>
              </w:rPr>
              <w:t>PERFORMANCE CRITERIA</w:t>
            </w:r>
          </w:p>
        </w:tc>
      </w:tr>
      <w:tr w:rsidTr="001F442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1</w:t>
            </w:r>
          </w:p>
        </w:tc>
        <w:tc>
          <w:tcPr>
            <w:tcW w:w="2294"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Prepare to undertake HV switching procedures to a given schedule</w:t>
            </w:r>
          </w:p>
        </w:tc>
        <w:tc>
          <w:tcPr>
            <w:tcW w:w="838"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1.1</w:t>
            </w:r>
          </w:p>
        </w:tc>
        <w:tc>
          <w:tcPr>
            <w:tcW w:w="4922"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Switching and work schedule(s), including drawings, plans, requirements, established procedures, and material lists, are received, analysed and confirmed, if necessary, by site inspection.</w:t>
            </w:r>
          </w:p>
        </w:tc>
      </w:tr>
      <w:tr w:rsidTr="001F442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1.2</w:t>
            </w:r>
          </w:p>
        </w:tc>
        <w:tc>
          <w:tcPr>
            <w:tcW w:w="4922"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Relevant requirements and established procedures for the wor</w:t>
            </w:r>
            <w:r w:rsidRPr="00110DA8">
              <w:t>k are communicated to all personnel and identified for all work sites.</w:t>
            </w:r>
          </w:p>
        </w:tc>
      </w:tr>
      <w:tr w:rsidTr="001F442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1.3</w:t>
            </w:r>
          </w:p>
        </w:tc>
        <w:tc>
          <w:tcPr>
            <w:tcW w:w="4922"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OHS policies and procedures related to requirements and established procedures for HV switching are obtained and confirmed for the purposes of the work to be performed and commun</w:t>
            </w:r>
            <w:r w:rsidRPr="00110DA8">
              <w:t>icated.</w:t>
            </w:r>
          </w:p>
        </w:tc>
      </w:tr>
      <w:tr w:rsidTr="001F442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1.4</w:t>
            </w:r>
          </w:p>
        </w:tc>
        <w:tc>
          <w:tcPr>
            <w:tcW w:w="4922"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Work is prioritised and sequenced following consultation with others for completion within acceptable timeframes and in accordance with established procedures.</w:t>
            </w:r>
          </w:p>
        </w:tc>
      </w:tr>
      <w:tr w:rsidTr="001F442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1.5</w:t>
            </w:r>
          </w:p>
        </w:tc>
        <w:tc>
          <w:tcPr>
            <w:tcW w:w="4922"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Hazards are identified, OHS risks assessed and control measures are prioritised, implemented and monitored including emergency exits kept clear according to established procedures.</w:t>
            </w:r>
          </w:p>
        </w:tc>
      </w:tr>
      <w:tr w:rsidTr="001F442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1.6</w:t>
            </w:r>
          </w:p>
        </w:tc>
        <w:tc>
          <w:tcPr>
            <w:tcW w:w="4922"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Relevant authority is obtained to perform work according to requirem</w:t>
            </w:r>
            <w:r w:rsidRPr="00110DA8">
              <w:t>ents and/or established procedures.</w:t>
            </w:r>
          </w:p>
        </w:tc>
      </w:tr>
      <w:tr w:rsidTr="001F442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1.7</w:t>
            </w:r>
          </w:p>
        </w:tc>
        <w:tc>
          <w:tcPr>
            <w:tcW w:w="4922"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Resources including personnel, equipment, tools and personal protective equipment required for the job are obtained and confirmed in working order.</w:t>
            </w:r>
          </w:p>
        </w:tc>
      </w:tr>
      <w:tr w:rsidTr="001F442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1.8</w:t>
            </w:r>
          </w:p>
        </w:tc>
        <w:tc>
          <w:tcPr>
            <w:tcW w:w="4922"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Relevant personnel at wo</w:t>
            </w:r>
            <w:r w:rsidRPr="00110DA8">
              <w:t>rksite are confirmed current in First Aid and other related work procedures according to requirements.</w:t>
            </w:r>
          </w:p>
        </w:tc>
      </w:tr>
      <w:tr w:rsidTr="001F442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1.9</w:t>
            </w:r>
          </w:p>
        </w:tc>
        <w:tc>
          <w:tcPr>
            <w:tcW w:w="4922"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Liaison and communication issues with other/authorised personnel, authorities, clients and land owners are resolved to carry out work where necess</w:t>
            </w:r>
            <w:r w:rsidRPr="00110DA8">
              <w:t>ary.</w:t>
            </w:r>
          </w:p>
        </w:tc>
      </w:tr>
      <w:tr w:rsidTr="001F442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1.10</w:t>
            </w:r>
          </w:p>
        </w:tc>
        <w:tc>
          <w:tcPr>
            <w:tcW w:w="4922"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Site is prepared according to the work schedule and to minimise risk and damage to property, commerce, and individuals in accordance with established procedures.</w:t>
            </w:r>
          </w:p>
        </w:tc>
      </w:tr>
      <w:tr w:rsidTr="001F442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1.11</w:t>
            </w:r>
          </w:p>
        </w:tc>
        <w:tc>
          <w:tcPr>
            <w:tcW w:w="4922"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Personnel participating in the work, including plant operators and contra</w:t>
            </w:r>
            <w:r w:rsidRPr="00110DA8">
              <w:t>ctors, are fully briefed and respective responsibilities confirmed where applicable in accordance with established procedures.</w:t>
            </w:r>
          </w:p>
        </w:tc>
      </w:tr>
      <w:tr w:rsidTr="001F442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1.12</w:t>
            </w:r>
          </w:p>
        </w:tc>
        <w:tc>
          <w:tcPr>
            <w:tcW w:w="4922"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Road signs, barriers and warning devices are positioned in accordance with requirements.</w:t>
            </w:r>
          </w:p>
        </w:tc>
      </w:tr>
      <w:tr w:rsidTr="001F442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2</w:t>
            </w:r>
          </w:p>
        </w:tc>
        <w:tc>
          <w:tcPr>
            <w:tcW w:w="2294"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Carry out HV switching procedures to a given schedule</w:t>
            </w:r>
          </w:p>
        </w:tc>
        <w:tc>
          <w:tcPr>
            <w:tcW w:w="838"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2.1</w:t>
            </w:r>
          </w:p>
        </w:tc>
        <w:tc>
          <w:tcPr>
            <w:tcW w:w="4922"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OHS and sustainable energy principles and practices to reduce the incidents of accidents and minimise waste are monitored and followed in accordance with requirements and/or established procedures.</w:t>
            </w:r>
          </w:p>
        </w:tc>
      </w:tr>
      <w:tr w:rsidTr="001F442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2.2</w:t>
            </w:r>
          </w:p>
        </w:tc>
        <w:tc>
          <w:tcPr>
            <w:tcW w:w="4922"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Lifting, climbing, working in confined spaces and aloft, and use of power tools/equipment, techniques and practices are safely followed and, currency according to requirements confirmed.</w:t>
            </w:r>
          </w:p>
        </w:tc>
      </w:tr>
      <w:tr w:rsidTr="001F442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2.3</w:t>
            </w:r>
          </w:p>
        </w:tc>
        <w:tc>
          <w:tcPr>
            <w:tcW w:w="4922"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Essential knowledge and associated skills are applied f</w:t>
            </w:r>
            <w:r w:rsidRPr="00110DA8">
              <w:t>or the safe undertaking of HV switching procedures to a given schedule to ensure completion in an agreed timeframe and, to quality standards with a minimum of waste according to requirements.</w:t>
            </w:r>
          </w:p>
        </w:tc>
      </w:tr>
      <w:tr w:rsidTr="001F442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2.4</w:t>
            </w:r>
          </w:p>
        </w:tc>
        <w:tc>
          <w:tcPr>
            <w:tcW w:w="4922"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Communications with Switching Control Officer are establi</w:t>
            </w:r>
            <w:r w:rsidRPr="00110DA8">
              <w:t>shed and maintained throughout the isolation operation according to established procedures.</w:t>
            </w:r>
          </w:p>
        </w:tc>
      </w:tr>
      <w:tr w:rsidTr="001F442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2.5</w:t>
            </w:r>
          </w:p>
        </w:tc>
        <w:tc>
          <w:tcPr>
            <w:tcW w:w="4922"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 xml:space="preserve">Electrical equipment and associated circuits line/network or work site to be switched including paralleling is isolated and proved de-energised </w:t>
            </w:r>
            <w:r w:rsidRPr="00110DA8">
              <w:t>using appropriate devices and earthed where required according to requirements and established procedures.</w:t>
            </w:r>
          </w:p>
        </w:tc>
      </w:tr>
      <w:tr w:rsidTr="001F442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2.6</w:t>
            </w:r>
          </w:p>
        </w:tc>
        <w:tc>
          <w:tcPr>
            <w:tcW w:w="4922"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Hazard warnings and safety signs are recognised and hazards and assessed OHS risks are reported to the immediate authorised persons for direct</w:t>
            </w:r>
            <w:r w:rsidRPr="00110DA8">
              <w:t>ions according to established procedures.</w:t>
            </w:r>
          </w:p>
        </w:tc>
      </w:tr>
      <w:tr w:rsidTr="001F442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2.7</w:t>
            </w:r>
          </w:p>
        </w:tc>
        <w:tc>
          <w:tcPr>
            <w:tcW w:w="4922"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Unplanned events occurring during HV switching procedures to a given schedule are responded to and undertaken within the scope of established procedures.</w:t>
            </w:r>
          </w:p>
        </w:tc>
      </w:tr>
      <w:tr w:rsidTr="001F442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2.8</w:t>
            </w:r>
          </w:p>
        </w:tc>
        <w:tc>
          <w:tcPr>
            <w:tcW w:w="4922"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Relevant permits are prepared and issued in ac</w:t>
            </w:r>
            <w:r w:rsidRPr="00110DA8">
              <w:t>cordance with established procedures.</w:t>
            </w:r>
          </w:p>
        </w:tc>
      </w:tr>
      <w:tr w:rsidTr="001F442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2.9</w:t>
            </w:r>
          </w:p>
        </w:tc>
        <w:tc>
          <w:tcPr>
            <w:tcW w:w="4922"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Known solutions to a variety of problems are applied using acquired essential knowledge and associated skills.</w:t>
            </w:r>
          </w:p>
        </w:tc>
      </w:tr>
      <w:tr w:rsidTr="001F442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2.10</w:t>
            </w:r>
          </w:p>
        </w:tc>
        <w:tc>
          <w:tcPr>
            <w:tcW w:w="4922"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Ongoing checks of quality of the wor</w:t>
            </w:r>
            <w:r w:rsidRPr="00110DA8">
              <w:t>k are undertaken in accordance with instructions and established procedures.</w:t>
            </w:r>
          </w:p>
        </w:tc>
      </w:tr>
      <w:tr w:rsidTr="001F442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3</w:t>
            </w:r>
          </w:p>
        </w:tc>
        <w:tc>
          <w:tcPr>
            <w:tcW w:w="2294"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Complete HV switching procedures to a given schedule</w:t>
            </w:r>
          </w:p>
        </w:tc>
        <w:tc>
          <w:tcPr>
            <w:tcW w:w="838"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3.1</w:t>
            </w:r>
          </w:p>
        </w:tc>
        <w:tc>
          <w:tcPr>
            <w:tcW w:w="4922"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Work undertaken is checked against works schedule for conformance with requirements and anomalies reported in accordanc</w:t>
            </w:r>
            <w:r w:rsidRPr="00110DA8">
              <w:t>e with established procedures.</w:t>
            </w:r>
          </w:p>
        </w:tc>
      </w:tr>
      <w:tr w:rsidTr="001F442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3.2</w:t>
            </w:r>
          </w:p>
        </w:tc>
        <w:tc>
          <w:tcPr>
            <w:tcW w:w="4922"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Accidents and/or injuries are reported in accordance with requirements/established procedures, where applicable.</w:t>
            </w:r>
          </w:p>
        </w:tc>
      </w:tr>
      <w:tr w:rsidTr="001F442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3.3</w:t>
            </w:r>
          </w:p>
        </w:tc>
        <w:tc>
          <w:tcPr>
            <w:tcW w:w="4922"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Work site is rehabilitated, cleaned up and made safe in accordance with established procedures.</w:t>
            </w:r>
          </w:p>
        </w:tc>
      </w:tr>
      <w:tr w:rsidTr="001F442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3.4</w:t>
            </w:r>
          </w:p>
        </w:tc>
        <w:tc>
          <w:tcPr>
            <w:tcW w:w="4922"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Tools, equipment and any surplus resources and materials are, where appropriate, cleaned, checked and returned to storage in accordance with established procedures.</w:t>
            </w:r>
          </w:p>
        </w:tc>
      </w:tr>
      <w:tr w:rsidTr="001F442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3.5</w:t>
            </w:r>
          </w:p>
        </w:tc>
        <w:tc>
          <w:tcPr>
            <w:tcW w:w="4922"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Relevant permit(s) are signed off, safety devices are removed, and the system i</w:t>
            </w:r>
            <w:r w:rsidRPr="00110DA8">
              <w:t>s re-energised and returned to service in accordance with requirements/established procedures.</w:t>
            </w:r>
          </w:p>
        </w:tc>
      </w:tr>
      <w:tr w:rsidTr="001F442B">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t>3.6</w:t>
            </w:r>
          </w:p>
        </w:tc>
        <w:tc>
          <w:tcPr>
            <w:tcW w:w="4922" w:type="dxa"/>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t>Works completion records, reports, as installed /modified drawing and/or documentation and information are finalised and processed and appropriate personn</w:t>
            </w:r>
            <w:r w:rsidRPr="00110DA8">
              <w:t>el and authority notified.</w:t>
            </w:r>
          </w:p>
        </w:tc>
      </w:tr>
    </w:tbl>
    <w:p w:rsidR="00000000" w:rsidRPr="00110DA8" w:rsidP="00110DA8">
      <w:pPr>
        <w:pStyle w:val="BodyText"/>
      </w:pPr>
    </w:p>
    <w:p w:rsidR="00000000" w:rsidRPr="00110DA8" w:rsidP="00110DA8">
      <w:pPr>
        <w:pStyle w:val="AllowPageBreak"/>
      </w:pPr>
    </w:p>
    <w:p w:rsidR="00000000" w:rsidRPr="00110DA8" w:rsidP="00110DA8">
      <w:pPr>
        <w:pStyle w:val="Heading1"/>
      </w:pPr>
      <w:bookmarkStart w:id="9" w:name="O_536635"/>
      <w:bookmarkEnd w:id="9"/>
      <w:r w:rsidRPr="00110DA8">
        <w:t>Required Skills and Knowledge</w:t>
      </w:r>
    </w:p>
    <w:tbl>
      <w:tblPr>
        <w:tblW w:w="0" w:type="auto"/>
        <w:tblLayout w:type="fixed"/>
        <w:tblCellMar>
          <w:left w:w="62" w:type="dxa"/>
          <w:right w:w="62" w:type="dxa"/>
        </w:tblCellMar>
        <w:tblLook w:val="0000"/>
      </w:tblPr>
      <w:tblGrid>
        <w:gridCol w:w="8460"/>
      </w:tblGrid>
      <w:tr w:rsidTr="001F442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rPr>
                <w:rStyle w:val="SpecialBold"/>
              </w:rPr>
              <w:t>REQUIRED SKILLS AND KNOWLEDGE</w:t>
            </w:r>
          </w:p>
        </w:tc>
      </w:tr>
      <w:tr w:rsidTr="001F442B">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rPr>
                <w:rStyle w:val="SpecialBold"/>
              </w:rPr>
              <w:t>8)</w:t>
            </w:r>
            <w:r w:rsidRPr="00110DA8">
              <w:t xml:space="preserve"> Essential Knowledge and Associated Skills (EKAS): This describes the essential skills and knowledge and their level, required for this unit.</w:t>
            </w:r>
          </w:p>
          <w:p w:rsidR="00000000" w:rsidRPr="00110DA8" w:rsidP="00110DA8">
            <w:pPr>
              <w:pStyle w:val="BodyText"/>
            </w:pPr>
            <w:r w:rsidRPr="00110DA8">
              <w:t>Evidence shall show that knowledge has been acquired of performing high voltage field switching to a given schedule.</w:t>
            </w:r>
          </w:p>
          <w:p w:rsidR="00000000" w:rsidRPr="00110DA8" w:rsidP="00110DA8">
            <w:pPr>
              <w:pStyle w:val="BodyText"/>
            </w:pPr>
            <w:r w:rsidRPr="00110DA8">
              <w:t>All knowledge and skills detailed in this unit should be contextualised to current industry practices and technologies.</w:t>
            </w:r>
          </w:p>
          <w:p w:rsidR="00000000" w:rsidRPr="00110DA8" w:rsidP="00110DA8">
            <w:pPr>
              <w:pStyle w:val="BodyText"/>
            </w:pPr>
            <w:r w:rsidRPr="00110DA8">
              <w:t xml:space="preserve">KS01-TIS44A </w:t>
            </w:r>
            <w:r w:rsidRPr="00110DA8">
              <w:tab/>
              <w:t>High v</w:t>
            </w:r>
            <w:r w:rsidRPr="00110DA8">
              <w:t>oltage switching</w:t>
            </w:r>
          </w:p>
          <w:p w:rsidR="00000000" w:rsidRPr="00110DA8" w:rsidP="00110DA8">
            <w:pPr>
              <w:pStyle w:val="BodyText"/>
            </w:pPr>
            <w:r w:rsidRPr="00110DA8">
              <w:t>Evidence shall show an understanding of high voltage switching principles to an extent indicated by the following aspects:</w:t>
            </w:r>
          </w:p>
          <w:p w:rsidR="00000000" w:rsidRPr="00110DA8" w:rsidP="00110DA8">
            <w:pPr>
              <w:pStyle w:val="BodyText"/>
            </w:pPr>
            <w:r w:rsidRPr="00110DA8">
              <w:t>T1</w:t>
            </w:r>
            <w:r w:rsidRPr="00110DA8">
              <w:tab/>
              <w:t>Standards, codes, legislation, supply authority regulations and or enterprise requirements applicable to switchin</w:t>
            </w:r>
            <w:r w:rsidRPr="00110DA8">
              <w:t xml:space="preserve">g of high voltage to a given schedule </w:t>
            </w:r>
          </w:p>
          <w:p w:rsidR="00000000" w:rsidRPr="00110DA8" w:rsidP="00110DA8">
            <w:pPr>
              <w:pStyle w:val="BodyText"/>
            </w:pPr>
            <w:r w:rsidRPr="00110DA8">
              <w:t>T2</w:t>
            </w:r>
            <w:r w:rsidRPr="00110DA8">
              <w:tab/>
              <w:t xml:space="preserve">Requirements for the use of manuals, system diagrams/plans and drawings encompassing: </w:t>
            </w:r>
          </w:p>
          <w:p w:rsidR="00000000" w:rsidRPr="00110DA8" w:rsidP="00110DA8">
            <w:pPr>
              <w:pStyle w:val="BodyText"/>
            </w:pPr>
            <w:r w:rsidRPr="00110DA8">
              <w:t>•</w:t>
            </w:r>
            <w:r w:rsidRPr="00110DA8">
              <w:tab/>
              <w:t xml:space="preserve">Types, characteristics and capabilities of electrical apparatus </w:t>
            </w:r>
          </w:p>
          <w:p w:rsidR="00000000" w:rsidRPr="00110DA8" w:rsidP="00110DA8">
            <w:pPr>
              <w:pStyle w:val="BodyText"/>
            </w:pPr>
            <w:r w:rsidRPr="00110DA8">
              <w:t>•</w:t>
            </w:r>
            <w:r w:rsidRPr="00110DA8">
              <w:tab/>
              <w:t>Use, characteristics and capabilities of specialised tools</w:t>
            </w:r>
            <w:r w:rsidRPr="00110DA8">
              <w:t xml:space="preserve"> and testing equipment </w:t>
            </w:r>
          </w:p>
          <w:p w:rsidR="00000000" w:rsidRPr="00110DA8" w:rsidP="00110DA8">
            <w:pPr>
              <w:pStyle w:val="BodyText"/>
            </w:pPr>
            <w:r w:rsidRPr="00110DA8">
              <w:t>•</w:t>
            </w:r>
            <w:r w:rsidRPr="00110DA8">
              <w:tab/>
              <w:t xml:space="preserve">Network interconnectors source of possible backfeed </w:t>
            </w:r>
          </w:p>
          <w:p w:rsidR="00000000" w:rsidRPr="00110DA8" w:rsidP="00110DA8">
            <w:pPr>
              <w:pStyle w:val="BodyText"/>
            </w:pPr>
            <w:r w:rsidRPr="00110DA8">
              <w:t>T3</w:t>
            </w:r>
            <w:r w:rsidRPr="00110DA8">
              <w:tab/>
              <w:t xml:space="preserve">Role of the HV switching operator </w:t>
            </w:r>
          </w:p>
          <w:p w:rsidR="00000000" w:rsidRPr="00110DA8" w:rsidP="00110DA8">
            <w:pPr>
              <w:pStyle w:val="BodyText"/>
            </w:pPr>
            <w:r w:rsidRPr="00110DA8">
              <w:t>T4</w:t>
            </w:r>
            <w:r w:rsidRPr="00110DA8">
              <w:tab/>
              <w:t>Procedures for obtaining correct HV switching authorisation encompassing:</w:t>
            </w:r>
          </w:p>
          <w:p w:rsidR="00000000" w:rsidRPr="00110DA8" w:rsidP="00110DA8">
            <w:pPr>
              <w:pStyle w:val="BodyText"/>
            </w:pPr>
            <w:r w:rsidRPr="00110DA8">
              <w:t>•</w:t>
            </w:r>
            <w:r w:rsidRPr="00110DA8">
              <w:tab/>
              <w:t>Identification of OHS hazards, assessing and controlling ris</w:t>
            </w:r>
            <w:r w:rsidRPr="00110DA8">
              <w:t>ks</w:t>
            </w:r>
          </w:p>
          <w:p w:rsidR="00000000" w:rsidRPr="00110DA8" w:rsidP="00110DA8">
            <w:pPr>
              <w:pStyle w:val="BodyText"/>
            </w:pPr>
            <w:r w:rsidRPr="00110DA8">
              <w:t>•</w:t>
            </w:r>
            <w:r w:rsidRPr="00110DA8">
              <w:tab/>
              <w:t>Safety procedures and precautions</w:t>
            </w:r>
          </w:p>
          <w:p w:rsidR="00000000" w:rsidRPr="00110DA8" w:rsidP="00110DA8">
            <w:pPr>
              <w:pStyle w:val="BodyText"/>
            </w:pPr>
            <w:r w:rsidRPr="00110DA8">
              <w:t>•</w:t>
            </w:r>
            <w:r w:rsidRPr="00110DA8">
              <w:tab/>
              <w:t>Safe approach distances</w:t>
            </w:r>
          </w:p>
          <w:p w:rsidR="00000000" w:rsidRPr="00110DA8" w:rsidP="00110DA8">
            <w:pPr>
              <w:pStyle w:val="BodyText"/>
            </w:pPr>
            <w:r w:rsidRPr="00110DA8">
              <w:t>•</w:t>
            </w:r>
            <w:r w:rsidRPr="00110DA8">
              <w:tab/>
              <w:t>Responsibilities and protocols</w:t>
            </w:r>
          </w:p>
          <w:p w:rsidR="00000000" w:rsidRPr="00110DA8" w:rsidP="00110DA8">
            <w:pPr>
              <w:pStyle w:val="BodyText"/>
            </w:pPr>
            <w:r w:rsidRPr="00110DA8">
              <w:t>•</w:t>
            </w:r>
            <w:r w:rsidRPr="00110DA8">
              <w:tab/>
              <w:t>Identifying switching resources</w:t>
            </w:r>
          </w:p>
          <w:p w:rsidR="00000000" w:rsidRPr="00110DA8" w:rsidP="00110DA8">
            <w:pPr>
              <w:pStyle w:val="BodyText"/>
            </w:pPr>
            <w:r w:rsidRPr="00110DA8">
              <w:t>•</w:t>
            </w:r>
            <w:r w:rsidRPr="00110DA8">
              <w:tab/>
              <w:t>Procedures for obtaining electrical access permits/authorities</w:t>
            </w:r>
          </w:p>
          <w:p w:rsidR="00000000" w:rsidRPr="00110DA8" w:rsidP="00110DA8">
            <w:pPr>
              <w:pStyle w:val="BodyText"/>
            </w:pPr>
            <w:r w:rsidRPr="00110DA8">
              <w:t>•</w:t>
            </w:r>
            <w:r w:rsidRPr="00110DA8">
              <w:tab/>
              <w:t>Requirements for team switching</w:t>
            </w:r>
          </w:p>
          <w:p w:rsidR="00000000" w:rsidRPr="00110DA8" w:rsidP="00110DA8">
            <w:pPr>
              <w:pStyle w:val="BodyText"/>
            </w:pPr>
            <w:r w:rsidRPr="00110DA8">
              <w:t>•</w:t>
            </w:r>
            <w:r w:rsidRPr="00110DA8">
              <w:tab/>
              <w:t>Procedures for coordina</w:t>
            </w:r>
            <w:r w:rsidRPr="00110DA8">
              <w:t>tion of operations</w:t>
            </w:r>
          </w:p>
          <w:p w:rsidR="00000000" w:rsidRPr="00110DA8" w:rsidP="00110DA8">
            <w:pPr>
              <w:pStyle w:val="BodyText"/>
            </w:pPr>
            <w:r w:rsidRPr="00110DA8">
              <w:t>T5</w:t>
            </w:r>
            <w:r w:rsidRPr="00110DA8">
              <w:tab/>
              <w:t xml:space="preserve">Use and operation of equipment associated with HV overhead and substation equipment encompassing: </w:t>
            </w:r>
          </w:p>
          <w:p w:rsidR="00000000" w:rsidRPr="00110DA8" w:rsidP="00110DA8">
            <w:pPr>
              <w:pStyle w:val="BodyText"/>
            </w:pPr>
            <w:r w:rsidRPr="00110DA8">
              <w:t>•</w:t>
            </w:r>
            <w:r w:rsidRPr="00110DA8">
              <w:tab/>
              <w:t xml:space="preserve">Test instruments </w:t>
            </w:r>
          </w:p>
          <w:p w:rsidR="00000000" w:rsidRPr="00110DA8" w:rsidP="00110DA8">
            <w:pPr>
              <w:pStyle w:val="BodyText"/>
            </w:pPr>
            <w:r w:rsidRPr="00110DA8">
              <w:t>•</w:t>
            </w:r>
            <w:r w:rsidRPr="00110DA8">
              <w:tab/>
              <w:t xml:space="preserve">Sticks </w:t>
            </w:r>
          </w:p>
          <w:p w:rsidR="00000000" w:rsidRPr="00110DA8" w:rsidP="00110DA8">
            <w:pPr>
              <w:pStyle w:val="BodyText"/>
            </w:pPr>
            <w:r w:rsidRPr="00110DA8">
              <w:t>•</w:t>
            </w:r>
            <w:r w:rsidRPr="00110DA8">
              <w:tab/>
              <w:t xml:space="preserve">Interrupters </w:t>
            </w:r>
          </w:p>
          <w:p w:rsidR="00000000" w:rsidRPr="00110DA8" w:rsidP="00110DA8">
            <w:pPr>
              <w:pStyle w:val="BodyText"/>
            </w:pPr>
            <w:r w:rsidRPr="00110DA8">
              <w:t>•</w:t>
            </w:r>
            <w:r w:rsidRPr="00110DA8">
              <w:tab/>
              <w:t xml:space="preserve">Arc stranglers </w:t>
            </w:r>
          </w:p>
          <w:p w:rsidR="00000000" w:rsidRPr="00110DA8" w:rsidP="00110DA8">
            <w:pPr>
              <w:pStyle w:val="BodyText"/>
            </w:pPr>
            <w:r w:rsidRPr="00110DA8">
              <w:t>T6</w:t>
            </w:r>
            <w:r w:rsidRPr="00110DA8">
              <w:tab/>
              <w:t>Operation of protection systems and substation equipment</w:t>
            </w:r>
          </w:p>
          <w:p w:rsidR="00000000" w:rsidRPr="00110DA8" w:rsidP="00110DA8">
            <w:pPr>
              <w:pStyle w:val="BodyText"/>
            </w:pPr>
            <w:r w:rsidRPr="00110DA8">
              <w:t>•</w:t>
            </w:r>
            <w:r w:rsidRPr="00110DA8">
              <w:tab/>
            </w:r>
            <w:r w:rsidRPr="00110DA8">
              <w:t>Note: Examples include fault levels and settings; types and applications; protection systems and substation equipment fault levels and settings; types and applications</w:t>
            </w:r>
          </w:p>
          <w:p w:rsidR="00000000" w:rsidRPr="00110DA8" w:rsidP="00110DA8">
            <w:pPr>
              <w:pStyle w:val="BodyText"/>
            </w:pPr>
            <w:r w:rsidRPr="00110DA8">
              <w:t>T7</w:t>
            </w:r>
            <w:r w:rsidRPr="00110DA8">
              <w:tab/>
              <w:t xml:space="preserve">Types and categories of HV switchgear </w:t>
            </w:r>
          </w:p>
          <w:p w:rsidR="00000000" w:rsidRPr="00110DA8" w:rsidP="00110DA8">
            <w:pPr>
              <w:pStyle w:val="BodyText"/>
            </w:pPr>
            <w:r w:rsidRPr="00110DA8">
              <w:t>T8</w:t>
            </w:r>
            <w:r w:rsidRPr="00110DA8">
              <w:tab/>
              <w:t>Application, function and operating capabil</w:t>
            </w:r>
            <w:r w:rsidRPr="00110DA8">
              <w:t xml:space="preserve">ities of switchgear </w:t>
            </w:r>
          </w:p>
          <w:p w:rsidR="00000000" w:rsidRPr="00110DA8" w:rsidP="00110DA8">
            <w:pPr>
              <w:pStyle w:val="BodyText"/>
            </w:pPr>
            <w:r w:rsidRPr="00110DA8">
              <w:t>T9</w:t>
            </w:r>
            <w:r w:rsidRPr="00110DA8">
              <w:tab/>
              <w:t xml:space="preserve">Restrictions pertaining to HV switching equipment </w:t>
            </w:r>
          </w:p>
          <w:p w:rsidR="00000000" w:rsidRPr="00110DA8" w:rsidP="00110DA8">
            <w:pPr>
              <w:pStyle w:val="BodyText"/>
            </w:pPr>
            <w:r w:rsidRPr="00110DA8">
              <w:t>T10</w:t>
            </w:r>
            <w:r w:rsidRPr="00110DA8">
              <w:tab/>
              <w:t xml:space="preserve">Procedures for the isolation of HV transmission main and working earths </w:t>
            </w:r>
          </w:p>
          <w:p w:rsidR="00000000" w:rsidRPr="00110DA8" w:rsidP="00110DA8">
            <w:pPr>
              <w:pStyle w:val="BodyText"/>
            </w:pPr>
            <w:r w:rsidRPr="00110DA8">
              <w:t>T11</w:t>
            </w:r>
            <w:r w:rsidRPr="00110DA8">
              <w:tab/>
              <w:t>Earthing HV electrical apparatus practices and procedures for access encompassing:</w:t>
            </w:r>
          </w:p>
          <w:p w:rsidR="00000000" w:rsidRPr="00110DA8" w:rsidP="00110DA8">
            <w:pPr>
              <w:pStyle w:val="BodyText"/>
            </w:pPr>
            <w:r w:rsidRPr="00110DA8">
              <w:t>•</w:t>
            </w:r>
            <w:r w:rsidRPr="00110DA8">
              <w:tab/>
              <w:t>Purposes of Ope</w:t>
            </w:r>
            <w:r w:rsidRPr="00110DA8">
              <w:t xml:space="preserve">rational and additional work part - on-site earths </w:t>
            </w:r>
          </w:p>
          <w:p w:rsidR="00000000" w:rsidRPr="00110DA8" w:rsidP="00110DA8">
            <w:pPr>
              <w:pStyle w:val="BodyText"/>
            </w:pPr>
            <w:r w:rsidRPr="00110DA8">
              <w:t>•</w:t>
            </w:r>
            <w:r w:rsidRPr="00110DA8">
              <w:tab/>
              <w:t xml:space="preserve">Factors determining the location and effectiveness of Operational earthing </w:t>
            </w:r>
          </w:p>
          <w:p w:rsidR="00000000" w:rsidRPr="00110DA8" w:rsidP="00110DA8">
            <w:pPr>
              <w:pStyle w:val="BodyText"/>
            </w:pPr>
            <w:r w:rsidRPr="00110DA8">
              <w:t>•</w:t>
            </w:r>
            <w:r w:rsidRPr="00110DA8">
              <w:tab/>
              <w:t xml:space="preserve">Acceptable industry procedures </w:t>
            </w:r>
          </w:p>
          <w:p w:rsidR="00000000" w:rsidRPr="00110DA8" w:rsidP="00110DA8">
            <w:pPr>
              <w:pStyle w:val="BodyText"/>
            </w:pPr>
            <w:r w:rsidRPr="00110DA8">
              <w:t>•</w:t>
            </w:r>
            <w:r w:rsidRPr="00110DA8">
              <w:tab/>
              <w:t xml:space="preserve">Personal protective equipment </w:t>
            </w:r>
          </w:p>
          <w:p w:rsidR="00000000" w:rsidRPr="00110DA8" w:rsidP="00110DA8">
            <w:pPr>
              <w:pStyle w:val="BodyText"/>
            </w:pPr>
            <w:r w:rsidRPr="00110DA8">
              <w:t>T12</w:t>
            </w:r>
            <w:r w:rsidRPr="00110DA8">
              <w:tab/>
              <w:t xml:space="preserve">High voltage switching techniques </w:t>
            </w:r>
          </w:p>
          <w:p w:rsidR="00000000" w:rsidRPr="00110DA8" w:rsidP="00110DA8">
            <w:pPr>
              <w:pStyle w:val="BodyText"/>
            </w:pPr>
            <w:r w:rsidRPr="00110DA8">
              <w:t>•</w:t>
            </w:r>
            <w:r w:rsidRPr="00110DA8">
              <w:tab/>
              <w:t>Pre-switching chec</w:t>
            </w:r>
            <w:r w:rsidRPr="00110DA8">
              <w:t>ks</w:t>
            </w:r>
          </w:p>
          <w:p w:rsidR="00000000" w:rsidRPr="00110DA8" w:rsidP="00110DA8">
            <w:pPr>
              <w:pStyle w:val="BodyText"/>
            </w:pPr>
            <w:r w:rsidRPr="00110DA8">
              <w:t>•</w:t>
            </w:r>
            <w:r w:rsidRPr="00110DA8">
              <w:tab/>
              <w:t>Switching operational procedures</w:t>
            </w:r>
          </w:p>
          <w:p w:rsidR="00000000" w:rsidRPr="00110DA8" w:rsidP="00110DA8">
            <w:pPr>
              <w:pStyle w:val="BodyText"/>
            </w:pPr>
            <w:r w:rsidRPr="00110DA8">
              <w:t>•</w:t>
            </w:r>
            <w:r w:rsidRPr="00110DA8">
              <w:tab/>
              <w:t>Isolation procedures and proving dead/de-energised</w:t>
            </w:r>
          </w:p>
          <w:p w:rsidR="00000000" w:rsidRPr="00110DA8" w:rsidP="00110DA8">
            <w:pPr>
              <w:pStyle w:val="BodyText"/>
            </w:pPr>
            <w:r w:rsidRPr="00110DA8">
              <w:t>•</w:t>
            </w:r>
            <w:r w:rsidRPr="00110DA8">
              <w:tab/>
              <w:t>Earthing procedures</w:t>
            </w:r>
          </w:p>
          <w:p w:rsidR="00000000" w:rsidRPr="00110DA8" w:rsidP="00110DA8">
            <w:pPr>
              <w:pStyle w:val="BodyText"/>
            </w:pPr>
            <w:r w:rsidRPr="00110DA8">
              <w:t>•</w:t>
            </w:r>
            <w:r w:rsidRPr="00110DA8">
              <w:tab/>
              <w:t>Pre-switching checks</w:t>
            </w:r>
          </w:p>
          <w:p w:rsidR="00000000" w:rsidRPr="00110DA8" w:rsidP="00110DA8">
            <w:pPr>
              <w:pStyle w:val="BodyText"/>
            </w:pPr>
            <w:r w:rsidRPr="00110DA8">
              <w:t>•</w:t>
            </w:r>
            <w:r w:rsidRPr="00110DA8">
              <w:tab/>
              <w:t>Switching operational procedures</w:t>
            </w:r>
          </w:p>
          <w:p w:rsidR="00000000" w:rsidRPr="00110DA8" w:rsidP="00110DA8">
            <w:pPr>
              <w:pStyle w:val="BodyText"/>
            </w:pPr>
            <w:r w:rsidRPr="00110DA8">
              <w:t>•</w:t>
            </w:r>
            <w:r w:rsidRPr="00110DA8">
              <w:tab/>
              <w:t>Emergency fault procedures</w:t>
            </w:r>
          </w:p>
          <w:p w:rsidR="00000000" w:rsidRPr="00110DA8" w:rsidP="00110DA8">
            <w:pPr>
              <w:pStyle w:val="BodyText"/>
            </w:pPr>
            <w:r w:rsidRPr="00110DA8">
              <w:t>•</w:t>
            </w:r>
            <w:r w:rsidRPr="00110DA8">
              <w:tab/>
              <w:t>Energisation procedures</w:t>
            </w:r>
          </w:p>
          <w:p w:rsidR="00000000" w:rsidRPr="00110DA8" w:rsidP="00110DA8">
            <w:pPr>
              <w:pStyle w:val="BodyText"/>
            </w:pPr>
            <w:r w:rsidRPr="00110DA8">
              <w:t>T13</w:t>
            </w:r>
            <w:r w:rsidRPr="00110DA8">
              <w:tab/>
              <w:t>Application and function o</w:t>
            </w:r>
            <w:r w:rsidRPr="00110DA8">
              <w:t>f SWER system components</w:t>
            </w:r>
          </w:p>
          <w:p w:rsidR="00000000" w:rsidRPr="00110DA8" w:rsidP="00110DA8">
            <w:pPr>
              <w:pStyle w:val="BodyText"/>
            </w:pPr>
            <w:r w:rsidRPr="00110DA8">
              <w:t>•</w:t>
            </w:r>
            <w:r w:rsidRPr="00110DA8">
              <w:tab/>
              <w:t>Circuit arrangement</w:t>
            </w:r>
          </w:p>
          <w:p w:rsidR="00000000" w:rsidRPr="00110DA8" w:rsidP="00110DA8">
            <w:pPr>
              <w:pStyle w:val="BodyText"/>
            </w:pPr>
            <w:r w:rsidRPr="00110DA8">
              <w:t>•</w:t>
            </w:r>
            <w:r w:rsidRPr="00110DA8">
              <w:tab/>
              <w:t>Principle of operation</w:t>
            </w:r>
          </w:p>
          <w:p w:rsidR="00000000" w:rsidRPr="00110DA8" w:rsidP="00110DA8">
            <w:pPr>
              <w:pStyle w:val="BodyText"/>
            </w:pPr>
            <w:r w:rsidRPr="00110DA8">
              <w:t>•</w:t>
            </w:r>
            <w:r w:rsidRPr="00110DA8">
              <w:tab/>
              <w:t>Hazards and procedures associated with faulty SWER earth systems</w:t>
            </w:r>
          </w:p>
          <w:p w:rsidR="00000000" w:rsidRPr="00110DA8" w:rsidP="00110DA8">
            <w:pPr>
              <w:pStyle w:val="BodyText"/>
            </w:pPr>
            <w:r w:rsidRPr="00110DA8">
              <w:t>•</w:t>
            </w:r>
            <w:r w:rsidRPr="00110DA8">
              <w:tab/>
              <w:t>Procedure to isolate, energise and commission SWER substations</w:t>
            </w:r>
          </w:p>
          <w:p w:rsidR="00000000" w:rsidRPr="00110DA8" w:rsidP="00110DA8">
            <w:pPr>
              <w:pStyle w:val="BodyText"/>
            </w:pPr>
            <w:r w:rsidRPr="00110DA8">
              <w:t>T14</w:t>
            </w:r>
            <w:r w:rsidRPr="00110DA8">
              <w:tab/>
            </w:r>
            <w:r w:rsidRPr="00110DA8">
              <w:t>Operation of HV overhead switching or indicating devices encompassing:</w:t>
            </w:r>
          </w:p>
          <w:p w:rsidR="00000000" w:rsidRPr="00110DA8" w:rsidP="00110DA8">
            <w:pPr>
              <w:pStyle w:val="BodyText"/>
            </w:pPr>
            <w:r w:rsidRPr="00110DA8">
              <w:t>•</w:t>
            </w:r>
            <w:r w:rsidRPr="00110DA8">
              <w:tab/>
              <w:t xml:space="preserve">Identifying hazards, assessing and controlling risks associated with HV switchgear operation </w:t>
            </w:r>
          </w:p>
          <w:p w:rsidR="00000000" w:rsidRPr="00110DA8" w:rsidP="00110DA8">
            <w:pPr>
              <w:pStyle w:val="BodyText"/>
            </w:pPr>
            <w:r w:rsidRPr="00110DA8">
              <w:t>•</w:t>
            </w:r>
            <w:r w:rsidRPr="00110DA8">
              <w:tab/>
              <w:t xml:space="preserve">Systematic and defensive techniques </w:t>
            </w:r>
          </w:p>
          <w:p w:rsidR="00000000" w:rsidRPr="00110DA8" w:rsidP="00110DA8">
            <w:pPr>
              <w:pStyle w:val="BodyText"/>
            </w:pPr>
            <w:r w:rsidRPr="00110DA8">
              <w:t>•</w:t>
            </w:r>
            <w:r w:rsidRPr="00110DA8">
              <w:tab/>
              <w:t xml:space="preserve">Mobile radio procedures </w:t>
            </w:r>
          </w:p>
          <w:p w:rsidR="00000000" w:rsidRPr="00110DA8" w:rsidP="00110DA8">
            <w:pPr>
              <w:pStyle w:val="BodyText"/>
            </w:pPr>
            <w:r w:rsidRPr="00110DA8">
              <w:t>•</w:t>
            </w:r>
            <w:r w:rsidRPr="00110DA8">
              <w:tab/>
              <w:t>Double isolation proc</w:t>
            </w:r>
            <w:r w:rsidRPr="00110DA8">
              <w:t xml:space="preserve">edures </w:t>
            </w:r>
          </w:p>
          <w:p w:rsidR="00000000" w:rsidRPr="00110DA8" w:rsidP="00110DA8">
            <w:pPr>
              <w:pStyle w:val="BodyText"/>
            </w:pPr>
            <w:r w:rsidRPr="00110DA8">
              <w:t>•</w:t>
            </w:r>
            <w:r w:rsidRPr="00110DA8">
              <w:tab/>
              <w:t>Note: Examples include fuses; disconnect fuses; load switching; live line indicators; capacitors; reclosers; sectionalisers, underslung links, airbreaks; switches, disconnects; live line clamps; phasing sticks; phasing tester</w:t>
            </w:r>
          </w:p>
          <w:p w:rsidR="00000000" w:rsidRPr="00110DA8" w:rsidP="00110DA8">
            <w:pPr>
              <w:pStyle w:val="BodyText"/>
            </w:pPr>
          </w:p>
          <w:p w:rsidR="00000000" w:rsidRPr="00110DA8" w:rsidP="00110DA8">
            <w:pPr>
              <w:pStyle w:val="BodyText"/>
            </w:pPr>
            <w:r w:rsidRPr="00110DA8">
              <w:t xml:space="preserve">KS02-TIS44A </w:t>
            </w:r>
            <w:r w:rsidRPr="00110DA8">
              <w:tab/>
              <w:t>High v</w:t>
            </w:r>
            <w:r w:rsidRPr="00110DA8">
              <w:t>oltage fault switching principles</w:t>
            </w:r>
          </w:p>
          <w:p w:rsidR="00000000" w:rsidRPr="00110DA8" w:rsidP="00110DA8">
            <w:pPr>
              <w:pStyle w:val="BodyText"/>
            </w:pPr>
            <w:r w:rsidRPr="00110DA8">
              <w:t>Evidence shall show an understanding of high voltage fault switching principles to an extent indicated by the following aspects:</w:t>
            </w:r>
          </w:p>
          <w:p w:rsidR="00000000" w:rsidRPr="00110DA8" w:rsidP="00110DA8">
            <w:pPr>
              <w:pStyle w:val="BodyText"/>
            </w:pPr>
            <w:r w:rsidRPr="00110DA8">
              <w:t>T1</w:t>
            </w:r>
            <w:r w:rsidRPr="00110DA8">
              <w:tab/>
              <w:t xml:space="preserve">Primary causes, effects and types of HV electrical faults </w:t>
            </w:r>
          </w:p>
          <w:p w:rsidR="00000000" w:rsidRPr="00110DA8" w:rsidP="00110DA8">
            <w:pPr>
              <w:pStyle w:val="BodyText"/>
            </w:pPr>
            <w:r w:rsidRPr="00110DA8">
              <w:t>T2</w:t>
            </w:r>
            <w:r w:rsidRPr="00110DA8">
              <w:tab/>
              <w:t>HV protection devices encomp</w:t>
            </w:r>
            <w:r w:rsidRPr="00110DA8">
              <w:t>assing:</w:t>
            </w:r>
          </w:p>
          <w:p w:rsidR="00000000" w:rsidRPr="00110DA8" w:rsidP="00110DA8">
            <w:pPr>
              <w:pStyle w:val="ListBullet"/>
            </w:pPr>
            <w:r w:rsidRPr="00110DA8">
              <w:t xml:space="preserve">Main components </w:t>
            </w:r>
          </w:p>
          <w:p w:rsidR="00000000" w:rsidRPr="00110DA8" w:rsidP="00110DA8">
            <w:pPr>
              <w:pStyle w:val="ListBullet"/>
            </w:pPr>
            <w:r w:rsidRPr="00110DA8">
              <w:t xml:space="preserve">Types </w:t>
            </w:r>
          </w:p>
          <w:p w:rsidR="00000000" w:rsidRPr="00110DA8" w:rsidP="00110DA8">
            <w:pPr>
              <w:pStyle w:val="ListBullet"/>
            </w:pPr>
            <w:r w:rsidRPr="00110DA8">
              <w:t xml:space="preserve">Categories </w:t>
            </w:r>
          </w:p>
          <w:p w:rsidR="00000000" w:rsidRPr="00110DA8" w:rsidP="00110DA8">
            <w:pPr>
              <w:pStyle w:val="ListBullet"/>
            </w:pPr>
            <w:r w:rsidRPr="00110DA8">
              <w:t xml:space="preserve">Applications </w:t>
            </w:r>
          </w:p>
          <w:p w:rsidR="00000000" w:rsidRPr="00110DA8" w:rsidP="00110DA8">
            <w:pPr>
              <w:pStyle w:val="ListBullet"/>
            </w:pPr>
            <w:r w:rsidRPr="00110DA8">
              <w:t xml:space="preserve">Functions </w:t>
            </w:r>
          </w:p>
          <w:p w:rsidR="00000000" w:rsidRPr="00110DA8" w:rsidP="00110DA8">
            <w:pPr>
              <w:pStyle w:val="BodyText"/>
            </w:pPr>
            <w:r w:rsidRPr="00110DA8">
              <w:t>T3</w:t>
            </w:r>
            <w:r w:rsidRPr="00110DA8">
              <w:tab/>
              <w:t xml:space="preserve">Basic principle of operation of HV system protection devices </w:t>
            </w:r>
          </w:p>
          <w:p w:rsidR="00000000" w:rsidRPr="00110DA8" w:rsidP="00110DA8">
            <w:pPr>
              <w:pStyle w:val="BodyText"/>
            </w:pPr>
            <w:r w:rsidRPr="00110DA8">
              <w:t>T4</w:t>
            </w:r>
            <w:r w:rsidRPr="00110DA8">
              <w:tab/>
              <w:t xml:space="preserve">Protection co-ordination and protection ―zoning </w:t>
            </w:r>
          </w:p>
          <w:p w:rsidR="00000000" w:rsidRPr="00110DA8" w:rsidP="00110DA8">
            <w:pPr>
              <w:pStyle w:val="BodyText"/>
            </w:pPr>
            <w:r w:rsidRPr="00110DA8">
              <w:t>T5</w:t>
            </w:r>
            <w:r w:rsidRPr="00110DA8">
              <w:tab/>
              <w:t xml:space="preserve">HV feeder auto-reclosing suppression encompassing: </w:t>
            </w:r>
          </w:p>
          <w:p w:rsidR="00000000" w:rsidRPr="00110DA8" w:rsidP="00110DA8">
            <w:pPr>
              <w:pStyle w:val="ListBullet"/>
            </w:pPr>
            <w:r w:rsidRPr="00110DA8">
              <w:t xml:space="preserve">Function </w:t>
            </w:r>
          </w:p>
          <w:p w:rsidR="00000000" w:rsidRPr="00110DA8" w:rsidP="00110DA8">
            <w:pPr>
              <w:pStyle w:val="ListBullet"/>
            </w:pPr>
            <w:r w:rsidRPr="00110DA8">
              <w:t xml:space="preserve">Application </w:t>
            </w:r>
          </w:p>
          <w:p w:rsidR="00000000" w:rsidRPr="00110DA8" w:rsidP="00110DA8">
            <w:pPr>
              <w:pStyle w:val="BodyText"/>
            </w:pPr>
            <w:r w:rsidRPr="00110DA8">
              <w:t>T6</w:t>
            </w:r>
            <w:r w:rsidRPr="00110DA8">
              <w:tab/>
              <w:t xml:space="preserve">Circuit condition requirements and switching considerations when paralleling and separating HV feeders </w:t>
            </w:r>
          </w:p>
          <w:p w:rsidR="00000000" w:rsidRPr="00110DA8" w:rsidP="00110DA8">
            <w:pPr>
              <w:pStyle w:val="BodyText"/>
            </w:pPr>
            <w:r w:rsidRPr="00110DA8">
              <w:t xml:space="preserve">KS03-TIS44A </w:t>
            </w:r>
            <w:r w:rsidRPr="00110DA8">
              <w:tab/>
              <w:t>High voltage distribution transformer principles</w:t>
            </w:r>
          </w:p>
          <w:p w:rsidR="00000000" w:rsidRPr="00110DA8" w:rsidP="00110DA8">
            <w:pPr>
              <w:pStyle w:val="BodyText"/>
            </w:pPr>
            <w:r w:rsidRPr="00110DA8">
              <w:t>Evidence shall show an understanding of high voltage distribution transfor</w:t>
            </w:r>
            <w:r w:rsidRPr="00110DA8">
              <w:t>mer principles to an extent indicated by the following aspects:</w:t>
            </w:r>
          </w:p>
          <w:p w:rsidR="00000000" w:rsidRPr="00110DA8" w:rsidP="00110DA8">
            <w:pPr>
              <w:pStyle w:val="BodyText"/>
            </w:pPr>
            <w:r w:rsidRPr="00110DA8">
              <w:t>T1</w:t>
            </w:r>
            <w:r w:rsidRPr="00110DA8">
              <w:tab/>
              <w:t xml:space="preserve">Operation of HV distribution transformers encompassing: </w:t>
            </w:r>
          </w:p>
          <w:p w:rsidR="00000000" w:rsidRPr="00110DA8" w:rsidP="00110DA8">
            <w:pPr>
              <w:pStyle w:val="ListBullet"/>
            </w:pPr>
            <w:r w:rsidRPr="00110DA8">
              <w:t xml:space="preserve">Principle governing factors for transformer ratings </w:t>
            </w:r>
          </w:p>
          <w:p w:rsidR="00000000" w:rsidRPr="00110DA8" w:rsidP="00110DA8">
            <w:pPr>
              <w:pStyle w:val="ListBullet"/>
            </w:pPr>
            <w:r w:rsidRPr="00110DA8">
              <w:t xml:space="preserve">Protection and alarms </w:t>
            </w:r>
          </w:p>
          <w:p w:rsidR="00000000" w:rsidRPr="00110DA8" w:rsidP="00110DA8">
            <w:pPr>
              <w:pStyle w:val="ListBullet"/>
            </w:pPr>
            <w:r w:rsidRPr="00110DA8">
              <w:t>Operating limitations and the relationship between tran</w:t>
            </w:r>
            <w:r w:rsidRPr="00110DA8">
              <w:t xml:space="preserve">sformer and HV fuse rating </w:t>
            </w:r>
          </w:p>
          <w:p w:rsidR="00000000" w:rsidRPr="00110DA8" w:rsidP="00110DA8">
            <w:pPr>
              <w:pStyle w:val="ListBullet"/>
            </w:pPr>
            <w:r w:rsidRPr="00110DA8">
              <w:t xml:space="preserve">Purpose and principle operation of HV distribution transformer tap changers </w:t>
            </w:r>
          </w:p>
          <w:p w:rsidR="00000000" w:rsidRPr="00110DA8" w:rsidP="00110DA8">
            <w:pPr>
              <w:pStyle w:val="ListBullet"/>
            </w:pPr>
            <w:r w:rsidRPr="00110DA8">
              <w:t xml:space="preserve">HV distribution transformer and transformer — cable combination switching practices </w:t>
            </w:r>
          </w:p>
          <w:p w:rsidR="00000000" w:rsidRPr="00110DA8" w:rsidP="00110DA8">
            <w:pPr>
              <w:pStyle w:val="ListBullet"/>
            </w:pPr>
            <w:r w:rsidRPr="00110DA8">
              <w:t xml:space="preserve">Paralleling requirements </w:t>
            </w:r>
          </w:p>
          <w:p w:rsidR="00000000" w:rsidRPr="00110DA8" w:rsidP="00110DA8">
            <w:pPr>
              <w:pStyle w:val="ListBullet"/>
            </w:pPr>
            <w:r w:rsidRPr="00110DA8">
              <w:t>Isolation and earthing procedures for ac</w:t>
            </w:r>
            <w:r w:rsidRPr="00110DA8">
              <w:t xml:space="preserve">cess </w:t>
            </w:r>
          </w:p>
          <w:p w:rsidR="00000000" w:rsidRPr="00110DA8" w:rsidP="00110DA8">
            <w:pPr>
              <w:pStyle w:val="ListBullet"/>
            </w:pPr>
            <w:r w:rsidRPr="00110DA8">
              <w:t xml:space="preserve">Common distribution transformer and associated electrical apparatus faults </w:t>
            </w:r>
          </w:p>
          <w:p w:rsidR="00000000" w:rsidRPr="00110DA8" w:rsidP="00110DA8">
            <w:pPr>
              <w:pStyle w:val="BodyText"/>
            </w:pPr>
            <w:r w:rsidRPr="00110DA8">
              <w:t>T2</w:t>
            </w:r>
            <w:r w:rsidRPr="00110DA8">
              <w:tab/>
              <w:t xml:space="preserve">HV underground switching equipment </w:t>
            </w:r>
          </w:p>
          <w:p w:rsidR="00000000" w:rsidRPr="00110DA8" w:rsidP="00110DA8">
            <w:pPr>
              <w:pStyle w:val="ListBullet"/>
            </w:pPr>
            <w:r w:rsidRPr="00110DA8">
              <w:t>Note: Examples include arc stranglers, switch operation, load break elbows, switching cubicles, canister fuses, bayonet fuses, F and G</w:t>
            </w:r>
            <w:r w:rsidRPr="00110DA8">
              <w:t xml:space="preserve"> switching cubicles, voltage indicators and phasing testers </w:t>
            </w:r>
          </w:p>
          <w:p w:rsidR="00000000" w:rsidRPr="00110DA8" w:rsidP="00110DA8">
            <w:pPr>
              <w:pStyle w:val="BodyText"/>
            </w:pPr>
            <w:r w:rsidRPr="00110DA8">
              <w:t xml:space="preserve">KS04-TIS44A </w:t>
            </w:r>
            <w:r w:rsidRPr="00110DA8">
              <w:tab/>
              <w:t>Feeder automation system</w:t>
            </w:r>
          </w:p>
          <w:p w:rsidR="00000000" w:rsidRPr="00110DA8" w:rsidP="00110DA8">
            <w:pPr>
              <w:pStyle w:val="BodyText"/>
            </w:pPr>
            <w:r w:rsidRPr="00110DA8">
              <w:t>Evidence shall show an understanding of feeder automation system to an extent indicated by the following aspects:</w:t>
            </w:r>
          </w:p>
          <w:p w:rsidR="00000000" w:rsidRPr="00110DA8" w:rsidP="00110DA8">
            <w:pPr>
              <w:pStyle w:val="BodyText"/>
            </w:pPr>
            <w:r w:rsidRPr="00110DA8">
              <w:t>T1</w:t>
            </w:r>
            <w:r w:rsidRPr="00110DA8">
              <w:tab/>
              <w:t>Function of feeder automation system and</w:t>
            </w:r>
            <w:r w:rsidRPr="00110DA8">
              <w:t xml:space="preserve"> the main components </w:t>
            </w:r>
          </w:p>
          <w:p w:rsidR="00000000" w:rsidRPr="00110DA8" w:rsidP="00110DA8">
            <w:pPr>
              <w:pStyle w:val="BodyText"/>
            </w:pPr>
            <w:r w:rsidRPr="00110DA8">
              <w:t>T2</w:t>
            </w:r>
            <w:r w:rsidRPr="00110DA8">
              <w:tab/>
              <w:t xml:space="preserve">Operation procedure for a remote field device from a local control station </w:t>
            </w:r>
          </w:p>
          <w:p w:rsidR="00000000" w:rsidRPr="00110DA8" w:rsidP="00110DA8">
            <w:pPr>
              <w:pStyle w:val="BodyText"/>
            </w:pPr>
            <w:r w:rsidRPr="00110DA8">
              <w:t>T3</w:t>
            </w:r>
            <w:r w:rsidRPr="00110DA8">
              <w:tab/>
              <w:t xml:space="preserve">Functions of ―System Control and Date Acquisition (SCADA) (or any other relevant Data Acquisition and Control) systems and its main components </w:t>
            </w:r>
          </w:p>
          <w:p w:rsidR="00000000" w:rsidRPr="00110DA8" w:rsidP="00110DA8">
            <w:pPr>
              <w:pStyle w:val="BodyText"/>
            </w:pPr>
            <w:r w:rsidRPr="00110DA8">
              <w:t>T4</w:t>
            </w:r>
            <w:r w:rsidRPr="00110DA8">
              <w:tab/>
            </w:r>
            <w:r w:rsidRPr="00110DA8">
              <w:t xml:space="preserve">SCADA system security interlocks and access restrictions </w:t>
            </w:r>
          </w:p>
          <w:p w:rsidR="00000000" w:rsidRPr="00110DA8" w:rsidP="00110DA8">
            <w:pPr>
              <w:pStyle w:val="BodyText"/>
            </w:pPr>
            <w:r w:rsidRPr="00110DA8">
              <w:t>T5</w:t>
            </w:r>
            <w:r w:rsidRPr="00110DA8">
              <w:tab/>
              <w:t xml:space="preserve">SCADA system operation when switching apparatus or retrieving data via a remote access device such as; Remote Access Terminal (RAT), Dial Up Voice Annunciate System and Local Control Station </w:t>
            </w:r>
          </w:p>
          <w:p w:rsidR="00000000" w:rsidRPr="00110DA8" w:rsidP="00110DA8">
            <w:pPr>
              <w:pStyle w:val="BodyText"/>
            </w:pPr>
            <w:r w:rsidRPr="00110DA8">
              <w:t>T6</w:t>
            </w:r>
            <w:r w:rsidRPr="00110DA8">
              <w:tab/>
            </w:r>
            <w:r w:rsidRPr="00110DA8">
              <w:t xml:space="preserve">Function of the main components of a local/remote control system </w:t>
            </w:r>
          </w:p>
          <w:p w:rsidR="00000000" w:rsidRPr="00110DA8" w:rsidP="00110DA8">
            <w:pPr>
              <w:pStyle w:val="BodyText"/>
            </w:pPr>
            <w:r w:rsidRPr="00110DA8">
              <w:t>T7</w:t>
            </w:r>
            <w:r w:rsidRPr="00110DA8">
              <w:tab/>
              <w:t xml:space="preserve">Operation of a field devices using SCADA systems via a Remote Access Terminal (RAT), Dial Up Annunciate System and Local Control Station </w:t>
            </w:r>
          </w:p>
        </w:tc>
      </w:tr>
    </w:tbl>
    <w:p w:rsidR="00000000" w:rsidRPr="00110DA8" w:rsidP="00110DA8">
      <w:pPr>
        <w:pStyle w:val="BodyText"/>
      </w:pPr>
    </w:p>
    <w:p w:rsidR="00000000" w:rsidRPr="00110DA8" w:rsidP="00110DA8">
      <w:pPr>
        <w:pStyle w:val="AllowPageBreak"/>
      </w:pPr>
    </w:p>
    <w:p w:rsidR="00000000" w:rsidRPr="00110DA8" w:rsidP="00110DA8">
      <w:pPr>
        <w:pStyle w:val="Heading1"/>
      </w:pPr>
      <w:bookmarkStart w:id="10" w:name="O_536634"/>
      <w:bookmarkEnd w:id="10"/>
      <w:r w:rsidRPr="00110DA8">
        <w:t>Evidence Guide</w:t>
      </w:r>
    </w:p>
    <w:tbl>
      <w:tblPr>
        <w:tblW w:w="0" w:type="auto"/>
        <w:tblLayout w:type="fixed"/>
        <w:tblCellMar>
          <w:left w:w="62" w:type="dxa"/>
          <w:right w:w="62" w:type="dxa"/>
        </w:tblCellMar>
        <w:tblLook w:val="0000"/>
      </w:tblPr>
      <w:tblGrid>
        <w:gridCol w:w="8460"/>
      </w:tblGrid>
      <w:tr w:rsidTr="001F442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rPr>
                <w:rStyle w:val="SpecialBold"/>
              </w:rPr>
              <w:t>EVIDENCE GUIDE</w:t>
            </w:r>
          </w:p>
        </w:tc>
      </w:tr>
      <w:tr w:rsidTr="001F442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rPr>
                <w:rStyle w:val="SpecialBold"/>
              </w:rPr>
              <w:t>9)</w:t>
            </w:r>
            <w:r w:rsidRPr="00110DA8">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110DA8" w:rsidP="00110DA8">
            <w:pPr>
              <w:pStyle w:val="BodyText"/>
            </w:pPr>
            <w:r w:rsidRPr="00110DA8">
              <w:t>The Evidence Guide f</w:t>
            </w:r>
            <w:r w:rsidRPr="00110DA8">
              <w:t>orms an integral part of this Competency Standard Unit and shall be used in conjunction with all component parts of this unit and, performed in accordance with the Assessment Guidelines of this Training Package.</w:t>
            </w:r>
          </w:p>
        </w:tc>
      </w:tr>
    </w:tbl>
    <w:p w:rsidR="00000000" w:rsidRPr="00110DA8" w:rsidP="00110DA8">
      <w:pPr>
        <w:pStyle w:val="BodyText"/>
      </w:pPr>
    </w:p>
    <w:tbl>
      <w:tblPr>
        <w:tblW w:w="0" w:type="auto"/>
        <w:tblLayout w:type="fixed"/>
        <w:tblCellMar>
          <w:left w:w="62" w:type="dxa"/>
          <w:right w:w="62" w:type="dxa"/>
        </w:tblCellMar>
        <w:tblLook w:val="0000"/>
      </w:tblPr>
      <w:tblGrid>
        <w:gridCol w:w="1890"/>
        <w:gridCol w:w="6570"/>
      </w:tblGrid>
      <w:tr w:rsidTr="001F442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rPr>
                <w:rStyle w:val="SpecialBold"/>
              </w:rPr>
              <w:t>9.1)</w:t>
            </w:r>
          </w:p>
        </w:tc>
      </w:tr>
      <w:tr w:rsidTr="001F442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t>Longitudinal competency development approaches to assessment, such as Profiling, require data to be reliably gathered in a form that can be consistently interpreted over time. This approach is best utilised in Apprenticeship programs and reduces assessment</w:t>
            </w:r>
            <w:r w:rsidRPr="00110DA8">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110DA8">
              <w:t>tency in a realistically simulated work environment. It is recognised that, in some circumstances, assessment in part or full can occur outside the workplace. However, it must be in accord with Industry and, Regulatory policy in this regard.</w:t>
            </w:r>
          </w:p>
          <w:p w:rsidR="00000000" w:rsidRPr="00110DA8" w:rsidP="00110DA8">
            <w:pPr>
              <w:pStyle w:val="BodyText"/>
            </w:pPr>
            <w:r w:rsidRPr="00110DA8">
              <w:t>Methods chosen</w:t>
            </w:r>
            <w:r w:rsidRPr="00110DA8">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110DA8">
              <w:t>equired and the critical nature of the competencies being assessed.</w:t>
            </w:r>
          </w:p>
          <w:p w:rsidR="00000000" w:rsidRPr="00110DA8" w:rsidP="00110DA8">
            <w:pPr>
              <w:pStyle w:val="BodyText"/>
            </w:pPr>
            <w:r w:rsidRPr="00110DA8">
              <w:t>The critical safety nature of working with electricity, electrical equipment, gas or any other hazardous substance/material carries risk in deeming a person competent. Hence, sources of ev</w:t>
            </w:r>
            <w:r w:rsidRPr="00110DA8">
              <w:t>idence need to be ‘rich’ in nature so as to minimise error in judgment.</w:t>
            </w:r>
          </w:p>
          <w:p w:rsidR="00000000" w:rsidRPr="00110DA8" w:rsidP="00110DA8">
            <w:pPr>
              <w:pStyle w:val="BodyText"/>
            </w:pPr>
            <w:r w:rsidRPr="00110DA8">
              <w:t>Activities associated with normal every day work have a bearing on the decision as to how much and how detailed the data gathered will contribute to its ‘richness’. Some skills are mor</w:t>
            </w:r>
            <w:r w:rsidRPr="00110DA8">
              <w:t>e critical to safety and operational requirements while the same skills may be more or less frequently practiced. These points are raised for the assessors to consider when choosing an assessment method and developing assessment instruments. Sample assessm</w:t>
            </w:r>
            <w:r w:rsidRPr="00110DA8">
              <w:t>ent instruments are included for Assessors in the Assessment Guidelines of this Training Package.</w:t>
            </w:r>
          </w:p>
        </w:tc>
      </w:tr>
    </w:tbl>
    <w:p w:rsidR="00000000" w:rsidRPr="00110DA8" w:rsidP="00110DA8">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1F442B">
        <w:tblPrEx>
          <w:tblW w:w="0" w:type="auto"/>
          <w:tblLayout w:type="fixed"/>
          <w:tblCellMar>
            <w:left w:w="62" w:type="dxa"/>
            <w:right w:w="62" w:type="dxa"/>
          </w:tblCellMar>
          <w:tblLook w:val="0000"/>
        </w:tblPrEx>
        <w:trPr>
          <w:trHeight w:val="1250"/>
        </w:trPr>
        <w:tc>
          <w:tcPr>
            <w:tcW w:w="1890" w:type="dxa"/>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rPr>
                <w:rStyle w:val="SpecialBold"/>
              </w:rPr>
              <w:t>9.2)</w:t>
            </w:r>
          </w:p>
        </w:tc>
      </w:tr>
      <w:tr w:rsidTr="001F442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t>Before the critical aspects of evidence are considered all prerequisites shall be met.</w:t>
            </w:r>
          </w:p>
          <w:p w:rsidR="00000000" w:rsidRPr="00110DA8" w:rsidP="00110DA8">
            <w:pPr>
              <w:pStyle w:val="BodyText"/>
            </w:pPr>
            <w:r w:rsidRPr="00110DA8">
              <w:t>Evidence for competence in this unit shall be considered holistically. Each element and associated Performance Criteria shall be demonstrated on at least two occasions i</w:t>
            </w:r>
            <w:r w:rsidRPr="00110DA8">
              <w:t>n accordance with the “Assessment Guidelines – UET12”. Evidence shall also comprise:</w:t>
            </w:r>
          </w:p>
          <w:p w:rsidR="00000000" w:rsidRPr="00110DA8" w:rsidP="00110DA8">
            <w:pPr>
              <w:pStyle w:val="ListBullet"/>
            </w:pPr>
            <w:r w:rsidRPr="00110DA8">
              <w:t>A representative body of Performance Criteria demonstrated within the timeframes typically expected of the discipline, work function and industrial environment. In partic</w:t>
            </w:r>
            <w:r w:rsidRPr="00110DA8">
              <w:t>ular this shall incorporate evidence that shows a candidate is able to:</w:t>
            </w:r>
          </w:p>
          <w:p w:rsidR="00000000" w:rsidRPr="00110DA8" w:rsidP="00110DA8">
            <w:pPr>
              <w:pStyle w:val="ListBullet2"/>
            </w:pPr>
            <w:r w:rsidRPr="00110DA8">
              <w:t>Implement Occupational Health and Safety workplace procedures and practices including the use of risk control measures as specified in the Performance Criteria and range; and</w:t>
            </w:r>
          </w:p>
          <w:p w:rsidR="00000000" w:rsidRPr="00110DA8" w:rsidP="00110DA8">
            <w:pPr>
              <w:pStyle w:val="ListBullet2"/>
            </w:pPr>
            <w:r w:rsidRPr="00110DA8">
              <w:t>Apply sustainable energy principles and practices as specified in the Performance Criteria and range; and</w:t>
            </w:r>
          </w:p>
          <w:p w:rsidR="00000000" w:rsidRPr="00110DA8" w:rsidP="00110DA8">
            <w:pPr>
              <w:pStyle w:val="ListBullet2"/>
            </w:pPr>
            <w:r w:rsidRPr="00110DA8">
              <w:t>Demonstrate an understanding of the essential knowledge and associated skills as described in this unit to such an extent that the learner’s performan</w:t>
            </w:r>
            <w:r w:rsidRPr="00110DA8">
              <w:t>ce outcome is reported in accordance with the preferred approach; namely a percentile graded result, where required by the regulated environment; and</w:t>
            </w:r>
          </w:p>
          <w:p w:rsidR="00000000" w:rsidRPr="00110DA8" w:rsidP="00110DA8">
            <w:pPr>
              <w:pStyle w:val="ListBullet2"/>
            </w:pPr>
            <w:r w:rsidRPr="00110DA8">
              <w:t>Demonstrate an appropriate level of employability skills; and</w:t>
            </w:r>
          </w:p>
          <w:p w:rsidR="00000000" w:rsidRPr="00110DA8" w:rsidP="00110DA8">
            <w:pPr>
              <w:pStyle w:val="ListBullet"/>
            </w:pPr>
            <w:r w:rsidRPr="00110DA8">
              <w:t>Conduct work observing the relevant Anti Di</w:t>
            </w:r>
            <w:r w:rsidRPr="00110DA8">
              <w:t>scrimination legislation, regulations, policies and workplace procedures; and</w:t>
            </w:r>
          </w:p>
          <w:p w:rsidR="00000000" w:rsidP="00110DA8">
            <w:pPr>
              <w:pStyle w:val="ListBullet2"/>
              <w:rPr>
                <w:lang w:val="en-NZ"/>
              </w:rPr>
            </w:pPr>
            <w:r w:rsidRPr="00110DA8">
              <w:t>Demonstrated performance across a representative range of contexts from the prescribed items below:</w:t>
            </w:r>
          </w:p>
        </w:tc>
      </w:tr>
      <w:tr w:rsidTr="001F442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110DA8">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A8">
            <w:pPr>
              <w:pStyle w:val="BodyText"/>
              <w:rPr>
                <w:lang w:val="en-NZ"/>
              </w:rPr>
            </w:pPr>
            <w:r w:rsidRPr="00110DA8">
              <w:rPr>
                <w:rStyle w:val="SpecialBold"/>
              </w:rPr>
              <w:t>Range of tools/equipment/materials/procedures/workplaces/other variables</w:t>
            </w:r>
          </w:p>
        </w:tc>
      </w:tr>
      <w:tr w:rsidTr="001F442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110DA8">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DA8" w:rsidP="00110DA8">
            <w:pPr>
              <w:pStyle w:val="BodyText"/>
            </w:pPr>
            <w:r w:rsidRPr="00110DA8">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DA8" w:rsidP="00110DA8">
            <w:pPr>
              <w:pStyle w:val="BodyText"/>
            </w:pPr>
            <w:r w:rsidRPr="00110DA8">
              <w:rPr>
                <w:rStyle w:val="SpecialBold"/>
              </w:rPr>
              <w:t xml:space="preserve">The minimum number of items on which skill is to be </w:t>
            </w:r>
            <w:r w:rsidRPr="00110DA8">
              <w:rPr>
                <w:rStyle w:val="SpecialBold"/>
              </w:rPr>
              <w:t>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A8">
            <w:pPr>
              <w:pStyle w:val="BodyText"/>
              <w:rPr>
                <w:lang w:val="en-NZ"/>
              </w:rPr>
            </w:pPr>
            <w:r w:rsidRPr="00110DA8">
              <w:rPr>
                <w:rStyle w:val="SpecialBold"/>
              </w:rPr>
              <w:t>Item List</w:t>
            </w:r>
          </w:p>
        </w:tc>
      </w:tr>
      <w:tr w:rsidTr="001F442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A8">
            <w:pPr>
              <w:pStyle w:val="BodyText"/>
              <w:rPr>
                <w:lang w:val="en-NZ"/>
              </w:rPr>
            </w:pPr>
            <w:r w:rsidRPr="00110DA8">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A8">
            <w:pPr>
              <w:pStyle w:val="BodyText"/>
              <w:rPr>
                <w:lang w:val="en-NZ"/>
              </w:rPr>
            </w:pPr>
            <w:r w:rsidRPr="00110DA8">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DA8" w:rsidP="00110DA8">
            <w:pPr>
              <w:pStyle w:val="BodyText"/>
            </w:pPr>
            <w:r w:rsidRPr="00110DA8">
              <w:t>Approvals/clearances</w:t>
            </w:r>
          </w:p>
          <w:p w:rsidR="00000000" w:rsidP="00110DA8">
            <w:pPr>
              <w:pStyle w:val="BodyText"/>
              <w:rPr>
                <w:lang w:val="en-NZ"/>
              </w:rPr>
            </w:pPr>
            <w:r w:rsidRPr="00110DA8">
              <w:t>Access permits</w:t>
            </w:r>
          </w:p>
        </w:tc>
      </w:tr>
      <w:tr w:rsidTr="001F442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A8">
            <w:pPr>
              <w:pStyle w:val="BodyText"/>
              <w:rPr>
                <w:lang w:val="en-NZ"/>
              </w:rPr>
            </w:pPr>
            <w:r w:rsidRPr="00110DA8">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A8">
            <w:pPr>
              <w:pStyle w:val="BodyText"/>
              <w:rPr>
                <w:lang w:val="en-NZ"/>
              </w:rPr>
            </w:pPr>
            <w:r w:rsidRPr="00110DA8">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DA8" w:rsidP="00110DA8">
            <w:pPr>
              <w:pStyle w:val="BodyText"/>
            </w:pPr>
            <w:r w:rsidRPr="00110DA8">
              <w:t>HV operating sticks</w:t>
            </w:r>
          </w:p>
          <w:p w:rsidR="00000000" w:rsidRPr="00110DA8" w:rsidP="00110DA8">
            <w:pPr>
              <w:pStyle w:val="BodyText"/>
            </w:pPr>
            <w:r w:rsidRPr="00110DA8">
              <w:t>HV operating earths</w:t>
            </w:r>
          </w:p>
          <w:p w:rsidR="00000000" w:rsidP="00110DA8">
            <w:pPr>
              <w:pStyle w:val="BodyText"/>
              <w:rPr>
                <w:lang w:val="en-NZ"/>
              </w:rPr>
            </w:pPr>
            <w:r w:rsidRPr="00110DA8">
              <w:t>HV detectors</w:t>
            </w:r>
          </w:p>
        </w:tc>
      </w:tr>
      <w:tr w:rsidTr="001F442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A8">
            <w:pPr>
              <w:pStyle w:val="BodyText"/>
              <w:rPr>
                <w:lang w:val="en-NZ"/>
              </w:rPr>
            </w:pPr>
            <w:r w:rsidRPr="00110DA8">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A8">
            <w:pPr>
              <w:pStyle w:val="BodyText"/>
              <w:rPr>
                <w:lang w:val="en-NZ"/>
              </w:rPr>
            </w:pPr>
            <w:r w:rsidRPr="00110DA8">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DA8" w:rsidP="00110DA8">
            <w:pPr>
              <w:pStyle w:val="BodyText"/>
            </w:pPr>
            <w:r w:rsidRPr="00110DA8">
              <w:t>HV phasing sticks</w:t>
            </w:r>
          </w:p>
          <w:p w:rsidR="00000000" w:rsidP="00110DA8">
            <w:pPr>
              <w:pStyle w:val="BodyText"/>
              <w:rPr>
                <w:lang w:val="en-NZ"/>
              </w:rPr>
            </w:pPr>
            <w:r w:rsidRPr="00110DA8">
              <w:t>HV ground mounted equipment isolating handles and earths</w:t>
            </w:r>
          </w:p>
        </w:tc>
      </w:tr>
      <w:tr w:rsidTr="001F442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A8">
            <w:pPr>
              <w:pStyle w:val="BodyText"/>
              <w:rPr>
                <w:lang w:val="en-NZ"/>
              </w:rPr>
            </w:pPr>
            <w:r w:rsidRPr="00110DA8">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A8">
            <w:pPr>
              <w:pStyle w:val="BodyText"/>
              <w:rPr>
                <w:lang w:val="en-NZ"/>
              </w:rPr>
            </w:pPr>
            <w:r w:rsidRPr="00110DA8">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DA8" w:rsidP="00110DA8">
            <w:pPr>
              <w:pStyle w:val="BodyText"/>
            </w:pPr>
            <w:r w:rsidRPr="00110DA8">
              <w:t>HV links</w:t>
            </w:r>
          </w:p>
          <w:p w:rsidR="00000000" w:rsidRPr="00110DA8" w:rsidP="00110DA8">
            <w:pPr>
              <w:pStyle w:val="BodyText"/>
            </w:pPr>
            <w:r w:rsidRPr="00110DA8">
              <w:t>Air break switches</w:t>
            </w:r>
          </w:p>
          <w:p w:rsidR="00000000" w:rsidP="00110DA8">
            <w:pPr>
              <w:pStyle w:val="BodyText"/>
              <w:rPr>
                <w:lang w:val="en-NZ"/>
              </w:rPr>
            </w:pPr>
            <w:r w:rsidRPr="00110DA8">
              <w:t>Fuses</w:t>
            </w:r>
          </w:p>
        </w:tc>
      </w:tr>
      <w:tr w:rsidTr="001F442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A8">
            <w:pPr>
              <w:pStyle w:val="BodyText"/>
              <w:rPr>
                <w:lang w:val="en-NZ"/>
              </w:rPr>
            </w:pPr>
            <w:r w:rsidRPr="00110DA8">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A8">
            <w:pPr>
              <w:pStyle w:val="BodyText"/>
              <w:rPr>
                <w:lang w:val="en-NZ"/>
              </w:rPr>
            </w:pPr>
            <w:r w:rsidRPr="00110DA8">
              <w:t>At least three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DA8" w:rsidP="00110DA8">
            <w:pPr>
              <w:pStyle w:val="BodyText"/>
            </w:pPr>
            <w:r w:rsidRPr="00110DA8">
              <w:t>Reclosers</w:t>
            </w:r>
          </w:p>
          <w:p w:rsidR="00000000" w:rsidRPr="00110DA8" w:rsidP="00110DA8">
            <w:pPr>
              <w:pStyle w:val="BodyText"/>
            </w:pPr>
            <w:r w:rsidRPr="00110DA8">
              <w:t>Ring main units</w:t>
            </w:r>
          </w:p>
          <w:p w:rsidR="00000000" w:rsidRPr="00110DA8" w:rsidP="00110DA8">
            <w:pPr>
              <w:pStyle w:val="BodyText"/>
            </w:pPr>
            <w:r w:rsidRPr="00110DA8">
              <w:t>Circuit breakers</w:t>
            </w:r>
          </w:p>
          <w:p w:rsidR="00000000" w:rsidRPr="00110DA8" w:rsidP="00110DA8">
            <w:pPr>
              <w:pStyle w:val="BodyText"/>
            </w:pPr>
            <w:r w:rsidRPr="00110DA8">
              <w:t>Isolators</w:t>
            </w:r>
          </w:p>
          <w:p w:rsidR="00000000" w:rsidRPr="00110DA8" w:rsidP="00110DA8">
            <w:pPr>
              <w:pStyle w:val="BodyText"/>
            </w:pPr>
            <w:r w:rsidRPr="00110DA8">
              <w:t>Earth switches</w:t>
            </w:r>
          </w:p>
          <w:p w:rsidR="00000000" w:rsidP="00110DA8">
            <w:pPr>
              <w:pStyle w:val="BodyText"/>
              <w:rPr>
                <w:lang w:val="en-NZ"/>
              </w:rPr>
            </w:pPr>
            <w:r w:rsidRPr="00110DA8">
              <w:t>Sectionalisers</w:t>
            </w:r>
          </w:p>
        </w:tc>
      </w:tr>
      <w:tr w:rsidTr="001F442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A8">
            <w:pPr>
              <w:pStyle w:val="BodyText"/>
              <w:rPr>
                <w:lang w:val="en-NZ"/>
              </w:rPr>
            </w:pPr>
            <w:r w:rsidRPr="00110DA8">
              <w:t>F</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DA8">
            <w:pPr>
              <w:pStyle w:val="BodyText"/>
              <w:rPr>
                <w:lang w:val="en-NZ"/>
              </w:rPr>
            </w:pPr>
            <w:r w:rsidRPr="00110DA8">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DA8" w:rsidP="00110DA8">
            <w:pPr>
              <w:pStyle w:val="BodyText"/>
            </w:pPr>
            <w:r w:rsidRPr="00110DA8">
              <w:t>Dealing with an unplanned event by drawing on essential knowledge and associated skills to provide appropriate solutions incorporated in the holistic assessment with the above listed items.</w:t>
            </w:r>
          </w:p>
        </w:tc>
      </w:tr>
    </w:tbl>
    <w:p w:rsidR="00000000" w:rsidRPr="00110DA8" w:rsidP="00110DA8">
      <w:pPr>
        <w:pStyle w:val="BodyText"/>
      </w:pPr>
    </w:p>
    <w:tbl>
      <w:tblPr>
        <w:tblW w:w="0" w:type="auto"/>
        <w:tblLayout w:type="fixed"/>
        <w:tblCellMar>
          <w:left w:w="62" w:type="dxa"/>
          <w:right w:w="62" w:type="dxa"/>
        </w:tblCellMar>
        <w:tblLook w:val="0000"/>
      </w:tblPr>
      <w:tblGrid>
        <w:gridCol w:w="1890"/>
        <w:gridCol w:w="6570"/>
      </w:tblGrid>
      <w:tr w:rsidTr="001F442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rPr>
                <w:rStyle w:val="SpecialBold"/>
              </w:rPr>
              <w:t>9.3)</w:t>
            </w:r>
          </w:p>
        </w:tc>
      </w:tr>
      <w:tr w:rsidTr="001F442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t>This unit should be assessed as it relates to normal work practice using procedures, information and resources typical of a workplace. This should include:</w:t>
            </w:r>
          </w:p>
          <w:p w:rsidR="00000000" w:rsidRPr="00110DA8" w:rsidP="00110DA8">
            <w:pPr>
              <w:pStyle w:val="ListBullet"/>
            </w:pPr>
            <w:r w:rsidRPr="00110DA8">
              <w:t>OHS policy and work procedures and instructions.</w:t>
            </w:r>
          </w:p>
          <w:p w:rsidR="00000000" w:rsidRPr="00110DA8" w:rsidP="00110DA8">
            <w:pPr>
              <w:pStyle w:val="ListBullet"/>
            </w:pPr>
            <w:r w:rsidRPr="00110DA8">
              <w:t>Suitable work environment, facilities, equipment a</w:t>
            </w:r>
            <w:r w:rsidRPr="00110DA8">
              <w:t xml:space="preserve">nd materials to undertake actual performance of HV field switching to a given schedule. </w:t>
            </w:r>
          </w:p>
          <w:p w:rsidR="00000000" w:rsidRPr="00110DA8" w:rsidP="00110DA8">
            <w:pPr>
              <w:pStyle w:val="BodyText"/>
            </w:pPr>
            <w:r w:rsidRPr="00110DA8">
              <w:t>In addition to the resources listed above, in Context of and specific resources for assessment, evidence should show demonstrated competency working below ground, in l</w:t>
            </w:r>
            <w:r w:rsidRPr="00110DA8">
              <w:t>imited spaces, with different structural/construction types and method and in a variety of environments.</w:t>
            </w:r>
          </w:p>
        </w:tc>
      </w:tr>
    </w:tbl>
    <w:p w:rsidR="00000000" w:rsidRPr="00110DA8" w:rsidP="00110DA8">
      <w:pPr>
        <w:pStyle w:val="BodyText"/>
      </w:pPr>
    </w:p>
    <w:tbl>
      <w:tblPr>
        <w:tblW w:w="0" w:type="auto"/>
        <w:tblLayout w:type="fixed"/>
        <w:tblCellMar>
          <w:left w:w="62" w:type="dxa"/>
          <w:right w:w="62" w:type="dxa"/>
        </w:tblCellMar>
        <w:tblLook w:val="0000"/>
      </w:tblPr>
      <w:tblGrid>
        <w:gridCol w:w="1890"/>
        <w:gridCol w:w="6570"/>
      </w:tblGrid>
      <w:tr w:rsidTr="001F442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rPr>
                <w:rStyle w:val="SpecialBold"/>
              </w:rPr>
              <w:t>9.4)</w:t>
            </w:r>
          </w:p>
        </w:tc>
      </w:tr>
      <w:tr w:rsidTr="001F442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t>This Competency Standard Unit shall be assessed by methods given in Volume 1, Part 3 “Assessment Guidelines”.</w:t>
            </w:r>
          </w:p>
          <w:p w:rsidR="00000000" w:rsidRPr="00110DA8" w:rsidP="00110DA8">
            <w:pPr>
              <w:pStyle w:val="BodyText"/>
            </w:pPr>
            <w:r w:rsidRPr="00110DA8">
              <w:t>Note:</w:t>
            </w:r>
          </w:p>
          <w:p w:rsidR="00000000" w:rsidRPr="00110DA8" w:rsidP="00110DA8">
            <w:pPr>
              <w:pStyle w:val="BodyText"/>
            </w:pPr>
            <w:r w:rsidRPr="00110DA8">
              <w:t>Competent performance with inherent safe working practices is expected in the Industry to which this Competency Standard Unit applies. This requires that the specified essential knowledge and associated skills are assessed in a structured environment which</w:t>
            </w:r>
            <w:r w:rsidRPr="00110DA8">
              <w:t xml:space="preserve"> is primarily intended for learning/assessment and incorporates all necessary equipment and facilities for learners to develop and demonstrate the essential knowledge and associated skills described in this unit.</w:t>
            </w:r>
          </w:p>
        </w:tc>
      </w:tr>
    </w:tbl>
    <w:p w:rsidR="00000000" w:rsidRPr="00110DA8" w:rsidP="00110DA8">
      <w:pPr>
        <w:pStyle w:val="BodyText"/>
      </w:pPr>
    </w:p>
    <w:tbl>
      <w:tblPr>
        <w:tblW w:w="0" w:type="auto"/>
        <w:tblLayout w:type="fixed"/>
        <w:tblCellMar>
          <w:left w:w="62" w:type="dxa"/>
          <w:right w:w="62" w:type="dxa"/>
        </w:tblCellMar>
        <w:tblLook w:val="0000"/>
      </w:tblPr>
      <w:tblGrid>
        <w:gridCol w:w="1890"/>
        <w:gridCol w:w="6570"/>
      </w:tblGrid>
      <w:tr w:rsidTr="001F442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rPr>
                <w:rStyle w:val="SpecialBold"/>
              </w:rPr>
              <w:t>Concurrent assessment and relationship wi</w:t>
            </w:r>
            <w:r w:rsidRPr="00110DA8">
              <w:rPr>
                <w:rStyle w:val="SpecialBold"/>
              </w:rPr>
              <w:t>th other units</w:t>
            </w:r>
          </w:p>
        </w:tc>
        <w:tc>
          <w:tcPr>
            <w:tcW w:w="6570"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rPr>
                <w:rStyle w:val="SpecialBold"/>
              </w:rPr>
              <w:t>9.5)</w:t>
            </w:r>
          </w:p>
        </w:tc>
      </w:tr>
      <w:tr w:rsidTr="001F442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t>There are no concurrent assessment recommendations for this unit.</w:t>
            </w:r>
          </w:p>
        </w:tc>
      </w:tr>
    </w:tbl>
    <w:p w:rsidR="00000000" w:rsidRPr="00110DA8" w:rsidP="00110DA8">
      <w:pPr>
        <w:pStyle w:val="BodyText"/>
      </w:pPr>
    </w:p>
    <w:p w:rsidR="00000000" w:rsidRPr="00110DA8" w:rsidP="00110DA8">
      <w:pPr>
        <w:pStyle w:val="AllowPageBreak"/>
      </w:pPr>
    </w:p>
    <w:p w:rsidR="00000000" w:rsidRPr="00110DA8" w:rsidP="00110DA8">
      <w:pPr>
        <w:pStyle w:val="Heading1"/>
      </w:pPr>
      <w:bookmarkStart w:id="11" w:name="O_536633"/>
      <w:bookmarkEnd w:id="11"/>
      <w:r w:rsidRPr="00110DA8">
        <w:t>Range Statement</w:t>
      </w:r>
    </w:p>
    <w:tbl>
      <w:tblPr>
        <w:tblW w:w="0" w:type="auto"/>
        <w:tblLayout w:type="fixed"/>
        <w:tblCellMar>
          <w:left w:w="62" w:type="dxa"/>
          <w:right w:w="62" w:type="dxa"/>
        </w:tblCellMar>
        <w:tblLook w:val="0000"/>
      </w:tblPr>
      <w:tblGrid>
        <w:gridCol w:w="8460"/>
      </w:tblGrid>
      <w:tr w:rsidTr="001F442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rPr>
                <w:rStyle w:val="SpecialBold"/>
              </w:rPr>
              <w:t>RANGE STATEMENT</w:t>
            </w:r>
          </w:p>
        </w:tc>
      </w:tr>
      <w:tr w:rsidTr="001F442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rPr>
                <w:rStyle w:val="SpecialBold"/>
              </w:rPr>
              <w:t>10)</w:t>
            </w:r>
            <w:r w:rsidRPr="00110DA8">
              <w:t xml:space="preserve"> This relates to the unit of competency as a whole providing the range of contexts and conditions </w:t>
            </w:r>
            <w:r w:rsidRPr="00110DA8">
              <w:t>to which the Performance Criteria apply. It allows for different work environments and situations that will affect performance.</w:t>
            </w:r>
          </w:p>
          <w:p w:rsidR="00000000" w:rsidRPr="00110DA8" w:rsidP="00110DA8">
            <w:pPr>
              <w:pStyle w:val="BodyText"/>
            </w:pPr>
            <w:r w:rsidRPr="00110DA8">
              <w:t>This Competency Standard Unit shall be demonstrated in relation to the carrying out of high voltage switching operations involvi</w:t>
            </w:r>
            <w:r w:rsidRPr="00110DA8">
              <w:t>ng the operation of circuit breaking and isolation devices from a given switching schedule.</w:t>
            </w:r>
          </w:p>
          <w:p w:rsidR="00000000" w:rsidRPr="00110DA8" w:rsidP="00110DA8">
            <w:pPr>
              <w:pStyle w:val="BodyText"/>
            </w:pPr>
            <w:r w:rsidRPr="00110DA8">
              <w:t>Switching operations are confined to those performed in field situations, not in system control rooms or substations and may include electrical load transfer.</w:t>
            </w:r>
          </w:p>
          <w:p w:rsidR="00000000" w:rsidRPr="00110DA8" w:rsidP="00110DA8">
            <w:pPr>
              <w:pStyle w:val="BodyText"/>
            </w:pPr>
            <w:r w:rsidRPr="00110DA8">
              <w:t>Switc</w:t>
            </w:r>
            <w:r w:rsidRPr="00110DA8">
              <w:t>hgear includes reclosers, ring main units, circuit breakers, isolators, earth switches, sectionalisers, HV links, air break switches, live line clamps, and fuses.</w:t>
            </w:r>
          </w:p>
          <w:p w:rsidR="00000000" w:rsidRPr="00110DA8" w:rsidP="00110DA8">
            <w:pPr>
              <w:pStyle w:val="BodyText"/>
            </w:pPr>
            <w:r w:rsidRPr="00110DA8">
              <w:t xml:space="preserve">Specialist tools may include HV phasing sticks, HV link sticks, HV live-line clamp operating </w:t>
            </w:r>
            <w:r w:rsidRPr="00110DA8">
              <w:t>sticks, HV ground transformer isolating handles and associated earths, HV overhead operating earths and HV detectors.</w:t>
            </w:r>
          </w:p>
          <w:p w:rsidR="00000000" w:rsidRPr="00110DA8" w:rsidP="00110DA8">
            <w:pPr>
              <w:pStyle w:val="BodyText"/>
            </w:pPr>
            <w:r w:rsidRPr="00110DA8">
              <w:t>Switching program/schedule including necessary detail, e.g. structure, switch or equipment number; locations; HV feeder; outage times; wor</w:t>
            </w:r>
            <w:r w:rsidRPr="00110DA8">
              <w:t xml:space="preserve">ks plan/order; </w:t>
            </w:r>
          </w:p>
          <w:p w:rsidR="00000000" w:rsidRPr="00110DA8" w:rsidP="00110DA8">
            <w:pPr>
              <w:pStyle w:val="BodyText"/>
            </w:pPr>
            <w:r w:rsidRPr="00110DA8">
              <w:t>The following constants and variables included in the element/Performance Criteria in this unit are fully described in the Definitions Section 1 of this volume and form an integral part of the Range Statement of this unit:</w:t>
            </w:r>
          </w:p>
          <w:p w:rsidR="00000000" w:rsidRPr="00110DA8" w:rsidP="00110DA8">
            <w:pPr>
              <w:pStyle w:val="ListBullet3"/>
            </w:pPr>
            <w:r w:rsidRPr="00110DA8">
              <w:t xml:space="preserve">Appropriate and </w:t>
            </w:r>
            <w:r w:rsidRPr="00110DA8">
              <w:t>relevant persons (see Personnel)</w:t>
            </w:r>
          </w:p>
          <w:p w:rsidR="00000000" w:rsidRPr="00110DA8" w:rsidP="00110DA8">
            <w:pPr>
              <w:pStyle w:val="ListBullet3"/>
            </w:pPr>
            <w:r w:rsidRPr="00110DA8">
              <w:t>Appropriate authorities</w:t>
            </w:r>
          </w:p>
          <w:p w:rsidR="00000000" w:rsidRPr="00110DA8" w:rsidP="00110DA8">
            <w:pPr>
              <w:pStyle w:val="ListBullet3"/>
            </w:pPr>
            <w:r w:rsidRPr="00110DA8">
              <w:t>Appropriate work platform</w:t>
            </w:r>
          </w:p>
          <w:p w:rsidR="00000000" w:rsidRPr="00110DA8" w:rsidP="00110DA8">
            <w:pPr>
              <w:pStyle w:val="ListBullet3"/>
            </w:pPr>
            <w:r w:rsidRPr="00110DA8">
              <w:t>Assessing risk</w:t>
            </w:r>
          </w:p>
          <w:p w:rsidR="00000000" w:rsidRPr="00110DA8" w:rsidP="00110DA8">
            <w:pPr>
              <w:pStyle w:val="ListBullet3"/>
            </w:pPr>
            <w:r w:rsidRPr="00110DA8">
              <w:t>Assessment</w:t>
            </w:r>
          </w:p>
          <w:p w:rsidR="00000000" w:rsidRPr="00110DA8" w:rsidP="00110DA8">
            <w:pPr>
              <w:pStyle w:val="ListBullet3"/>
            </w:pPr>
            <w:r w:rsidRPr="00110DA8">
              <w:t>Authorisation</w:t>
            </w:r>
          </w:p>
          <w:p w:rsidR="00000000" w:rsidRPr="00110DA8" w:rsidP="00110DA8">
            <w:pPr>
              <w:pStyle w:val="ListBullet3"/>
            </w:pPr>
            <w:r w:rsidRPr="00110DA8">
              <w:t>Confined space</w:t>
            </w:r>
          </w:p>
          <w:p w:rsidR="00000000" w:rsidRPr="00110DA8" w:rsidP="00110DA8">
            <w:pPr>
              <w:pStyle w:val="ListBullet3"/>
            </w:pPr>
            <w:r w:rsidRPr="00110DA8">
              <w:t>Diagnostic, testing and restoration</w:t>
            </w:r>
          </w:p>
          <w:p w:rsidR="00000000" w:rsidRPr="00110DA8" w:rsidP="00110DA8">
            <w:pPr>
              <w:pStyle w:val="ListBullet3"/>
            </w:pPr>
            <w:r w:rsidRPr="00110DA8">
              <w:t>Documenting detail work events, record keeping and or storage of information</w:t>
            </w:r>
          </w:p>
          <w:p w:rsidR="00000000" w:rsidRPr="00110DA8" w:rsidP="00110DA8">
            <w:pPr>
              <w:pStyle w:val="ListBullet3"/>
            </w:pPr>
            <w:r w:rsidRPr="00110DA8">
              <w:t>Drawings and specifications</w:t>
            </w:r>
          </w:p>
          <w:p w:rsidR="00000000" w:rsidRPr="00110DA8" w:rsidP="00110DA8">
            <w:pPr>
              <w:pStyle w:val="ListBullet3"/>
            </w:pPr>
            <w:r w:rsidRPr="00110DA8">
              <w:t>Emergency</w:t>
            </w:r>
          </w:p>
          <w:p w:rsidR="00000000" w:rsidRPr="00110DA8" w:rsidP="00110DA8">
            <w:pPr>
              <w:pStyle w:val="ListBullet3"/>
            </w:pPr>
            <w:r w:rsidRPr="00110DA8">
              <w:t>Environmental and sustainable energy procedures</w:t>
            </w:r>
          </w:p>
          <w:p w:rsidR="00000000" w:rsidRPr="00110DA8" w:rsidP="00110DA8">
            <w:pPr>
              <w:pStyle w:val="ListBullet3"/>
            </w:pPr>
            <w:r w:rsidRPr="00110DA8">
              <w:t>Environmental legislation</w:t>
            </w:r>
          </w:p>
          <w:p w:rsidR="00000000" w:rsidRPr="00110DA8" w:rsidP="00110DA8">
            <w:pPr>
              <w:pStyle w:val="ListBullet3"/>
            </w:pPr>
            <w:r w:rsidRPr="00110DA8">
              <w:t>Environmental management documentation</w:t>
            </w:r>
          </w:p>
          <w:p w:rsidR="00000000" w:rsidRPr="00110DA8" w:rsidP="00110DA8">
            <w:pPr>
              <w:pStyle w:val="ListBullet3"/>
            </w:pPr>
            <w:r w:rsidRPr="00110DA8">
              <w:t>Established procedures</w:t>
            </w:r>
          </w:p>
          <w:p w:rsidR="00000000" w:rsidRPr="00110DA8" w:rsidP="00110DA8">
            <w:pPr>
              <w:pStyle w:val="ListBullet3"/>
            </w:pPr>
            <w:r w:rsidRPr="00110DA8">
              <w:t>Fall prevention</w:t>
            </w:r>
          </w:p>
          <w:p w:rsidR="00000000" w:rsidRPr="00110DA8" w:rsidP="00110DA8">
            <w:pPr>
              <w:pStyle w:val="ListBullet3"/>
            </w:pPr>
            <w:r w:rsidRPr="00110DA8">
              <w:t>Hazards</w:t>
            </w:r>
          </w:p>
          <w:p w:rsidR="00000000" w:rsidRPr="00110DA8" w:rsidP="00110DA8">
            <w:pPr>
              <w:pStyle w:val="ListBullet3"/>
            </w:pPr>
            <w:r w:rsidRPr="00110DA8">
              <w:t>Identifying hazards</w:t>
            </w:r>
          </w:p>
          <w:p w:rsidR="00000000" w:rsidRPr="00110DA8" w:rsidP="00110DA8">
            <w:pPr>
              <w:pStyle w:val="ListBullet3"/>
            </w:pPr>
            <w:r w:rsidRPr="00110DA8">
              <w:t>Inspect</w:t>
            </w:r>
          </w:p>
          <w:p w:rsidR="00000000" w:rsidRPr="00110DA8" w:rsidP="00110DA8">
            <w:pPr>
              <w:pStyle w:val="ListBullet3"/>
            </w:pPr>
            <w:r w:rsidRPr="00110DA8">
              <w:t>Legislation</w:t>
            </w:r>
          </w:p>
          <w:p w:rsidR="00000000" w:rsidRPr="00110DA8" w:rsidP="00110DA8">
            <w:pPr>
              <w:pStyle w:val="ListBullet3"/>
            </w:pPr>
            <w:r w:rsidRPr="00110DA8">
              <w:t>MSDS</w:t>
            </w:r>
          </w:p>
          <w:p w:rsidR="00000000" w:rsidRPr="00110DA8" w:rsidP="00110DA8">
            <w:pPr>
              <w:pStyle w:val="ListBullet3"/>
            </w:pPr>
            <w:r w:rsidRPr="00110DA8">
              <w:t>Notification</w:t>
            </w:r>
          </w:p>
          <w:p w:rsidR="00000000" w:rsidRPr="00110DA8" w:rsidP="00110DA8">
            <w:pPr>
              <w:pStyle w:val="ListBullet3"/>
            </w:pPr>
            <w:r w:rsidRPr="00110DA8">
              <w:t>OHS practices</w:t>
            </w:r>
          </w:p>
          <w:p w:rsidR="00000000" w:rsidRPr="00110DA8" w:rsidP="00110DA8">
            <w:pPr>
              <w:pStyle w:val="ListBullet3"/>
            </w:pPr>
            <w:r w:rsidRPr="00110DA8">
              <w:t>OHS issues</w:t>
            </w:r>
          </w:p>
          <w:p w:rsidR="00000000" w:rsidRPr="00110DA8" w:rsidP="00110DA8">
            <w:pPr>
              <w:pStyle w:val="ListBullet3"/>
            </w:pPr>
            <w:r w:rsidRPr="00110DA8">
              <w:t>Permits and/or permits to work</w:t>
            </w:r>
          </w:p>
          <w:p w:rsidR="00000000" w:rsidRPr="00110DA8" w:rsidP="00110DA8">
            <w:pPr>
              <w:pStyle w:val="ListBullet3"/>
            </w:pPr>
            <w:r w:rsidRPr="00110DA8">
              <w:t>Personnel</w:t>
            </w:r>
          </w:p>
          <w:p w:rsidR="00000000" w:rsidRPr="00110DA8" w:rsidP="00110DA8">
            <w:pPr>
              <w:pStyle w:val="ListBullet3"/>
            </w:pPr>
            <w:r w:rsidRPr="00110DA8">
              <w:t>Quality assurance systems</w:t>
            </w:r>
          </w:p>
          <w:p w:rsidR="00000000" w:rsidRPr="00110DA8" w:rsidP="00110DA8">
            <w:pPr>
              <w:pStyle w:val="ListBullet3"/>
            </w:pPr>
            <w:r w:rsidRPr="00110DA8">
              <w:t>Requirements</w:t>
            </w:r>
          </w:p>
          <w:p w:rsidR="00000000" w:rsidRPr="00110DA8" w:rsidP="00110DA8">
            <w:pPr>
              <w:pStyle w:val="ListBullet3"/>
            </w:pPr>
            <w:r w:rsidRPr="00110DA8">
              <w:t>Testing procedures</w:t>
            </w:r>
          </w:p>
          <w:p w:rsidR="00000000" w:rsidRPr="00110DA8" w:rsidP="00110DA8">
            <w:pPr>
              <w:pStyle w:val="ListBullet3"/>
            </w:pPr>
            <w:r w:rsidRPr="00110DA8">
              <w:t>Work clearance systems</w:t>
            </w:r>
          </w:p>
        </w:tc>
      </w:tr>
    </w:tbl>
    <w:p w:rsidR="00000000" w:rsidRPr="00110DA8" w:rsidP="00110DA8">
      <w:pPr>
        <w:pStyle w:val="BodyText"/>
      </w:pPr>
    </w:p>
    <w:p w:rsidR="00000000" w:rsidRPr="00110DA8" w:rsidP="00110DA8">
      <w:pPr>
        <w:pStyle w:val="AllowPageBreak"/>
      </w:pPr>
    </w:p>
    <w:p w:rsidR="00000000" w:rsidRPr="00110DA8" w:rsidP="00110DA8">
      <w:pPr>
        <w:pStyle w:val="Heading1"/>
      </w:pPr>
      <w:bookmarkStart w:id="12" w:name="O_536632"/>
      <w:bookmarkEnd w:id="12"/>
      <w:r w:rsidRPr="00110DA8">
        <w:t>Unit Sector(s)</w:t>
      </w:r>
    </w:p>
    <w:p w:rsidR="00000000" w:rsidRPr="00110DA8" w:rsidP="00110DA8">
      <w:pPr>
        <w:pStyle w:val="BodyText"/>
      </w:pPr>
      <w:r w:rsidRPr="00110DA8">
        <w:t>Not applicable.</w:t>
      </w:r>
    </w:p>
    <w:p w:rsidR="00000000" w:rsidRPr="00110DA8" w:rsidP="00110DA8">
      <w:pPr>
        <w:pStyle w:val="AllowPageBreak"/>
      </w:pPr>
    </w:p>
    <w:p w:rsidR="00000000" w:rsidRPr="00110DA8" w:rsidP="00110DA8">
      <w:pPr>
        <w:pStyle w:val="Heading1"/>
      </w:pPr>
      <w:bookmarkStart w:id="13" w:name="O_536631"/>
      <w:bookmarkEnd w:id="13"/>
      <w:r w:rsidRPr="00110DA8">
        <w:t>Competency Field</w:t>
      </w:r>
    </w:p>
    <w:tbl>
      <w:tblPr>
        <w:tblW w:w="0" w:type="auto"/>
        <w:tblLayout w:type="fixed"/>
        <w:tblCellMar>
          <w:left w:w="62" w:type="dxa"/>
          <w:right w:w="62" w:type="dxa"/>
        </w:tblCellMar>
        <w:tblLook w:val="0000"/>
      </w:tblPr>
      <w:tblGrid>
        <w:gridCol w:w="2700"/>
        <w:gridCol w:w="5760"/>
      </w:tblGrid>
      <w:tr w:rsidTr="001F442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10DA8">
            <w:pPr>
              <w:pStyle w:val="BodyText"/>
              <w:rPr>
                <w:lang w:val="en-NZ"/>
              </w:rPr>
            </w:pPr>
            <w:r w:rsidRPr="00110DA8">
              <w:rPr>
                <w:rStyle w:val="SpecialBold"/>
              </w:rPr>
              <w:t xml:space="preserve">11) </w:t>
            </w:r>
          </w:p>
        </w:tc>
      </w:tr>
      <w:tr w:rsidTr="001F442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10DA8" w:rsidP="00110DA8">
            <w:pPr>
              <w:pStyle w:val="BodyText"/>
            </w:pPr>
            <w:r w:rsidRPr="00110DA8">
              <w:t>Industry Specific Cross-Discipline Units</w:t>
            </w:r>
          </w:p>
        </w:tc>
      </w:tr>
    </w:tbl>
    <w:p w:rsidR="00000000" w:rsidRPr="00110DA8" w:rsidP="00110DA8">
      <w:pPr>
        <w:pStyle w:val="BodyText"/>
      </w:pPr>
    </w:p>
    <w:p w:rsidR="00000000" w:rsidRPr="00110DA8" w:rsidP="00110DA8"/>
    <w:sectPr w:rsidSect="00110D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D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DA8" w:rsidRPr="001F442B" w:rsidP="001F442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D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42B" w:rsidP="00110DA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20</w:t>
    </w:r>
    <w:r>
      <w:rPr>
        <w:noProof/>
      </w:rPr>
      <w:fldChar w:fldCharType="end"/>
    </w:r>
  </w:p>
  <w:p w:rsidR="001F442B" w:rsidP="00110DA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1F442B" w:rsidP="00110D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D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DA8" w:rsidRPr="001F442B" w:rsidP="001F442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D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42B" w:rsidRPr="002D2AF8" w:rsidP="00110DA8">
    <w:pPr>
      <w:pStyle w:val="Header"/>
      <w:framePr w:wrap="around"/>
    </w:pPr>
    <w:r>
      <w:fldChar w:fldCharType="begin"/>
    </w:r>
    <w:r>
      <w:instrText xml:space="preserve"> TITLE   \* MERGEFORMAT </w:instrText>
    </w:r>
    <w:r>
      <w:fldChar w:fldCharType="separate"/>
    </w:r>
    <w:r>
      <w:t>UETTDRIS44A Perform HV field switching operation to a given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March 2013</w:t>
    </w:r>
    <w:r>
      <w:fldChar w:fldCharType="end"/>
    </w:r>
  </w:p>
  <w:p w:rsidR="001F442B" w:rsidP="00110D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8686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3A5B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DA51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D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0DA8"/>
    <w:pPr>
      <w:spacing w:before="360" w:after="60"/>
      <w:outlineLvl w:val="0"/>
    </w:pPr>
    <w:rPr>
      <w:sz w:val="32"/>
    </w:rPr>
  </w:style>
  <w:style w:type="paragraph" w:styleId="Heading2">
    <w:name w:val="heading 2"/>
    <w:basedOn w:val="HeadingBase"/>
    <w:next w:val="BodyText"/>
    <w:link w:val="Heading2Char"/>
    <w:qFormat/>
    <w:rsid w:val="00110DA8"/>
    <w:pPr>
      <w:keepLines/>
      <w:spacing w:before="240" w:after="120"/>
      <w:outlineLvl w:val="1"/>
    </w:pPr>
    <w:rPr>
      <w:sz w:val="28"/>
      <w:szCs w:val="40"/>
    </w:rPr>
  </w:style>
  <w:style w:type="paragraph" w:styleId="Heading3">
    <w:name w:val="heading 3"/>
    <w:basedOn w:val="HeadingBase"/>
    <w:next w:val="BodyText"/>
    <w:link w:val="Heading3Char"/>
    <w:qFormat/>
    <w:rsid w:val="00110DA8"/>
    <w:pPr>
      <w:spacing w:before="180" w:after="120"/>
      <w:outlineLvl w:val="2"/>
    </w:pPr>
    <w:rPr>
      <w:spacing w:val="-10"/>
      <w:kern w:val="32"/>
    </w:rPr>
  </w:style>
  <w:style w:type="paragraph" w:styleId="Heading4">
    <w:name w:val="heading 4"/>
    <w:basedOn w:val="HeadingBase"/>
    <w:next w:val="BodyText"/>
    <w:link w:val="Heading4Char"/>
    <w:qFormat/>
    <w:rsid w:val="00110DA8"/>
    <w:pPr>
      <w:spacing w:before="160" w:after="120"/>
      <w:outlineLvl w:val="3"/>
    </w:pPr>
    <w:rPr>
      <w:sz w:val="22"/>
    </w:rPr>
  </w:style>
  <w:style w:type="paragraph" w:styleId="Heading5">
    <w:name w:val="heading 5"/>
    <w:basedOn w:val="HeadingBase"/>
    <w:next w:val="Normal"/>
    <w:link w:val="Heading5Char"/>
    <w:qFormat/>
    <w:rsid w:val="00110DA8"/>
    <w:pPr>
      <w:spacing w:before="80"/>
      <w:outlineLvl w:val="4"/>
    </w:pPr>
    <w:rPr>
      <w:color w:val="918585"/>
      <w:sz w:val="20"/>
    </w:rPr>
  </w:style>
  <w:style w:type="paragraph" w:styleId="Heading6">
    <w:name w:val="heading 6"/>
    <w:basedOn w:val="HeadingBase"/>
    <w:next w:val="Normal"/>
    <w:link w:val="Heading6Char"/>
    <w:qFormat/>
    <w:rsid w:val="00110DA8"/>
    <w:pPr>
      <w:spacing w:before="60"/>
      <w:outlineLvl w:val="5"/>
    </w:pPr>
    <w:rPr>
      <w:color w:val="918585"/>
      <w:sz w:val="20"/>
    </w:rPr>
  </w:style>
  <w:style w:type="paragraph" w:styleId="Heading7">
    <w:name w:val="heading 7"/>
    <w:basedOn w:val="Normal"/>
    <w:next w:val="Normal"/>
    <w:link w:val="Heading7Char"/>
    <w:qFormat/>
    <w:rsid w:val="00110DA8"/>
    <w:pPr>
      <w:ind w:left="720"/>
      <w:outlineLvl w:val="6"/>
    </w:pPr>
    <w:rPr>
      <w:i/>
    </w:rPr>
  </w:style>
  <w:style w:type="paragraph" w:styleId="Heading8">
    <w:name w:val="heading 8"/>
    <w:basedOn w:val="Normal"/>
    <w:next w:val="Normal"/>
    <w:link w:val="Heading8Char"/>
    <w:qFormat/>
    <w:rsid w:val="00110DA8"/>
    <w:pPr>
      <w:ind w:left="720"/>
      <w:outlineLvl w:val="7"/>
    </w:pPr>
    <w:rPr>
      <w:i/>
    </w:rPr>
  </w:style>
  <w:style w:type="paragraph" w:styleId="Heading9">
    <w:name w:val="heading 9"/>
    <w:basedOn w:val="Normal"/>
    <w:next w:val="Normal"/>
    <w:link w:val="Heading9Char"/>
    <w:qFormat/>
    <w:rsid w:val="00110DA8"/>
    <w:pPr>
      <w:ind w:left="720"/>
      <w:outlineLvl w:val="8"/>
    </w:pPr>
    <w:rPr>
      <w:i/>
    </w:rPr>
  </w:style>
  <w:style w:type="character" w:default="1" w:styleId="DefaultParagraphFont">
    <w:name w:val="Default Paragraph Font"/>
    <w:uiPriority w:val="1"/>
    <w:unhideWhenUsed/>
    <w:rsid w:val="00110D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0DA8"/>
  </w:style>
  <w:style w:type="character" w:customStyle="1" w:styleId="Heading1Char">
    <w:name w:val="Heading 1 Char"/>
    <w:basedOn w:val="DefaultParagraphFont"/>
    <w:link w:val="Heading1"/>
    <w:rsid w:val="00110DA8"/>
    <w:rPr>
      <w:rFonts w:ascii="Times New Roman" w:eastAsia="Times New Roman" w:hAnsi="Times New Roman" w:cs="Times New Roman"/>
      <w:b/>
      <w:sz w:val="32"/>
      <w:szCs w:val="20"/>
      <w:lang w:eastAsia="en-US"/>
    </w:rPr>
  </w:style>
  <w:style w:type="paragraph" w:styleId="BodyText">
    <w:name w:val="Body Text"/>
    <w:basedOn w:val="Normal"/>
    <w:link w:val="BodyTextChar"/>
    <w:rsid w:val="00110D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0DA8"/>
    <w:rPr>
      <w:rFonts w:ascii="Times New Roman" w:eastAsia="Times New Roman" w:hAnsi="Times New Roman" w:cs="Times New Roman"/>
      <w:sz w:val="24"/>
      <w:lang w:eastAsia="en-US"/>
    </w:rPr>
  </w:style>
  <w:style w:type="paragraph" w:styleId="ListBullet">
    <w:name w:val="List Bullet"/>
    <w:basedOn w:val="List"/>
    <w:rsid w:val="00110DA8"/>
    <w:pPr>
      <w:numPr>
        <w:numId w:val="14"/>
      </w:numPr>
      <w:tabs>
        <w:tab w:val="clear" w:pos="340"/>
      </w:tabs>
      <w:spacing w:before="40" w:after="40"/>
    </w:pPr>
  </w:style>
  <w:style w:type="character" w:customStyle="1" w:styleId="SpecialBold">
    <w:name w:val="Special Bold"/>
    <w:basedOn w:val="DefaultParagraphFont"/>
    <w:rsid w:val="00110DA8"/>
    <w:rPr>
      <w:b/>
      <w:spacing w:val="0"/>
    </w:rPr>
  </w:style>
  <w:style w:type="paragraph" w:styleId="ListBullet2">
    <w:name w:val="List Bullet 2"/>
    <w:basedOn w:val="List2"/>
    <w:rsid w:val="00110DA8"/>
    <w:pPr>
      <w:numPr>
        <w:numId w:val="15"/>
      </w:numPr>
      <w:tabs>
        <w:tab w:val="clear" w:pos="680"/>
      </w:tabs>
    </w:pPr>
  </w:style>
  <w:style w:type="paragraph" w:customStyle="1" w:styleId="SuperHeading">
    <w:name w:val="SuperHeading"/>
    <w:basedOn w:val="Normal"/>
    <w:rsid w:val="00110DA8"/>
    <w:pPr>
      <w:spacing w:before="240" w:after="120"/>
      <w:outlineLvl w:val="0"/>
    </w:pPr>
    <w:rPr>
      <w:rFonts w:ascii="Times New Roman" w:hAnsi="Times New Roman"/>
      <w:b/>
      <w:sz w:val="32"/>
    </w:rPr>
  </w:style>
  <w:style w:type="paragraph" w:customStyle="1" w:styleId="AllowPageBreak">
    <w:name w:val="AllowPageBreak"/>
    <w:rsid w:val="00110DA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10DA8"/>
    <w:pPr>
      <w:numPr>
        <w:numId w:val="3"/>
      </w:numPr>
      <w:tabs>
        <w:tab w:val="clear" w:pos="1021"/>
      </w:tabs>
      <w:ind w:left="1037" w:hanging="357"/>
    </w:pPr>
  </w:style>
  <w:style w:type="character" w:customStyle="1" w:styleId="Heading2Char">
    <w:name w:val="Heading 2 Char"/>
    <w:basedOn w:val="DefaultParagraphFont"/>
    <w:link w:val="Heading2"/>
    <w:rsid w:val="00110D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0D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0D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0D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0D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0D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0D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0DA8"/>
    <w:rPr>
      <w:rFonts w:ascii="Courier New" w:eastAsia="Times New Roman" w:hAnsi="Courier New" w:cs="Times New Roman"/>
      <w:i/>
      <w:szCs w:val="20"/>
      <w:lang w:eastAsia="en-US"/>
    </w:rPr>
  </w:style>
  <w:style w:type="paragraph" w:customStyle="1" w:styleId="HeadingBase">
    <w:name w:val="Heading Base"/>
    <w:rsid w:val="00110D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0DA8"/>
    <w:pPr>
      <w:tabs>
        <w:tab w:val="right" w:leader="dot" w:pos="9072"/>
      </w:tabs>
      <w:ind w:left="567"/>
    </w:pPr>
    <w:rPr>
      <w:szCs w:val="22"/>
    </w:rPr>
  </w:style>
  <w:style w:type="paragraph" w:customStyle="1" w:styleId="TOCBase">
    <w:name w:val="TOC Base"/>
    <w:rsid w:val="00110D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0DA8"/>
    <w:pPr>
      <w:tabs>
        <w:tab w:val="right" w:leader="dot" w:pos="9072"/>
      </w:tabs>
      <w:spacing w:before="40" w:after="40"/>
      <w:ind w:left="284"/>
    </w:pPr>
    <w:rPr>
      <w:rFonts w:ascii="Times New Roman" w:hAnsi="Times New Roman"/>
    </w:rPr>
  </w:style>
  <w:style w:type="paragraph" w:styleId="TOC1">
    <w:name w:val="toc 1"/>
    <w:basedOn w:val="TOCBase"/>
    <w:next w:val="Normal"/>
    <w:rsid w:val="00110D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0D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0DA8"/>
    <w:rPr>
      <w:rFonts w:ascii="Times New Roman" w:eastAsia="Times New Roman" w:hAnsi="Times New Roman" w:cs="Times New Roman"/>
      <w:sz w:val="16"/>
      <w:lang w:eastAsia="en-US"/>
    </w:rPr>
  </w:style>
  <w:style w:type="paragraph" w:styleId="Title">
    <w:name w:val="Title"/>
    <w:basedOn w:val="HeadingBase"/>
    <w:link w:val="TitleChar"/>
    <w:qFormat/>
    <w:rsid w:val="00110DA8"/>
    <w:pPr>
      <w:spacing w:before="5040"/>
      <w:jc w:val="center"/>
    </w:pPr>
    <w:rPr>
      <w:sz w:val="48"/>
      <w:szCs w:val="72"/>
      <w:lang w:val="en-US"/>
    </w:rPr>
  </w:style>
  <w:style w:type="character" w:customStyle="1" w:styleId="TitleChar">
    <w:name w:val="Title Char"/>
    <w:basedOn w:val="DefaultParagraphFont"/>
    <w:link w:val="Title"/>
    <w:rsid w:val="00110D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0DA8"/>
    <w:pPr>
      <w:tabs>
        <w:tab w:val="left" w:pos="3600"/>
        <w:tab w:val="left" w:pos="3958"/>
      </w:tabs>
    </w:pPr>
  </w:style>
  <w:style w:type="paragraph" w:styleId="List">
    <w:name w:val="List"/>
    <w:basedOn w:val="BodyText"/>
    <w:next w:val="BodyText"/>
    <w:rsid w:val="00110DA8"/>
    <w:pPr>
      <w:tabs>
        <w:tab w:val="left" w:pos="340"/>
      </w:tabs>
      <w:spacing w:before="60" w:after="60"/>
      <w:ind w:left="340" w:hanging="340"/>
    </w:pPr>
  </w:style>
  <w:style w:type="paragraph" w:customStyle="1" w:styleId="Note">
    <w:name w:val="Note"/>
    <w:basedOn w:val="BodyText"/>
    <w:rsid w:val="00110D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0DA8"/>
    <w:pPr>
      <w:framePr w:wrap="auto" w:hAnchor="text" w:y="6049"/>
    </w:pPr>
    <w:rPr>
      <w:color w:val="000000"/>
      <w:sz w:val="40"/>
    </w:rPr>
  </w:style>
  <w:style w:type="paragraph" w:customStyle="1" w:styleId="TOCTitle">
    <w:name w:val="TOCTitle"/>
    <w:basedOn w:val="Heading1"/>
    <w:rsid w:val="00110DA8"/>
    <w:pPr>
      <w:spacing w:after="240"/>
      <w:jc w:val="center"/>
      <w:outlineLvl w:val="9"/>
    </w:pPr>
    <w:rPr>
      <w:caps/>
    </w:rPr>
  </w:style>
  <w:style w:type="paragraph" w:customStyle="1" w:styleId="Version">
    <w:name w:val="Version"/>
    <w:rsid w:val="00110D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0DA8"/>
    <w:pPr>
      <w:keepNext w:val="0"/>
      <w:tabs>
        <w:tab w:val="right" w:pos="4176"/>
      </w:tabs>
      <w:ind w:left="198" w:hanging="198"/>
    </w:pPr>
    <w:rPr>
      <w:rFonts w:ascii="Garamond" w:hAnsi="Garamond"/>
    </w:rPr>
  </w:style>
  <w:style w:type="paragraph" w:styleId="IndexHeading">
    <w:name w:val="index heading"/>
    <w:basedOn w:val="Normal"/>
    <w:next w:val="Index1"/>
    <w:semiHidden/>
    <w:rsid w:val="00110DA8"/>
    <w:pPr>
      <w:spacing w:before="120" w:after="120"/>
    </w:pPr>
    <w:rPr>
      <w:rFonts w:ascii="Arial" w:hAnsi="Arial"/>
      <w:b/>
      <w:color w:val="918585"/>
      <w:sz w:val="24"/>
    </w:rPr>
  </w:style>
  <w:style w:type="paragraph" w:styleId="Header">
    <w:name w:val="header"/>
    <w:basedOn w:val="Normal"/>
    <w:link w:val="HeaderChar"/>
    <w:rsid w:val="00110D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0DA8"/>
    <w:rPr>
      <w:rFonts w:ascii="Times New Roman" w:eastAsia="Times New Roman" w:hAnsi="Times New Roman" w:cs="Times New Roman"/>
      <w:sz w:val="16"/>
      <w:szCs w:val="20"/>
      <w:lang w:val="en-GB" w:eastAsia="en-US"/>
    </w:rPr>
  </w:style>
  <w:style w:type="paragraph" w:customStyle="1" w:styleId="Chapter">
    <w:name w:val="Chapter"/>
    <w:basedOn w:val="Normal"/>
    <w:rsid w:val="00110DA8"/>
    <w:pPr>
      <w:spacing w:before="240"/>
    </w:pPr>
    <w:rPr>
      <w:rFonts w:ascii="Times New Roman" w:hAnsi="Times New Roman"/>
      <w:smallCaps/>
      <w:spacing w:val="80"/>
      <w:sz w:val="28"/>
    </w:rPr>
  </w:style>
  <w:style w:type="paragraph" w:customStyle="1" w:styleId="InChapter">
    <w:name w:val="InChapter"/>
    <w:basedOn w:val="Heading3"/>
    <w:rsid w:val="00110DA8"/>
    <w:pPr>
      <w:spacing w:after="240"/>
      <w:outlineLvl w:val="9"/>
    </w:pPr>
    <w:rPr>
      <w:noProof/>
    </w:rPr>
  </w:style>
  <w:style w:type="paragraph" w:styleId="Index2">
    <w:name w:val="index 2"/>
    <w:basedOn w:val="Normal"/>
    <w:next w:val="Normal"/>
    <w:semiHidden/>
    <w:rsid w:val="00110DA8"/>
    <w:pPr>
      <w:tabs>
        <w:tab w:val="right" w:pos="4176"/>
      </w:tabs>
      <w:ind w:left="568" w:hanging="284"/>
    </w:pPr>
    <w:rPr>
      <w:rFonts w:ascii="Garamond" w:hAnsi="Garamond"/>
    </w:rPr>
  </w:style>
  <w:style w:type="paragraph" w:customStyle="1" w:styleId="Byline">
    <w:name w:val="Byline"/>
    <w:rsid w:val="00110D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0DA8"/>
    <w:pPr>
      <w:tabs>
        <w:tab w:val="clear" w:pos="3600"/>
        <w:tab w:val="clear" w:pos="3958"/>
      </w:tabs>
      <w:jc w:val="right"/>
    </w:pPr>
  </w:style>
  <w:style w:type="character" w:styleId="Emphasis">
    <w:name w:val="Emphasis"/>
    <w:basedOn w:val="DefaultParagraphFont"/>
    <w:qFormat/>
    <w:rsid w:val="00110DA8"/>
    <w:rPr>
      <w:i/>
    </w:rPr>
  </w:style>
  <w:style w:type="paragraph" w:styleId="Caption">
    <w:name w:val="caption"/>
    <w:basedOn w:val="BodyText"/>
    <w:next w:val="Normal"/>
    <w:qFormat/>
    <w:rsid w:val="00110DA8"/>
    <w:pPr>
      <w:framePr w:w="2268" w:hSpace="181" w:vSpace="181" w:wrap="around" w:vAnchor="text" w:hAnchor="page" w:x="1135" w:y="285" w:anchorLock="1"/>
    </w:pPr>
    <w:rPr>
      <w:i/>
    </w:rPr>
  </w:style>
  <w:style w:type="paragraph" w:customStyle="1" w:styleId="MiniTOCTitle">
    <w:name w:val="MiniTOCTitle"/>
    <w:basedOn w:val="Heading4"/>
    <w:rsid w:val="00110DA8"/>
    <w:pPr>
      <w:spacing w:before="240"/>
      <w:outlineLvl w:val="9"/>
    </w:pPr>
    <w:rPr>
      <w:noProof/>
      <w:sz w:val="24"/>
    </w:rPr>
  </w:style>
  <w:style w:type="paragraph" w:customStyle="1" w:styleId="MiniTOCItem">
    <w:name w:val="MiniTOCItem"/>
    <w:basedOn w:val="ListBullet"/>
    <w:rsid w:val="00110DA8"/>
    <w:pPr>
      <w:numPr>
        <w:numId w:val="0"/>
      </w:numPr>
      <w:tabs>
        <w:tab w:val="right" w:leader="dot" w:pos="6521"/>
      </w:tabs>
      <w:spacing w:before="0" w:after="0"/>
    </w:pPr>
  </w:style>
  <w:style w:type="paragraph" w:customStyle="1" w:styleId="TOFTitle">
    <w:name w:val="TOFTitle"/>
    <w:basedOn w:val="TOCTitle"/>
    <w:rsid w:val="00110DA8"/>
  </w:style>
  <w:style w:type="paragraph" w:styleId="TableofFigures">
    <w:name w:val="table of figures"/>
    <w:basedOn w:val="Normal"/>
    <w:next w:val="Normal"/>
    <w:semiHidden/>
    <w:rsid w:val="00110DA8"/>
    <w:pPr>
      <w:tabs>
        <w:tab w:val="right" w:leader="dot" w:pos="9072"/>
      </w:tabs>
      <w:ind w:left="970" w:hanging="403"/>
    </w:pPr>
    <w:rPr>
      <w:rFonts w:ascii="Times New Roman" w:hAnsi="Times New Roman"/>
      <w:b/>
    </w:rPr>
  </w:style>
  <w:style w:type="paragraph" w:styleId="ListNumber">
    <w:name w:val="List Number"/>
    <w:basedOn w:val="List"/>
    <w:rsid w:val="00110DA8"/>
    <w:pPr>
      <w:numPr>
        <w:numId w:val="12"/>
      </w:numPr>
    </w:pPr>
  </w:style>
  <w:style w:type="character" w:customStyle="1" w:styleId="WingdingSymbols">
    <w:name w:val="Wingding Symbols"/>
    <w:rsid w:val="00110DA8"/>
    <w:rPr>
      <w:rFonts w:ascii="Wingdings" w:hAnsi="Wingdings"/>
    </w:rPr>
  </w:style>
  <w:style w:type="paragraph" w:customStyle="1" w:styleId="TableHeading">
    <w:name w:val="Table Heading"/>
    <w:basedOn w:val="HeadingBase"/>
    <w:rsid w:val="00110DA8"/>
    <w:pPr>
      <w:keepLines/>
      <w:pBdr>
        <w:bottom w:val="single" w:sz="6" w:space="1" w:color="918585"/>
      </w:pBdr>
      <w:spacing w:before="240"/>
    </w:pPr>
  </w:style>
  <w:style w:type="character" w:customStyle="1" w:styleId="HotSpot">
    <w:name w:val="HotSpot"/>
    <w:rsid w:val="00110DA8"/>
    <w:rPr>
      <w:color w:val="0033CC"/>
      <w:u w:val="none"/>
    </w:rPr>
  </w:style>
  <w:style w:type="paragraph" w:customStyle="1" w:styleId="BodyTextRight">
    <w:name w:val="Body Text Right"/>
    <w:basedOn w:val="BodyText"/>
    <w:rsid w:val="00110DA8"/>
    <w:pPr>
      <w:spacing w:before="0" w:after="0"/>
      <w:jc w:val="right"/>
    </w:pPr>
  </w:style>
  <w:style w:type="paragraph" w:styleId="Index3">
    <w:name w:val="index 3"/>
    <w:basedOn w:val="ListNumber2"/>
    <w:next w:val="Normal"/>
    <w:semiHidden/>
    <w:rsid w:val="00110DA8"/>
    <w:pPr>
      <w:numPr>
        <w:numId w:val="0"/>
      </w:numPr>
      <w:tabs>
        <w:tab w:val="right" w:leader="dot" w:pos="4176"/>
      </w:tabs>
    </w:pPr>
  </w:style>
  <w:style w:type="paragraph" w:styleId="ListNumber2">
    <w:name w:val="List Number 2"/>
    <w:basedOn w:val="List2"/>
    <w:rsid w:val="00110DA8"/>
    <w:pPr>
      <w:numPr>
        <w:numId w:val="11"/>
      </w:numPr>
      <w:tabs>
        <w:tab w:val="clear" w:pos="1060"/>
      </w:tabs>
    </w:pPr>
  </w:style>
  <w:style w:type="paragraph" w:customStyle="1" w:styleId="MarginNote">
    <w:name w:val="Margin Note"/>
    <w:basedOn w:val="BodyText"/>
    <w:rsid w:val="00110D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0D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0D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0DA8"/>
    <w:rPr>
      <w:sz w:val="32"/>
    </w:rPr>
  </w:style>
  <w:style w:type="paragraph" w:customStyle="1" w:styleId="HeadingProcedure">
    <w:name w:val="Heading Procedure"/>
    <w:basedOn w:val="HeadingBase"/>
    <w:next w:val="Normal"/>
    <w:rsid w:val="00110DA8"/>
    <w:pPr>
      <w:tabs>
        <w:tab w:val="left" w:pos="0"/>
      </w:tabs>
      <w:spacing w:before="120" w:after="60"/>
    </w:pPr>
    <w:rPr>
      <w:i/>
      <w:color w:val="918585"/>
      <w:sz w:val="22"/>
    </w:rPr>
  </w:style>
  <w:style w:type="paragraph" w:customStyle="1" w:styleId="TableBodyText">
    <w:name w:val="Table Body Text"/>
    <w:basedOn w:val="BodyText"/>
    <w:rsid w:val="00110DA8"/>
    <w:pPr>
      <w:spacing w:before="60" w:after="60"/>
    </w:pPr>
  </w:style>
  <w:style w:type="paragraph" w:styleId="ListContinue">
    <w:name w:val="List Continue"/>
    <w:basedOn w:val="List"/>
    <w:rsid w:val="00110DA8"/>
    <w:pPr>
      <w:ind w:firstLine="0"/>
    </w:pPr>
  </w:style>
  <w:style w:type="paragraph" w:customStyle="1" w:styleId="ListNote">
    <w:name w:val="List Note"/>
    <w:basedOn w:val="List"/>
    <w:rsid w:val="00110DA8"/>
    <w:pPr>
      <w:pBdr>
        <w:top w:val="single" w:sz="6" w:space="2" w:color="918585"/>
        <w:bottom w:val="single" w:sz="6" w:space="2" w:color="918585"/>
      </w:pBdr>
      <w:tabs>
        <w:tab w:val="left" w:pos="1021"/>
      </w:tabs>
      <w:ind w:firstLine="0"/>
    </w:pPr>
  </w:style>
  <w:style w:type="paragraph" w:customStyle="1" w:styleId="Warning">
    <w:name w:val="Warning"/>
    <w:basedOn w:val="BodyText"/>
    <w:rsid w:val="00110DA8"/>
    <w:pPr>
      <w:shd w:val="clear" w:color="auto" w:fill="D9D9D9"/>
      <w:tabs>
        <w:tab w:val="left" w:pos="992"/>
      </w:tabs>
      <w:ind w:left="119" w:right="119"/>
    </w:pPr>
    <w:rPr>
      <w:sz w:val="20"/>
    </w:rPr>
  </w:style>
  <w:style w:type="paragraph" w:customStyle="1" w:styleId="MarginIcons">
    <w:name w:val="Margin Icons"/>
    <w:basedOn w:val="BodyText"/>
    <w:rsid w:val="00110D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0DA8"/>
    <w:rPr>
      <w:rFonts w:ascii="Courier New" w:hAnsi="Courier New"/>
    </w:rPr>
  </w:style>
  <w:style w:type="paragraph" w:customStyle="1" w:styleId="NoteBullet">
    <w:name w:val="Note Bullet"/>
    <w:basedOn w:val="Note"/>
    <w:rsid w:val="00110DA8"/>
    <w:pPr>
      <w:tabs>
        <w:tab w:val="clear" w:pos="680"/>
      </w:tabs>
      <w:spacing w:before="60" w:after="60"/>
    </w:pPr>
  </w:style>
  <w:style w:type="paragraph" w:customStyle="1" w:styleId="SubHeading2">
    <w:name w:val="SubHeading2"/>
    <w:basedOn w:val="HeadingBase"/>
    <w:rsid w:val="00110DA8"/>
    <w:pPr>
      <w:spacing w:before="240" w:after="60"/>
    </w:pPr>
    <w:rPr>
      <w:sz w:val="20"/>
    </w:rPr>
  </w:style>
  <w:style w:type="paragraph" w:customStyle="1" w:styleId="SubHeading1">
    <w:name w:val="SubHeading1"/>
    <w:basedOn w:val="HeadingBase"/>
    <w:rsid w:val="00110DA8"/>
    <w:pPr>
      <w:spacing w:before="240" w:after="60"/>
    </w:pPr>
    <w:rPr>
      <w:color w:val="918585"/>
      <w:sz w:val="22"/>
    </w:rPr>
  </w:style>
  <w:style w:type="paragraph" w:customStyle="1" w:styleId="SideHeading">
    <w:name w:val="Side Heading"/>
    <w:basedOn w:val="HeadingBase"/>
    <w:rsid w:val="00110D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0DA8"/>
    <w:pPr>
      <w:numPr>
        <w:numId w:val="13"/>
      </w:numPr>
    </w:pPr>
  </w:style>
  <w:style w:type="paragraph" w:styleId="PlainText">
    <w:name w:val="Plain Text"/>
    <w:basedOn w:val="Normal"/>
    <w:link w:val="PlainTextChar"/>
    <w:rsid w:val="00110DA8"/>
    <w:rPr>
      <w:sz w:val="20"/>
    </w:rPr>
  </w:style>
  <w:style w:type="character" w:customStyle="1" w:styleId="PlainTextChar">
    <w:name w:val="Plain Text Char"/>
    <w:basedOn w:val="DefaultParagraphFont"/>
    <w:link w:val="PlainText"/>
    <w:rsid w:val="00110DA8"/>
    <w:rPr>
      <w:rFonts w:ascii="Courier New" w:eastAsia="Times New Roman" w:hAnsi="Courier New" w:cs="Times New Roman"/>
      <w:sz w:val="20"/>
      <w:szCs w:val="20"/>
      <w:lang w:eastAsia="en-US"/>
    </w:rPr>
  </w:style>
  <w:style w:type="character" w:customStyle="1" w:styleId="MenuOption">
    <w:name w:val="Menu Option"/>
    <w:basedOn w:val="DefaultParagraphFont"/>
    <w:rsid w:val="00110DA8"/>
    <w:rPr>
      <w:b/>
      <w:smallCaps/>
    </w:rPr>
  </w:style>
  <w:style w:type="paragraph" w:customStyle="1" w:styleId="TableListNumber">
    <w:name w:val="Table List Number"/>
    <w:basedOn w:val="ListNumber"/>
    <w:rsid w:val="00110DA8"/>
    <w:pPr>
      <w:numPr>
        <w:numId w:val="0"/>
      </w:numPr>
    </w:pPr>
  </w:style>
  <w:style w:type="paragraph" w:styleId="TOC4">
    <w:name w:val="toc 4"/>
    <w:basedOn w:val="TOCBase"/>
    <w:next w:val="Normal"/>
    <w:semiHidden/>
    <w:rsid w:val="00110DA8"/>
    <w:pPr>
      <w:tabs>
        <w:tab w:val="right" w:leader="dot" w:pos="9071"/>
      </w:tabs>
      <w:ind w:left="1701"/>
    </w:pPr>
  </w:style>
  <w:style w:type="paragraph" w:customStyle="1" w:styleId="ListAlpha">
    <w:name w:val="List Alpha"/>
    <w:basedOn w:val="List"/>
    <w:rsid w:val="00110DA8"/>
    <w:pPr>
      <w:numPr>
        <w:numId w:val="10"/>
      </w:numPr>
    </w:pPr>
  </w:style>
  <w:style w:type="paragraph" w:customStyle="1" w:styleId="ListAlpha2">
    <w:name w:val="List Alpha 2"/>
    <w:basedOn w:val="List2"/>
    <w:rsid w:val="00110DA8"/>
    <w:pPr>
      <w:numPr>
        <w:numId w:val="9"/>
      </w:numPr>
    </w:pPr>
  </w:style>
  <w:style w:type="paragraph" w:styleId="List2">
    <w:name w:val="List 2"/>
    <w:basedOn w:val="BodyText"/>
    <w:rsid w:val="00110DA8"/>
    <w:pPr>
      <w:tabs>
        <w:tab w:val="left" w:pos="680"/>
      </w:tabs>
      <w:spacing w:before="60" w:after="60"/>
      <w:ind w:left="680" w:hanging="340"/>
    </w:pPr>
  </w:style>
  <w:style w:type="paragraph" w:styleId="List3">
    <w:name w:val="List 3"/>
    <w:basedOn w:val="BodyText"/>
    <w:rsid w:val="00110DA8"/>
    <w:pPr>
      <w:tabs>
        <w:tab w:val="left" w:pos="1021"/>
      </w:tabs>
      <w:spacing w:before="60" w:after="60"/>
      <w:ind w:left="1020" w:hanging="340"/>
    </w:pPr>
  </w:style>
  <w:style w:type="paragraph" w:styleId="List4">
    <w:name w:val="List 4"/>
    <w:basedOn w:val="BodyText"/>
    <w:rsid w:val="00110DA8"/>
    <w:pPr>
      <w:tabs>
        <w:tab w:val="left" w:pos="1361"/>
      </w:tabs>
      <w:spacing w:before="60" w:after="60"/>
      <w:ind w:left="1361" w:hanging="340"/>
    </w:pPr>
  </w:style>
  <w:style w:type="paragraph" w:styleId="List5">
    <w:name w:val="List 5"/>
    <w:basedOn w:val="BodyText"/>
    <w:rsid w:val="00110DA8"/>
    <w:pPr>
      <w:tabs>
        <w:tab w:val="left" w:pos="1701"/>
      </w:tabs>
      <w:spacing w:before="60" w:after="60"/>
      <w:ind w:left="1701" w:hanging="340"/>
    </w:pPr>
  </w:style>
  <w:style w:type="paragraph" w:styleId="ListBullet4">
    <w:name w:val="List Bullet 4"/>
    <w:basedOn w:val="List4"/>
    <w:rsid w:val="00110DA8"/>
    <w:pPr>
      <w:numPr>
        <w:numId w:val="4"/>
      </w:numPr>
    </w:pPr>
  </w:style>
  <w:style w:type="paragraph" w:styleId="ListBullet5">
    <w:name w:val="List Bullet 5"/>
    <w:basedOn w:val="List5"/>
    <w:rsid w:val="00110DA8"/>
    <w:pPr>
      <w:numPr>
        <w:numId w:val="5"/>
      </w:numPr>
    </w:pPr>
  </w:style>
  <w:style w:type="paragraph" w:styleId="ListContinue2">
    <w:name w:val="List Continue 2"/>
    <w:basedOn w:val="List2"/>
    <w:rsid w:val="00110DA8"/>
    <w:pPr>
      <w:ind w:firstLine="0"/>
    </w:pPr>
  </w:style>
  <w:style w:type="paragraph" w:styleId="ListContinue3">
    <w:name w:val="List Continue 3"/>
    <w:basedOn w:val="List3"/>
    <w:rsid w:val="00110DA8"/>
    <w:pPr>
      <w:ind w:left="1021" w:firstLine="0"/>
    </w:pPr>
  </w:style>
  <w:style w:type="paragraph" w:styleId="ListContinue4">
    <w:name w:val="List Continue 4"/>
    <w:basedOn w:val="List4"/>
    <w:rsid w:val="00110DA8"/>
    <w:pPr>
      <w:ind w:firstLine="0"/>
    </w:pPr>
  </w:style>
  <w:style w:type="paragraph" w:styleId="ListContinue5">
    <w:name w:val="List Continue 5"/>
    <w:basedOn w:val="List5"/>
    <w:rsid w:val="00110DA8"/>
    <w:pPr>
      <w:ind w:firstLine="0"/>
    </w:pPr>
  </w:style>
  <w:style w:type="paragraph" w:styleId="ListNumber3">
    <w:name w:val="List Number 3"/>
    <w:basedOn w:val="List3"/>
    <w:rsid w:val="00110DA8"/>
    <w:pPr>
      <w:numPr>
        <w:numId w:val="6"/>
      </w:numPr>
    </w:pPr>
  </w:style>
  <w:style w:type="paragraph" w:styleId="ListNumber4">
    <w:name w:val="List Number 4"/>
    <w:basedOn w:val="List4"/>
    <w:rsid w:val="00110DA8"/>
    <w:pPr>
      <w:numPr>
        <w:numId w:val="7"/>
      </w:numPr>
    </w:pPr>
  </w:style>
  <w:style w:type="paragraph" w:styleId="ListNumber5">
    <w:name w:val="List Number 5"/>
    <w:basedOn w:val="List5"/>
    <w:rsid w:val="00110DA8"/>
    <w:pPr>
      <w:numPr>
        <w:numId w:val="8"/>
      </w:numPr>
    </w:pPr>
  </w:style>
  <w:style w:type="paragraph" w:styleId="BlockText">
    <w:name w:val="Block Text"/>
    <w:basedOn w:val="Normal"/>
    <w:rsid w:val="00110DA8"/>
    <w:pPr>
      <w:spacing w:after="120"/>
      <w:ind w:left="1440" w:right="1440"/>
    </w:pPr>
  </w:style>
  <w:style w:type="character" w:customStyle="1" w:styleId="Subscript">
    <w:name w:val="Subscript"/>
    <w:basedOn w:val="DefaultParagraphFont"/>
    <w:rsid w:val="00110DA8"/>
    <w:rPr>
      <w:sz w:val="16"/>
      <w:vertAlign w:val="subscript"/>
    </w:rPr>
  </w:style>
  <w:style w:type="character" w:customStyle="1" w:styleId="Superscript">
    <w:name w:val="Superscript"/>
    <w:basedOn w:val="DefaultParagraphFont"/>
    <w:rsid w:val="00110DA8"/>
    <w:rPr>
      <w:sz w:val="16"/>
      <w:vertAlign w:val="superscript"/>
    </w:rPr>
  </w:style>
  <w:style w:type="character" w:customStyle="1" w:styleId="Symbols">
    <w:name w:val="Symbols"/>
    <w:basedOn w:val="DefaultParagraphFont"/>
    <w:rsid w:val="00110DA8"/>
    <w:rPr>
      <w:rFonts w:ascii="Symbol" w:hAnsi="Symbol"/>
    </w:rPr>
  </w:style>
  <w:style w:type="character" w:customStyle="1" w:styleId="MenuOptions">
    <w:name w:val="Menu Options"/>
    <w:basedOn w:val="DefaultParagraphFont"/>
    <w:rsid w:val="00110DA8"/>
    <w:rPr>
      <w:rFonts w:ascii="Arial Narrow" w:hAnsi="Arial Narrow"/>
      <w:smallCaps/>
    </w:rPr>
  </w:style>
  <w:style w:type="character" w:customStyle="1" w:styleId="Buttons">
    <w:name w:val="Buttons"/>
    <w:basedOn w:val="DefaultParagraphFont"/>
    <w:rsid w:val="00110DA8"/>
    <w:rPr>
      <w:b/>
    </w:rPr>
  </w:style>
  <w:style w:type="character" w:customStyle="1" w:styleId="Underlined">
    <w:name w:val="Underlined"/>
    <w:basedOn w:val="DefaultParagraphFont"/>
    <w:rsid w:val="00110DA8"/>
    <w:rPr>
      <w:u w:val="single"/>
    </w:rPr>
  </w:style>
  <w:style w:type="paragraph" w:customStyle="1" w:styleId="TableBodyTextRight">
    <w:name w:val="Table Body Text Right"/>
    <w:basedOn w:val="TableBodyText"/>
    <w:rsid w:val="00110DA8"/>
    <w:pPr>
      <w:widowControl w:val="0"/>
      <w:autoSpaceDE w:val="0"/>
      <w:autoSpaceDN w:val="0"/>
      <w:adjustRightInd w:val="0"/>
      <w:jc w:val="right"/>
    </w:pPr>
    <w:rPr>
      <w:rFonts w:cs="Arial"/>
      <w:szCs w:val="18"/>
    </w:rPr>
  </w:style>
  <w:style w:type="paragraph" w:customStyle="1" w:styleId="CopyrightText">
    <w:name w:val="Copyright Text"/>
    <w:basedOn w:val="BodyText"/>
    <w:rsid w:val="00110DA8"/>
    <w:rPr>
      <w:sz w:val="18"/>
    </w:rPr>
  </w:style>
  <w:style w:type="paragraph" w:customStyle="1" w:styleId="BodySmallRight">
    <w:name w:val="Body Small Right"/>
    <w:basedOn w:val="BodyTextRight"/>
    <w:rsid w:val="00110DA8"/>
    <w:rPr>
      <w:sz w:val="18"/>
      <w:szCs w:val="18"/>
    </w:rPr>
  </w:style>
  <w:style w:type="paragraph" w:customStyle="1" w:styleId="MarginEdition">
    <w:name w:val="Margin Edition"/>
    <w:basedOn w:val="MarginNote"/>
    <w:rsid w:val="00110DA8"/>
    <w:pPr>
      <w:spacing w:before="0" w:after="0"/>
    </w:pPr>
    <w:rPr>
      <w:rFonts w:ascii="Times New Roman" w:hAnsi="Times New Roman"/>
      <w:color w:val="999999"/>
    </w:rPr>
  </w:style>
  <w:style w:type="paragraph" w:customStyle="1" w:styleId="Spacer">
    <w:name w:val="Spacer"/>
    <w:basedOn w:val="Normal"/>
    <w:rsid w:val="00110DA8"/>
    <w:rPr>
      <w:sz w:val="2"/>
      <w:szCs w:val="2"/>
    </w:rPr>
  </w:style>
  <w:style w:type="character" w:customStyle="1" w:styleId="Small">
    <w:name w:val="Small"/>
    <w:basedOn w:val="DefaultParagraphFont"/>
    <w:rsid w:val="00110DA8"/>
    <w:rPr>
      <w:sz w:val="16"/>
    </w:rPr>
  </w:style>
  <w:style w:type="paragraph" w:customStyle="1" w:styleId="WideTable">
    <w:name w:val="Wide Table"/>
    <w:basedOn w:val="Normal"/>
    <w:rsid w:val="00110DA8"/>
    <w:pPr>
      <w:ind w:left="-1418"/>
    </w:pPr>
    <w:rPr>
      <w:sz w:val="2"/>
      <w:szCs w:val="2"/>
    </w:rPr>
  </w:style>
  <w:style w:type="character" w:styleId="PageNumber">
    <w:name w:val="page number"/>
    <w:basedOn w:val="DefaultParagraphFont"/>
    <w:rsid w:val="00110DA8"/>
  </w:style>
  <w:style w:type="paragraph" w:styleId="Quote">
    <w:name w:val="Quote"/>
    <w:basedOn w:val="Heading1"/>
    <w:link w:val="QuoteChar"/>
    <w:qFormat/>
    <w:rsid w:val="00110DA8"/>
    <w:rPr>
      <w:b w:val="0"/>
      <w:sz w:val="72"/>
      <w:szCs w:val="72"/>
      <w:lang w:val="en-NZ"/>
    </w:rPr>
  </w:style>
  <w:style w:type="character" w:customStyle="1" w:styleId="QuoteChar">
    <w:name w:val="Quote Char"/>
    <w:basedOn w:val="DefaultParagraphFont"/>
    <w:link w:val="Quote"/>
    <w:rsid w:val="00110D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0DA8"/>
    <w:pPr>
      <w:pageBreakBefore/>
    </w:pPr>
  </w:style>
  <w:style w:type="paragraph" w:customStyle="1" w:styleId="Border">
    <w:name w:val="Border"/>
    <w:basedOn w:val="Normal"/>
    <w:qFormat/>
    <w:rsid w:val="00110D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0DA8"/>
    <w:rPr>
      <w:b/>
      <w:bCs/>
      <w:i/>
      <w:iCs/>
      <w:color w:val="auto"/>
    </w:rPr>
  </w:style>
  <w:style w:type="paragraph" w:styleId="IntenseQuote">
    <w:name w:val="Intense Quote"/>
    <w:basedOn w:val="Normal"/>
    <w:next w:val="Normal"/>
    <w:link w:val="IntenseQuoteChar"/>
    <w:uiPriority w:val="30"/>
    <w:qFormat/>
    <w:rsid w:val="00110D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0D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0DA8"/>
    <w:rPr>
      <w:smallCaps/>
      <w:color w:val="auto"/>
      <w:u w:val="single"/>
    </w:rPr>
  </w:style>
  <w:style w:type="character" w:styleId="IntenseReference">
    <w:name w:val="Intense Reference"/>
    <w:basedOn w:val="DefaultParagraphFont"/>
    <w:uiPriority w:val="32"/>
    <w:qFormat/>
    <w:rsid w:val="00110DA8"/>
    <w:rPr>
      <w:b/>
      <w:bCs/>
      <w:smallCaps/>
      <w:color w:val="auto"/>
      <w:spacing w:val="5"/>
      <w:u w:val="single"/>
    </w:rPr>
  </w:style>
  <w:style w:type="paragraph" w:customStyle="1" w:styleId="2ColumnHeading">
    <w:name w:val="2Column Heading"/>
    <w:basedOn w:val="BodyText"/>
    <w:qFormat/>
    <w:rsid w:val="00110DA8"/>
    <w:pPr>
      <w:spacing w:after="60"/>
      <w:ind w:left="-2268"/>
    </w:pPr>
    <w:rPr>
      <w:b/>
    </w:rPr>
  </w:style>
  <w:style w:type="paragraph" w:customStyle="1" w:styleId="Heading1TOC">
    <w:name w:val="Heading1 TOC"/>
    <w:basedOn w:val="Normal"/>
    <w:qFormat/>
    <w:rsid w:val="00110DA8"/>
    <w:pPr>
      <w:spacing w:before="240" w:after="120"/>
    </w:pPr>
    <w:rPr>
      <w:rFonts w:ascii="Times New Roman" w:hAnsi="Times New Roman"/>
      <w:b/>
      <w:sz w:val="32"/>
    </w:rPr>
  </w:style>
  <w:style w:type="paragraph" w:customStyle="1" w:styleId="Heading2TOC">
    <w:name w:val="Heading2 TOC"/>
    <w:basedOn w:val="Normal"/>
    <w:qFormat/>
    <w:rsid w:val="00110DA8"/>
    <w:pPr>
      <w:spacing w:before="240" w:after="60"/>
    </w:pPr>
    <w:rPr>
      <w:rFonts w:ascii="Times New Roman" w:hAnsi="Times New Roman"/>
      <w:b/>
      <w:sz w:val="28"/>
    </w:rPr>
  </w:style>
  <w:style w:type="character" w:customStyle="1" w:styleId="Underline">
    <w:name w:val="Underline"/>
    <w:basedOn w:val="DefaultParagraphFont"/>
    <w:qFormat/>
    <w:rsid w:val="00110DA8"/>
    <w:rPr>
      <w:u w:val="single"/>
    </w:rPr>
  </w:style>
  <w:style w:type="character" w:customStyle="1" w:styleId="BoldandItalics">
    <w:name w:val="Bold and Italics"/>
    <w:qFormat/>
    <w:rsid w:val="00110DA8"/>
    <w:rPr>
      <w:b/>
      <w:i/>
      <w:u w:val="none"/>
    </w:rPr>
  </w:style>
  <w:style w:type="paragraph" w:styleId="BalloonText">
    <w:name w:val="Balloon Text"/>
    <w:basedOn w:val="Normal"/>
    <w:link w:val="BalloonTextChar"/>
    <w:rsid w:val="00110DA8"/>
    <w:rPr>
      <w:rFonts w:ascii="Tahoma" w:hAnsi="Tahoma" w:cs="Tahoma"/>
      <w:sz w:val="16"/>
      <w:szCs w:val="16"/>
    </w:rPr>
  </w:style>
  <w:style w:type="character" w:customStyle="1" w:styleId="BalloonTextChar">
    <w:name w:val="Balloon Text Char"/>
    <w:basedOn w:val="DefaultParagraphFont"/>
    <w:link w:val="BalloonText"/>
    <w:rsid w:val="00110D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0D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0D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0DA8"/>
    <w:rPr>
      <w:b/>
      <w:color w:val="660033"/>
      <w:spacing w:val="0"/>
    </w:rPr>
  </w:style>
  <w:style w:type="paragraph" w:customStyle="1" w:styleId="Nameditemlist">
    <w:name w:val="Named item list"/>
    <w:basedOn w:val="BodyText"/>
    <w:qFormat/>
    <w:rsid w:val="00110DA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3485</Words>
  <Characters>22329</Characters>
  <Application>Microsoft Office Word</Application>
  <DocSecurity>0</DocSecurity>
  <Lines>916</Lines>
  <Paragraphs>433</Paragraphs>
  <ScaleCrop>false</ScaleCrop>
  <Company>Author-it Software Corporation Ltd.</Company>
  <LinksUpToDate>false</LinksUpToDate>
  <CharactersWithSpaces>25571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UETTDRIS44A Perform HV field switching operation to a given schedule</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2013-03-15T13:07:00Z</dcterms:created>
  <dcterms:modified xsi:type="dcterms:W3CDTF">2013-03-15T13:07:00Z</dcterms:modified>
</cp:coreProperties>
</file>