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BE6" w:rsidP="003D5BE6">
      <w:pPr>
        <w:pStyle w:val="Title"/>
      </w:pPr>
      <w:r>
        <w:fldChar w:fldCharType="begin"/>
      </w:r>
      <w:r>
        <w:instrText xml:space="preserve"> TITLE   \* MERGEFORMAT </w:instrText>
      </w:r>
      <w:r>
        <w:fldChar w:fldCharType="separate"/>
      </w:r>
      <w:r>
        <w:t>UETTDRIS43A Perform low voltage field switching operation to a given schedule</w:t>
      </w:r>
      <w:r>
        <w:fldChar w:fldCharType="end"/>
      </w:r>
    </w:p>
    <w:p w:rsidR="003D5BE6" w:rsidP="003D5BE6">
      <w:pPr>
        <w:pStyle w:val="Version"/>
        <w:sectPr w:rsidSect="00DF5E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5E2E" w:rsidP="00DF5E2E">
      <w:pPr>
        <w:pStyle w:val="SuperHeading"/>
      </w:pPr>
      <w:r w:rsidRPr="00DF5E2E">
        <w:t>UETTDRIS43A Perform low voltage field switching operation to a given schedule</w:t>
      </w:r>
    </w:p>
    <w:p w:rsidR="00000000" w:rsidRPr="00DF5E2E" w:rsidP="00DF5E2E">
      <w:pPr>
        <w:pStyle w:val="Heading1"/>
      </w:pPr>
      <w:bookmarkStart w:id="1" w:name="O_462469"/>
      <w:bookmarkEnd w:id="1"/>
      <w:r w:rsidRPr="00DF5E2E">
        <w:t>Modification History</w:t>
      </w:r>
    </w:p>
    <w:p w:rsidR="00000000" w:rsidRPr="00DF5E2E" w:rsidP="00DF5E2E">
      <w:pPr>
        <w:pStyle w:val="BodyText"/>
      </w:pPr>
      <w:r w:rsidRPr="00DF5E2E">
        <w:t>Not applicable.</w:t>
      </w:r>
    </w:p>
    <w:p w:rsidR="00000000" w:rsidRPr="00DF5E2E" w:rsidP="00DF5E2E">
      <w:pPr>
        <w:pStyle w:val="AllowPageBreak"/>
      </w:pPr>
    </w:p>
    <w:p w:rsidR="00000000" w:rsidRPr="00DF5E2E" w:rsidP="00DF5E2E">
      <w:pPr>
        <w:pStyle w:val="Heading1"/>
      </w:pPr>
      <w:bookmarkStart w:id="2" w:name="O_462467"/>
      <w:bookmarkEnd w:id="2"/>
      <w:r w:rsidRPr="00DF5E2E">
        <w:t>Unit Descriptor</w:t>
      </w:r>
    </w:p>
    <w:tbl>
      <w:tblPr>
        <w:tblW w:w="0" w:type="auto"/>
        <w:tblLayout w:type="fixed"/>
        <w:tblCellMar>
          <w:left w:w="62" w:type="dxa"/>
          <w:right w:w="62" w:type="dxa"/>
        </w:tblCellMar>
        <w:tblLook w:val="0000"/>
      </w:tblPr>
      <w:tblGrid>
        <w:gridCol w:w="2700"/>
        <w:gridCol w:w="5760"/>
      </w:tblGrid>
      <w:tr w:rsidTr="003D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1)</w:t>
            </w:r>
            <w:r w:rsidRPr="00DF5E2E">
              <w:t xml:space="preserve"> </w:t>
            </w:r>
            <w:r w:rsidRPr="00DF5E2E">
              <w:rPr>
                <w:rStyle w:val="SpecialBold"/>
              </w:rPr>
              <w:t>Scope: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5E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1.1) Descriptor</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This Competency Standard Unit covers the conducting of low voltage switching operations involving the operation of circuit breaking and isolation devices from a given switching schedule and in accordance with enterprise procedures. It covers low voltage di</w:t>
            </w:r>
            <w:r w:rsidRPr="00DF5E2E">
              <w:t>stribution systems in field situations but also includes paralleling in accordance with the switching schedule. It also encompasses the procedure of; communicating with the Switching Control Officer or Electrical Control Officer, isolating the electrical e</w:t>
            </w:r>
            <w:r w:rsidRPr="00DF5E2E">
              <w:t>quipment and the line or work site, as well as proving that the area is de-energised and earthed, issuing/accepting electrical permits and the returning of the affected circuits to service.</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3" w:name="O_462456"/>
      <w:bookmarkEnd w:id="3"/>
      <w:r w:rsidRPr="00DF5E2E">
        <w:t>Application of the Unit</w:t>
      </w:r>
    </w:p>
    <w:tbl>
      <w:tblPr>
        <w:tblW w:w="0" w:type="auto"/>
        <w:tblLayout w:type="fixed"/>
        <w:tblCellMar>
          <w:left w:w="62" w:type="dxa"/>
          <w:right w:w="62" w:type="dxa"/>
        </w:tblCellMar>
        <w:tblLook w:val="0000"/>
      </w:tblPr>
      <w:tblGrid>
        <w:gridCol w:w="2672"/>
        <w:gridCol w:w="5699"/>
      </w:tblGrid>
      <w:tr w:rsidTr="003D5B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2)</w:t>
            </w:r>
          </w:p>
        </w:tc>
      </w:tr>
      <w:tr w:rsidTr="003D5BE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This Competency Standard Unit is intended to augment formally acquired competencies. It is suitable for employment-based programs under an approved contract of training.</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4" w:name="O_462463"/>
      <w:bookmarkEnd w:id="4"/>
      <w:r w:rsidRPr="00DF5E2E">
        <w:t>Licensing/Regulatory Information</w:t>
      </w:r>
    </w:p>
    <w:tbl>
      <w:tblPr>
        <w:tblW w:w="0" w:type="auto"/>
        <w:tblLayout w:type="fixed"/>
        <w:tblCellMar>
          <w:left w:w="62" w:type="dxa"/>
          <w:right w:w="62" w:type="dxa"/>
        </w:tblCellMar>
        <w:tblLook w:val="0000"/>
      </w:tblPr>
      <w:tblGrid>
        <w:gridCol w:w="2700"/>
        <w:gridCol w:w="5760"/>
      </w:tblGrid>
      <w:tr w:rsidTr="003D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 xml:space="preserve">3)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 xml:space="preserve">The skills and knowledge described in this unit may </w:t>
            </w:r>
            <w:r w:rsidRPr="00DF5E2E">
              <w:t>require a licence/registration to practice in the work place subject to regulations for undertaking of electrical work. Practice in workplace and during training is also subject to regulations directly re</w:t>
            </w:r>
            <w:r w:rsidRPr="00DF5E2E">
              <w:t>lated to Occupational Health and Safety, electricity/telecommunications/gas/water industry safety and compliance, industrial relations, environmental protection, anti discrimination and training. Commonwealth, State/Territory or Local Government legislatio</w:t>
            </w:r>
            <w:r w:rsidRPr="00DF5E2E">
              <w:t>n and regulations may exist that limits the age of operating certain equipment.</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5" w:name="O_462464"/>
      <w:bookmarkEnd w:id="5"/>
      <w:r w:rsidRPr="00DF5E2E">
        <w:t>Pre-Requisites</w:t>
      </w:r>
    </w:p>
    <w:tbl>
      <w:tblPr>
        <w:tblW w:w="0" w:type="auto"/>
        <w:tblLayout w:type="fixed"/>
        <w:tblCellMar>
          <w:left w:w="62" w:type="dxa"/>
          <w:right w:w="62" w:type="dxa"/>
        </w:tblCellMar>
        <w:tblLook w:val="0000"/>
      </w:tblPr>
      <w:tblGrid>
        <w:gridCol w:w="2700"/>
        <w:gridCol w:w="1890"/>
        <w:gridCol w:w="3780"/>
      </w:tblGrid>
      <w:tr w:rsidTr="003D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Prerequisite Unit(s)</w:t>
            </w: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 xml:space="preserve">4)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Competencies</w:t>
            </w: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4.1)</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Granting of competency in this unit shall be made only after competency in the following unit(s) has/have been confirmed.</w:t>
            </w:r>
          </w:p>
          <w:p w:rsidR="00000000" w:rsidRPr="00DF5E2E" w:rsidP="00DF5E2E">
            <w:pPr>
              <w:pStyle w:val="BodyText"/>
            </w:pPr>
            <w:r w:rsidRPr="00DF5E2E">
              <w:t xml:space="preserve">Where pre-requisite pathways have been identified. All competencies in the Common Unit Group must be have been completed plus all the </w:t>
            </w:r>
            <w:r w:rsidRPr="00DF5E2E">
              <w:t>competencies in one (1) of the identified Pathway Unit Group(s):</w:t>
            </w:r>
          </w:p>
          <w:p w:rsidR="00000000" w:rsidRPr="00DF5E2E" w:rsidP="00DF5E2E">
            <w:pPr>
              <w:pStyle w:val="BodyText"/>
            </w:pPr>
            <w:r w:rsidRPr="00DF5E2E">
              <w:t>Transmission Overhead</w:t>
            </w:r>
          </w:p>
          <w:p w:rsidR="00000000" w:rsidRPr="00DF5E2E" w:rsidP="00DF5E2E">
            <w:pPr>
              <w:pStyle w:val="BodyText"/>
            </w:pPr>
            <w:r w:rsidRPr="00DF5E2E">
              <w:t>Distribution Overhead</w:t>
            </w:r>
          </w:p>
          <w:p w:rsidR="00000000" w:rsidRPr="00DF5E2E" w:rsidP="00DF5E2E">
            <w:pPr>
              <w:pStyle w:val="BodyText"/>
            </w:pPr>
            <w:r w:rsidRPr="00DF5E2E">
              <w:t>Rail Traction</w:t>
            </w:r>
          </w:p>
          <w:p w:rsidR="00000000" w:rsidRPr="00DF5E2E" w:rsidP="00DF5E2E">
            <w:pPr>
              <w:pStyle w:val="BodyText"/>
            </w:pPr>
            <w:r w:rsidRPr="00DF5E2E">
              <w:t>Distribution Cable Jointing</w:t>
            </w:r>
          </w:p>
          <w:p w:rsidR="00000000" w:rsidRPr="00DF5E2E" w:rsidP="00DF5E2E">
            <w:pPr>
              <w:pStyle w:val="BodyText"/>
            </w:pPr>
            <w:r w:rsidRPr="00DF5E2E">
              <w:t>Electrical</w:t>
            </w:r>
          </w:p>
          <w:p w:rsidR="00000000" w:rsidP="00DF5E2E">
            <w:pPr>
              <w:pStyle w:val="BodyText"/>
              <w:rPr>
                <w:lang w:val="en-NZ"/>
              </w:rPr>
            </w:pPr>
            <w:r w:rsidRPr="00DF5E2E">
              <w:t>Common Unit Group</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UEENEEE101A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Apply Occupational Health and Safety regulations, codes and practices in the workplace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UEENEEE102A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Fabricate, assemble and dismantle utilities industry components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UEENEEE104A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Solve problems in d.c.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UEENEEE105A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Fix and secure electrotechnolog</w:t>
            </w:r>
            <w:r w:rsidRPr="00DF5E2E">
              <w:t>y equipment</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UEENEEE107A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Use drawings, diagrams, schedules, standards, codes and specifications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UEENEEG101A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Solve problems in electromagnetic devices and related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UEENEEG102A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Solve problems in low voltage a.c.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UETTDREL16A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Working safely near live electrical apparatus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 xml:space="preserve">Transmission Overhead Pathway Group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Apply sustainable energy and environmental procedures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Operate plant and equipment near live electrical conductors and apparatus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poles, structures, overhead conductors and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UETTDRTP26A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transmission structures and associated hardware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UETTDRTP27A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Maintain t</w:t>
            </w:r>
            <w:r w:rsidRPr="00DF5E2E">
              <w:t xml:space="preserve">ransmission structures and associated hardware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UETTDRTP29A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transmission overhead conductors and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Distribution Overhead Pathway Group</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Apply sustainable energy and environmental procedures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UETTDRDP12A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Maintain overhead energised low voltage conductors and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Operate plant and equipment near live electrical conductors and apparatus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network infrastructure electrical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Maintain network infrastructure electrical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Install and maintain poles, structures and associated hardware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Install and maintain poles, structures, over</w:t>
            </w:r>
            <w:r w:rsidRPr="00DF5E2E">
              <w:t xml:space="preserve">head conductors and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UETTDRIS56A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low voltage overhead services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Rail Traction Pathway Group</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Apply sustainable energy and environmental procedures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Operate plant and equipment near live electrical conductors and apparatus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Install and maintain poles, structures and associated hardware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UETTDRIS54A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poles, structures, overhead conductors and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UETTDRRT21A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Inst</w:t>
            </w:r>
            <w:r w:rsidRPr="00DF5E2E">
              <w:t xml:space="preserve">all traction overhead wiring systems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UETTDRRT22A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Maintain traction overhead wiring systems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UETTDRRT23A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rail traction bonds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UETTDRRT27A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overhead traction components and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UETTDRRT28A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Maintain overhead traction components and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Distribution Cable Jointing Pathway Group</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bottom"/>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UETTDREL11A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Apply sustainable energy and environmental procedures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UETTDRCJ21A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Lay ESI electrical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UETTDRCJ26A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de-energised low voltage underground polymeric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UETTDRCJ27A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de-energised high voltage underground polymeric cables.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UETTDREL12A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Operate plant and equipment near live electrical conductors and apparatus</w:t>
            </w:r>
            <w:r w:rsidRPr="00DF5E2E">
              <w:t xml:space="preserve">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UETTDRIS41A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network infrastructure electrical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UETTDRIS42A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Maintain network infrastructure electrical equipment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UETTDRIS55A</w:t>
            </w:r>
          </w:p>
        </w:tc>
        <w:tc>
          <w:tcPr>
            <w:tcW w:w="3780" w:type="dxa"/>
            <w:tcBorders>
              <w:top w:val="nil"/>
              <w:left w:val="nil"/>
              <w:bottom w:val="nil"/>
              <w:right w:val="nil"/>
            </w:tcBorders>
            <w:tcMar>
              <w:top w:w="0" w:type="dxa"/>
              <w:left w:w="62" w:type="dxa"/>
              <w:bottom w:w="0" w:type="dxa"/>
              <w:right w:w="62" w:type="dxa"/>
            </w:tcMar>
            <w:vAlign w:val="bottom"/>
          </w:tcPr>
          <w:p w:rsidR="00000000" w:rsidP="00DF5E2E">
            <w:pPr>
              <w:pStyle w:val="BodyText"/>
              <w:rPr>
                <w:lang w:val="en-NZ"/>
              </w:rPr>
            </w:pPr>
            <w:r w:rsidRPr="00DF5E2E">
              <w:t xml:space="preserve">Install and maintain low voltage underground services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Electrical Pathway Group</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Code</w:t>
            </w:r>
          </w:p>
        </w:tc>
        <w:tc>
          <w:tcPr>
            <w:tcW w:w="37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Unit Title</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UEENEEE137A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Document and apply measures to control OHS risks associated with electrotechnology work</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Solve problems in single and three phase low voltage machines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UEENEEG033A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Solve problems in single and three phase electrical apparatus and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UEENEEG063A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Arrange circuits, control and protection for general electrical installations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Terminate cables, cords and accessories for low voltage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UEENEEG108A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Trouble-shoot and repair faults in low voltage electrical apparatus and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UEENEEG109A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Develop and connect electrical control circuits</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UEENEEK142A</w:t>
            </w:r>
          </w:p>
        </w:tc>
        <w:tc>
          <w:tcPr>
            <w:tcW w:w="3780" w:type="dxa"/>
            <w:tcBorders>
              <w:top w:val="nil"/>
              <w:left w:val="nil"/>
              <w:bottom w:val="nil"/>
              <w:right w:val="nil"/>
            </w:tcBorders>
            <w:tcMar>
              <w:top w:w="0" w:type="dxa"/>
              <w:left w:w="62" w:type="dxa"/>
              <w:bottom w:w="0" w:type="dxa"/>
              <w:right w:w="62" w:type="dxa"/>
            </w:tcMar>
            <w:vAlign w:val="center"/>
          </w:tcPr>
          <w:p w:rsidR="00000000" w:rsidP="00DF5E2E">
            <w:pPr>
              <w:pStyle w:val="BodyText"/>
              <w:rPr>
                <w:lang w:val="en-NZ"/>
              </w:rPr>
            </w:pPr>
            <w:r w:rsidRPr="00DF5E2E">
              <w:t>Apply environmentally and sustainable energy procedures in the energy sector</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UETTDRIS</w:t>
            </w:r>
            <w:r w:rsidRPr="00DF5E2E">
              <w:t>67A</w:t>
            </w:r>
          </w:p>
        </w:tc>
        <w:tc>
          <w:tcPr>
            <w:tcW w:w="3780" w:type="dxa"/>
            <w:tcBorders>
              <w:top w:val="nil"/>
              <w:left w:val="nil"/>
              <w:bottom w:val="nil"/>
              <w:right w:val="nil"/>
            </w:tcBorders>
            <w:tcMar>
              <w:top w:w="0" w:type="dxa"/>
              <w:left w:w="62" w:type="dxa"/>
              <w:bottom w:w="0" w:type="dxa"/>
              <w:right w:w="62" w:type="dxa"/>
            </w:tcMar>
            <w:vAlign w:val="center"/>
          </w:tcPr>
          <w:p w:rsidR="00000000" w:rsidRPr="00DF5E2E" w:rsidP="00DF5E2E">
            <w:pPr>
              <w:pStyle w:val="BodyText"/>
            </w:pPr>
            <w:r w:rsidRPr="00DF5E2E">
              <w:t>Solve problems in energy supply network equipment</w:t>
            </w:r>
          </w:p>
        </w:tc>
      </w:tr>
    </w:tbl>
    <w:p w:rsidR="00000000" w:rsidRPr="00DF5E2E" w:rsidP="00DF5E2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D5BE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 xml:space="preserve">4.2)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 xml:space="preserve">Participants are best equipped to achieve this unit if they have reading, writing and numeracy skills indicated by the following scales. Description </w:t>
            </w:r>
            <w:r w:rsidRPr="00DF5E2E">
              <w:t>of each scale is given in Volume 2, Part 3 “Literacy and Numeracy”</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Reading</w:t>
            </w:r>
          </w:p>
        </w:tc>
        <w:tc>
          <w:tcPr>
            <w:tcW w:w="81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w:t>
            </w:r>
          </w:p>
        </w:tc>
        <w:tc>
          <w:tcPr>
            <w:tcW w:w="99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Writing</w:t>
            </w:r>
          </w:p>
        </w:tc>
        <w:tc>
          <w:tcPr>
            <w:tcW w:w="90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w:t>
            </w:r>
          </w:p>
        </w:tc>
        <w:tc>
          <w:tcPr>
            <w:tcW w:w="12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Numeracy</w:t>
            </w:r>
          </w:p>
        </w:tc>
        <w:tc>
          <w:tcPr>
            <w:tcW w:w="72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3</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6" w:name="O_462460"/>
      <w:bookmarkEnd w:id="6"/>
      <w:r w:rsidRPr="00DF5E2E">
        <w:t>Employability Skills Information</w:t>
      </w:r>
    </w:p>
    <w:tbl>
      <w:tblPr>
        <w:tblW w:w="0" w:type="auto"/>
        <w:tblLayout w:type="fixed"/>
        <w:tblCellMar>
          <w:left w:w="62" w:type="dxa"/>
          <w:right w:w="62" w:type="dxa"/>
        </w:tblCellMar>
        <w:tblLook w:val="0000"/>
      </w:tblPr>
      <w:tblGrid>
        <w:gridCol w:w="2700"/>
        <w:gridCol w:w="5760"/>
      </w:tblGrid>
      <w:tr w:rsidTr="003D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 xml:space="preserve">5)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F5E2E">
              <w:t>requirements.</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7" w:name="O_462459"/>
      <w:bookmarkEnd w:id="7"/>
      <w:r w:rsidRPr="00DF5E2E">
        <w:t>Elements and Performance Criteria Pre-Content</w:t>
      </w:r>
    </w:p>
    <w:tbl>
      <w:tblPr>
        <w:tblW w:w="0" w:type="auto"/>
        <w:tblLayout w:type="fixed"/>
        <w:tblCellMar>
          <w:left w:w="62" w:type="dxa"/>
          <w:right w:w="62" w:type="dxa"/>
        </w:tblCellMar>
        <w:tblLook w:val="0000"/>
      </w:tblPr>
      <w:tblGrid>
        <w:gridCol w:w="2700"/>
        <w:gridCol w:w="5760"/>
      </w:tblGrid>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6)</w:t>
            </w:r>
            <w:r w:rsidRPr="00DF5E2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Performance Criteria describe the required performance needed to demonstrate achievement of the element</w:t>
            </w:r>
            <w:r w:rsidRPr="00DF5E2E">
              <w:t>. Assessment of performance is to be consistent with the Evidence Guide.</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8" w:name="O_462458"/>
      <w:bookmarkEnd w:id="8"/>
      <w:r w:rsidRPr="00DF5E2E">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3D5BE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PERFORMANCE CRITERIA</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w:t>
            </w:r>
          </w:p>
        </w:tc>
        <w:tc>
          <w:tcPr>
            <w:tcW w:w="2294"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Prepare for the LV field switching to a given schedule</w:t>
            </w: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1.1</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Switching and work schedule(s), including drawings, plans, requirements, established procedures, and material lists, are received, analysed and confirmed, if necessary, by site inspection.</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1.2</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Relevant requirements and established procedures for the work are communicated to all personnel and identified for all work sites.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1.3</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OHS policies and procedures related to requirements and established procedures for LV switching are obtained and confi</w:t>
            </w:r>
            <w:r w:rsidRPr="00DF5E2E">
              <w:t>rmed for the purposes of the work to be performed and communicated.</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1.4</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Work is prioritised and sequenced following consultation with others for completion within acceptable timeframes and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1.5</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Hazards are id</w:t>
            </w:r>
            <w:r w:rsidRPr="00DF5E2E">
              <w:t>entified, OHS risks assessed and control measures are prioritised, implemented and monitored including emergency exits kept clear according to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1.6</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Relevant authority is obtained to perform work according to requirements and/or es</w:t>
            </w:r>
            <w:r w:rsidRPr="00DF5E2E">
              <w:t>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1.7</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Resources including personnel, equipment, tools and personal protective equipment required for the job are obtained and confirmed in working order.</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1.8</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Relevant personnel at worksite are confirmed current in First Aid and other related work procedures according to requirements.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1.9</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Liaison and communication issues with other/authorised personnel, authorities, clients and land owners are resolved to car</w:t>
            </w:r>
            <w:r w:rsidRPr="00DF5E2E">
              <w:t>ry out work where necessary.</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1.10</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Site is prepared according to the work schedule and to minimise risk and damage to property, commerce, and individuals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1.11</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Personnel participating in the work, including plant operators and contractors, are fully briefed and respective responsibilities confirmed where applicable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1.12</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Road signs, barriers and warning devices are pos</w:t>
            </w:r>
            <w:r w:rsidRPr="00DF5E2E">
              <w:t>itioned in accordance with requirements.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w:t>
            </w:r>
          </w:p>
        </w:tc>
        <w:tc>
          <w:tcPr>
            <w:tcW w:w="2294"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Carry out LV field switching to a given schedule</w:t>
            </w: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2.1</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OHS and sustainable energy principles and practices to reduce the incidents of accidents and minimise waste are monitored and followed in accordance with requi</w:t>
            </w:r>
            <w:r w:rsidRPr="00DF5E2E">
              <w:t>rements and/or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2.2</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Lifting, climbing, working in confined spaces and aloft, and use of power tools/equipment, techniques and practices are safely followed and, currency according to requirements confirmed.</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2.3</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Essential knowle</w:t>
            </w:r>
            <w:r w:rsidRPr="00DF5E2E">
              <w:t>dge and associated skills in the safe LV field switching to a given schedule are applied to ensure completion in an agreed timeframe and, to quality standards with a minimum of waste according to requirements.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2.4</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Communications with Switching Control Officer are established and maintained throughout the isolation operation according to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2.5</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Electrical equipment and associated circuits line/network or work site to be switched including para</w:t>
            </w:r>
            <w:r w:rsidRPr="00DF5E2E">
              <w:t>lleling is isolated and proved de-energised using appropriate devices and earthed where required according to requirements and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2.6</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Hazard warnings and safety signs are recognised and hazards and assessed OHS risks are reported to</w:t>
            </w:r>
            <w:r w:rsidRPr="00DF5E2E">
              <w:t xml:space="preserve"> the immediate authorised persons for directions according to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2.7</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Unplanned events occurring during LV field switching to a given schedule are responded to and undertaken within the scope of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2.8</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Known solutions to a variety of problems are applied using acquired essential knowledge and associated skills.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2.9</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Ongoing checks of quality of the work are undertaken in accordance with instructions and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w:t>
            </w:r>
          </w:p>
        </w:tc>
        <w:tc>
          <w:tcPr>
            <w:tcW w:w="2294"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Complete the LV field s</w:t>
            </w:r>
            <w:r w:rsidRPr="00DF5E2E">
              <w:t>witching to a given schedule</w:t>
            </w: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3.1</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Work undertaken is checked against works schedule for conformance with requirements and anomalies reported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3.2</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Accidents and/or injuries are reported in accordance with requirem</w:t>
            </w:r>
            <w:r w:rsidRPr="00DF5E2E">
              <w:t>ents/established procedures, where applicable.</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3.3</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Work site is rehabilitated, cleaned up and made safe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3.4</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Tools, equipment and any surplus resources and materials are, where appropriate, cleaned, checked and returned to storage in accordance with 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3.5</w:t>
            </w:r>
          </w:p>
        </w:tc>
        <w:tc>
          <w:tcPr>
            <w:tcW w:w="4922"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Relevant permit(s) are signed off, safety devices are removed, and the system is re-</w:t>
            </w:r>
            <w:r w:rsidRPr="00DF5E2E">
              <w:t>energised and returned to service in accordance with requirements/established procedures.</w:t>
            </w:r>
          </w:p>
        </w:tc>
      </w:tr>
      <w:tr w:rsidTr="003D5BE6">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t>3.6</w:t>
            </w:r>
          </w:p>
        </w:tc>
        <w:tc>
          <w:tcPr>
            <w:tcW w:w="4922"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Works completion records, reports, as installed /modified drawing and/or documentation and information are finalised and processed and appropriate personnel an</w:t>
            </w:r>
            <w:r w:rsidRPr="00DF5E2E">
              <w:t>d authority notified.</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9" w:name="O_462466"/>
      <w:bookmarkEnd w:id="9"/>
      <w:r w:rsidRPr="00DF5E2E">
        <w:t>Required Skills and Knowledge</w:t>
      </w:r>
    </w:p>
    <w:tbl>
      <w:tblPr>
        <w:tblW w:w="0" w:type="auto"/>
        <w:tblLayout w:type="fixed"/>
        <w:tblCellMar>
          <w:left w:w="62" w:type="dxa"/>
          <w:right w:w="62" w:type="dxa"/>
        </w:tblCellMar>
        <w:tblLook w:val="0000"/>
      </w:tblPr>
      <w:tblGrid>
        <w:gridCol w:w="8460"/>
      </w:tblGrid>
      <w:tr w:rsidTr="003D5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REQUIRED SKILLS AND KNOWLEDGE</w:t>
            </w:r>
          </w:p>
        </w:tc>
      </w:tr>
      <w:tr w:rsidTr="003D5BE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8)</w:t>
            </w:r>
            <w:r w:rsidRPr="00DF5E2E">
              <w:t xml:space="preserve"> Essential Knowledge and Associated Skills (EKAS): This describes the essential skills and knowledge and their level, required for this unit.</w:t>
            </w:r>
          </w:p>
          <w:p w:rsidR="00000000" w:rsidRPr="00DF5E2E" w:rsidP="00DF5E2E">
            <w:pPr>
              <w:pStyle w:val="BodyText"/>
            </w:pPr>
            <w:r w:rsidRPr="00DF5E2E">
              <w:t>Evidence shall show that knowledge has been acquired of performing high voltage field switching to a given schedule.</w:t>
            </w:r>
          </w:p>
          <w:p w:rsidR="00000000" w:rsidRPr="00DF5E2E" w:rsidP="00DF5E2E">
            <w:pPr>
              <w:pStyle w:val="BodyText"/>
            </w:pPr>
            <w:r w:rsidRPr="00DF5E2E">
              <w:t>All knowledge and skills detailed in this unit should be contextualised to current industry practices and technologies.</w:t>
            </w:r>
          </w:p>
          <w:p w:rsidR="00000000" w:rsidRPr="00DF5E2E" w:rsidP="00DF5E2E">
            <w:pPr>
              <w:pStyle w:val="BodyText"/>
            </w:pPr>
            <w:r w:rsidRPr="00DF5E2E">
              <w:t xml:space="preserve">KS01-TIS43A </w:t>
            </w:r>
            <w:r w:rsidRPr="00DF5E2E">
              <w:tab/>
              <w:t>LV Swi</w:t>
            </w:r>
            <w:r w:rsidRPr="00DF5E2E">
              <w:t>tching</w:t>
            </w:r>
          </w:p>
          <w:p w:rsidR="00000000" w:rsidRPr="00DF5E2E" w:rsidP="00DF5E2E">
            <w:pPr>
              <w:pStyle w:val="BodyText"/>
            </w:pPr>
            <w:r w:rsidRPr="00DF5E2E">
              <w:t>Evidence shall show an understanding of LV system switching principles including switching authorisation procedures to an extent indicated by the following aspects:</w:t>
            </w:r>
          </w:p>
          <w:p w:rsidR="00000000" w:rsidRPr="00DF5E2E" w:rsidP="00DF5E2E">
            <w:pPr>
              <w:pStyle w:val="BodyText"/>
            </w:pPr>
            <w:r w:rsidRPr="00DF5E2E">
              <w:t>T1</w:t>
            </w:r>
            <w:r w:rsidRPr="00DF5E2E">
              <w:tab/>
              <w:t>Legislation, Standards, codes, legislation, supply authority regulations and or e</w:t>
            </w:r>
            <w:r w:rsidRPr="00DF5E2E">
              <w:t>nterprise requirements applicable to system switching</w:t>
            </w:r>
          </w:p>
          <w:p w:rsidR="00000000" w:rsidRPr="00DF5E2E" w:rsidP="00DF5E2E">
            <w:pPr>
              <w:pStyle w:val="BodyText"/>
            </w:pPr>
            <w:r w:rsidRPr="00DF5E2E">
              <w:t>T2</w:t>
            </w:r>
            <w:r w:rsidRPr="00DF5E2E">
              <w:tab/>
              <w:t>Requirements for the use of manuals, system diagrams/plans and drawings encompassing:</w:t>
            </w:r>
          </w:p>
          <w:p w:rsidR="00000000" w:rsidRPr="00DF5E2E" w:rsidP="00DF5E2E">
            <w:pPr>
              <w:pStyle w:val="ListBullet"/>
            </w:pPr>
            <w:r w:rsidRPr="00DF5E2E">
              <w:t>Types, characteristics and capabilities of electrical apparatus</w:t>
            </w:r>
          </w:p>
          <w:p w:rsidR="00000000" w:rsidRPr="00DF5E2E" w:rsidP="00DF5E2E">
            <w:pPr>
              <w:pStyle w:val="ListBullet"/>
            </w:pPr>
            <w:r w:rsidRPr="00DF5E2E">
              <w:t>Use, characteristics and capabilities of special</w:t>
            </w:r>
            <w:r w:rsidRPr="00DF5E2E">
              <w:t>ised tools and testing equipment</w:t>
            </w:r>
          </w:p>
          <w:p w:rsidR="00000000" w:rsidRPr="00DF5E2E" w:rsidP="00DF5E2E">
            <w:pPr>
              <w:pStyle w:val="ListBullet"/>
            </w:pPr>
            <w:r w:rsidRPr="00DF5E2E">
              <w:t>LV network interconnectors for alternate sources of supply and possible backfeed.</w:t>
            </w:r>
          </w:p>
          <w:p w:rsidR="00000000" w:rsidRPr="00DF5E2E" w:rsidP="00DF5E2E">
            <w:pPr>
              <w:pStyle w:val="BodyText"/>
            </w:pPr>
            <w:r w:rsidRPr="00DF5E2E">
              <w:t>T3</w:t>
            </w:r>
            <w:r w:rsidRPr="00DF5E2E">
              <w:tab/>
              <w:t>Procedures for obtaining correct LV switching authorisation encompassing:</w:t>
            </w:r>
          </w:p>
          <w:p w:rsidR="00000000" w:rsidRPr="00DF5E2E" w:rsidP="00DF5E2E">
            <w:pPr>
              <w:pStyle w:val="ListBullet"/>
            </w:pPr>
            <w:r w:rsidRPr="00DF5E2E">
              <w:t>Identification of hazards, assessing and controlling risks</w:t>
            </w:r>
          </w:p>
          <w:p w:rsidR="00000000" w:rsidRPr="00DF5E2E" w:rsidP="00DF5E2E">
            <w:pPr>
              <w:pStyle w:val="ListBullet"/>
            </w:pPr>
            <w:r w:rsidRPr="00DF5E2E">
              <w:t>Safety procedures and precautions</w:t>
            </w:r>
          </w:p>
          <w:p w:rsidR="00000000" w:rsidRPr="00DF5E2E" w:rsidP="00DF5E2E">
            <w:pPr>
              <w:pStyle w:val="ListBullet"/>
            </w:pPr>
            <w:r w:rsidRPr="00DF5E2E">
              <w:t>Safe approach distances</w:t>
            </w:r>
          </w:p>
          <w:p w:rsidR="00000000" w:rsidRPr="00DF5E2E" w:rsidP="00DF5E2E">
            <w:pPr>
              <w:pStyle w:val="ListBullet"/>
            </w:pPr>
            <w:r w:rsidRPr="00DF5E2E">
              <w:t>Responsibilities and protocols</w:t>
            </w:r>
          </w:p>
          <w:p w:rsidR="00000000" w:rsidRPr="00DF5E2E" w:rsidP="00DF5E2E">
            <w:pPr>
              <w:pStyle w:val="ListBullet"/>
            </w:pPr>
            <w:r w:rsidRPr="00DF5E2E">
              <w:t>Identifying switching resources</w:t>
            </w:r>
          </w:p>
          <w:p w:rsidR="00000000" w:rsidRPr="00DF5E2E" w:rsidP="00DF5E2E">
            <w:pPr>
              <w:pStyle w:val="ListBullet"/>
            </w:pPr>
            <w:r w:rsidRPr="00DF5E2E">
              <w:t>Procedures for obtaining electrical access permits/authorities</w:t>
            </w:r>
          </w:p>
          <w:p w:rsidR="00000000" w:rsidRPr="00DF5E2E" w:rsidP="00DF5E2E">
            <w:pPr>
              <w:pStyle w:val="ListBullet"/>
            </w:pPr>
            <w:r w:rsidRPr="00DF5E2E">
              <w:t>Requirements for team switching</w:t>
            </w:r>
          </w:p>
          <w:p w:rsidR="00000000" w:rsidRPr="00DF5E2E" w:rsidP="00DF5E2E">
            <w:pPr>
              <w:pStyle w:val="ListBullet"/>
            </w:pPr>
            <w:r w:rsidRPr="00DF5E2E">
              <w:t>Procedures for coordination of operation</w:t>
            </w:r>
            <w:r w:rsidRPr="00DF5E2E">
              <w:t>s</w:t>
            </w:r>
          </w:p>
          <w:p w:rsidR="00000000" w:rsidRPr="00DF5E2E" w:rsidP="00DF5E2E">
            <w:pPr>
              <w:pStyle w:val="BodyText"/>
            </w:pPr>
            <w:r w:rsidRPr="00DF5E2E">
              <w:t>T4</w:t>
            </w:r>
            <w:r w:rsidRPr="00DF5E2E">
              <w:tab/>
              <w:t>Techniques in LV system switching encompassing:</w:t>
            </w:r>
          </w:p>
          <w:p w:rsidR="00000000" w:rsidRPr="00DF5E2E" w:rsidP="00DF5E2E">
            <w:pPr>
              <w:pStyle w:val="ListBullet"/>
            </w:pPr>
            <w:r w:rsidRPr="00DF5E2E">
              <w:t>Isolation procedures and proving dead</w:t>
            </w:r>
          </w:p>
          <w:p w:rsidR="00000000" w:rsidRPr="00DF5E2E" w:rsidP="00DF5E2E">
            <w:pPr>
              <w:pStyle w:val="ListBullet"/>
            </w:pPr>
            <w:r w:rsidRPr="00DF5E2E">
              <w:t>Pre-switching checks</w:t>
            </w:r>
          </w:p>
          <w:p w:rsidR="00000000" w:rsidRPr="00DF5E2E" w:rsidP="00DF5E2E">
            <w:pPr>
              <w:pStyle w:val="ListBullet"/>
            </w:pPr>
            <w:r w:rsidRPr="00DF5E2E">
              <w:t>Switching operational procedures</w:t>
            </w:r>
          </w:p>
          <w:p w:rsidR="00000000" w:rsidRPr="00DF5E2E" w:rsidP="00DF5E2E">
            <w:pPr>
              <w:pStyle w:val="ListBullet"/>
            </w:pPr>
            <w:r w:rsidRPr="00DF5E2E">
              <w:t>Emergency fault procedures</w:t>
            </w:r>
          </w:p>
          <w:p w:rsidR="00000000" w:rsidRPr="00DF5E2E" w:rsidP="00DF5E2E">
            <w:pPr>
              <w:pStyle w:val="ListBullet"/>
            </w:pPr>
            <w:r w:rsidRPr="00DF5E2E">
              <w:t>Energisation procedures</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10" w:name="O_462461"/>
      <w:bookmarkEnd w:id="10"/>
      <w:r w:rsidRPr="00DF5E2E">
        <w:t>Evidence Guide</w:t>
      </w:r>
    </w:p>
    <w:tbl>
      <w:tblPr>
        <w:tblW w:w="0" w:type="auto"/>
        <w:tblLayout w:type="fixed"/>
        <w:tblCellMar>
          <w:left w:w="62" w:type="dxa"/>
          <w:right w:w="62" w:type="dxa"/>
        </w:tblCellMar>
        <w:tblLook w:val="0000"/>
      </w:tblPr>
      <w:tblGrid>
        <w:gridCol w:w="8460"/>
      </w:tblGrid>
      <w:tr w:rsidTr="003D5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EVIDENCE GUIDE</w:t>
            </w:r>
          </w:p>
        </w:tc>
      </w:tr>
      <w:tr w:rsidTr="003D5B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9)</w:t>
            </w:r>
            <w:r w:rsidRPr="00DF5E2E">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DF5E2E" w:rsidP="00DF5E2E">
            <w:pPr>
              <w:pStyle w:val="BodyText"/>
            </w:pPr>
            <w:r w:rsidRPr="00DF5E2E">
              <w:t>The Evidence Guide form</w:t>
            </w:r>
            <w:r w:rsidRPr="00DF5E2E">
              <w:t>s an integral part of this Competency Standard Unit and shall be used in conjunction with all component parts of this unit and, performed in accordance with the Assessment Guidelines of this Training Package.</w:t>
            </w:r>
          </w:p>
        </w:tc>
      </w:tr>
    </w:tbl>
    <w:p w:rsidR="00000000" w:rsidRPr="00DF5E2E" w:rsidP="00DF5E2E">
      <w:pPr>
        <w:pStyle w:val="BodyText"/>
      </w:pPr>
    </w:p>
    <w:tbl>
      <w:tblPr>
        <w:tblW w:w="0" w:type="auto"/>
        <w:tblLayout w:type="fixed"/>
        <w:tblCellMar>
          <w:left w:w="62" w:type="dxa"/>
          <w:right w:w="62" w:type="dxa"/>
        </w:tblCellMar>
        <w:tblLook w:val="0000"/>
      </w:tblPr>
      <w:tblGrid>
        <w:gridCol w:w="1890"/>
        <w:gridCol w:w="6570"/>
      </w:tblGrid>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9.1)</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Longitudinal competency development approaches to assessment, such as Profiling, require data to be reliably gathered in a form that can be consistently interpreted over time. This approach is best utilised in Apprenticeship programs and reduces assessment</w:t>
            </w:r>
            <w:r w:rsidRPr="00DF5E2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F5E2E">
              <w:t>tency in a realistically simulated work environment. It is recognised that, in some circumstances, assessment in part or full can occur outside the workplace. However, it must be in accord with Industry and, Regulatory policy in this regard.</w:t>
            </w:r>
          </w:p>
          <w:p w:rsidR="00000000" w:rsidRPr="00DF5E2E" w:rsidP="00DF5E2E">
            <w:pPr>
              <w:pStyle w:val="BodyText"/>
            </w:pPr>
            <w:r w:rsidRPr="00DF5E2E">
              <w:t>Methods chosen</w:t>
            </w:r>
            <w:r w:rsidRPr="00DF5E2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DF5E2E">
              <w:t>equired and the critical nature of the competencies being assessed.</w:t>
            </w:r>
          </w:p>
          <w:p w:rsidR="00000000" w:rsidRPr="00DF5E2E" w:rsidP="00DF5E2E">
            <w:pPr>
              <w:pStyle w:val="BodyText"/>
            </w:pPr>
            <w:r w:rsidRPr="00DF5E2E">
              <w:t>The critical safety nature of working with electricity, electrical equipment, gas or any other hazardous substance/material carries risk in deeming a person competent. Hence, sources of ev</w:t>
            </w:r>
            <w:r w:rsidRPr="00DF5E2E">
              <w:t>idence need to be ‘rich’ in nature so as to minimise error in judgment.</w:t>
            </w:r>
          </w:p>
          <w:p w:rsidR="00000000" w:rsidRPr="00DF5E2E" w:rsidP="00DF5E2E">
            <w:pPr>
              <w:pStyle w:val="BodyText"/>
            </w:pPr>
            <w:r w:rsidRPr="00DF5E2E">
              <w:t>Activities associated with normal every day work have a bearing on the decision as to how much and how detailed the data gathered will contribute to its ‘richness’. Some skills are mor</w:t>
            </w:r>
            <w:r w:rsidRPr="00DF5E2E">
              <w:t>e critical to safety and operational requirements while the same skills may be more or less frequently practiced. These points are raised for the assessors to consider when choosing an assessment method and developing assessment instruments. Sample assessm</w:t>
            </w:r>
            <w:r w:rsidRPr="00DF5E2E">
              <w:t>ent instruments are included for Assessors in the Assessment Guidelines of this Training Package.</w:t>
            </w:r>
          </w:p>
        </w:tc>
      </w:tr>
    </w:tbl>
    <w:p w:rsidR="00000000" w:rsidRPr="00DF5E2E" w:rsidP="00DF5E2E">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9.2)</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Before the critical aspects of evidence are considered all prerequisi</w:t>
            </w:r>
            <w:r w:rsidRPr="00DF5E2E">
              <w:t>tes shall be met.</w:t>
            </w:r>
          </w:p>
          <w:p w:rsidR="00000000" w:rsidRPr="00DF5E2E" w:rsidP="00DF5E2E">
            <w:pPr>
              <w:pStyle w:val="BodyText"/>
            </w:pPr>
            <w:r w:rsidRPr="00DF5E2E">
              <w:t>Evidence for competence in this unit shall be considered holistically. Each element and associated Performance Criteria shall be demonstrated on at least two occasions in accordance with the “Assessment Guidelines – UET12”. Evidence shall</w:t>
            </w:r>
            <w:r w:rsidRPr="00DF5E2E">
              <w:t xml:space="preserve"> also comprise:</w:t>
            </w:r>
          </w:p>
          <w:p w:rsidR="00000000" w:rsidRPr="00DF5E2E" w:rsidP="00DF5E2E">
            <w:pPr>
              <w:pStyle w:val="ListBullet"/>
            </w:pPr>
            <w:r w:rsidRPr="00DF5E2E">
              <w:t xml:space="preserve">A representative body of Performance Criteria demonstrated within the timeframes </w:t>
            </w:r>
            <w:r w:rsidRPr="00DF5E2E">
              <w:t>typically expected of the discipline, work function and industrial environment. In particular this shall incorporate evidence that shows a candidate is able to:</w:t>
            </w:r>
          </w:p>
          <w:p w:rsidR="00000000" w:rsidRPr="00DF5E2E" w:rsidP="00DF5E2E">
            <w:pPr>
              <w:pStyle w:val="ListBullet2"/>
            </w:pPr>
            <w:r w:rsidRPr="00DF5E2E">
              <w:t xml:space="preserve">Implement Occupational Health and Safety workplace procedures and practices including the use </w:t>
            </w:r>
            <w:r w:rsidRPr="00DF5E2E">
              <w:t>of risk control measures as specified in the Performance Criteria and range; and</w:t>
            </w:r>
          </w:p>
          <w:p w:rsidR="00000000" w:rsidRPr="00DF5E2E" w:rsidP="00DF5E2E">
            <w:pPr>
              <w:pStyle w:val="ListBullet2"/>
            </w:pPr>
            <w:r w:rsidRPr="00DF5E2E">
              <w:t>Apply sustainable energy principles and practices as specified in the Performance Criteria and range; and</w:t>
            </w:r>
          </w:p>
          <w:p w:rsidR="00000000" w:rsidRPr="00DF5E2E" w:rsidP="00DF5E2E">
            <w:pPr>
              <w:pStyle w:val="ListBullet2"/>
            </w:pPr>
            <w:r w:rsidRPr="00DF5E2E">
              <w:t>Demonstrate an understanding of the essential knowledge and associate</w:t>
            </w:r>
            <w:r w:rsidRPr="00DF5E2E">
              <w:t>d skills as described in this unit to such an extent that the learner’s performance outcome is reported in accordance with the preferred approach; namely a percentile graded result, where required by the regulated environment; and</w:t>
            </w:r>
          </w:p>
          <w:p w:rsidR="00000000" w:rsidRPr="00DF5E2E" w:rsidP="00DF5E2E">
            <w:pPr>
              <w:pStyle w:val="ListBullet2"/>
            </w:pPr>
            <w:r w:rsidRPr="00DF5E2E">
              <w:t>Demonstrate an appropriat</w:t>
            </w:r>
            <w:r w:rsidRPr="00DF5E2E">
              <w:t>e level of employability skills; and</w:t>
            </w:r>
          </w:p>
          <w:p w:rsidR="00000000" w:rsidRPr="00DF5E2E" w:rsidP="00DF5E2E">
            <w:pPr>
              <w:pStyle w:val="ListBullet"/>
            </w:pPr>
            <w:r w:rsidRPr="00DF5E2E">
              <w:t>Conduct work observing the relevant Anti Discrimination legislation, regulations, policies and workplace procedures; and</w:t>
            </w:r>
          </w:p>
          <w:p w:rsidR="00000000" w:rsidP="00DF5E2E">
            <w:pPr>
              <w:pStyle w:val="ListBullet2"/>
              <w:rPr>
                <w:lang w:val="en-NZ"/>
              </w:rPr>
            </w:pPr>
            <w:r w:rsidRPr="00DF5E2E">
              <w:t>Demonstrated performance across a representative range of contexts from the prescribed items bel</w:t>
            </w:r>
            <w:r w:rsidRPr="00DF5E2E">
              <w:t>ow:</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F5E2E">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rPr>
                <w:rStyle w:val="SpecialBold"/>
              </w:rPr>
              <w:t>Range of tools/equipment/materials/procedures/workplaces/other variables</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F5E2E">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rPr>
                <w:rStyle w:val="SpecialBold"/>
              </w:rPr>
              <w:t>Item List</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t>Approvals/clearances</w:t>
            </w:r>
          </w:p>
          <w:p w:rsidR="00000000" w:rsidP="00DF5E2E">
            <w:pPr>
              <w:pStyle w:val="BodyText"/>
              <w:rPr>
                <w:lang w:val="en-NZ"/>
              </w:rPr>
            </w:pPr>
            <w:r w:rsidRPr="00DF5E2E">
              <w:t>Access authority /permits</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Any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t>Voltage detectors</w:t>
            </w:r>
          </w:p>
          <w:p w:rsidR="00000000" w:rsidRPr="00DF5E2E" w:rsidP="00DF5E2E">
            <w:pPr>
              <w:pStyle w:val="BodyText"/>
            </w:pPr>
            <w:r w:rsidRPr="00DF5E2E">
              <w:t>Polarity testers</w:t>
            </w:r>
          </w:p>
          <w:p w:rsidR="00000000" w:rsidP="00DF5E2E">
            <w:pPr>
              <w:pStyle w:val="BodyText"/>
              <w:rPr>
                <w:lang w:val="en-NZ"/>
              </w:rPr>
            </w:pPr>
            <w:r w:rsidRPr="00DF5E2E">
              <w:t>Phase rotation indicators</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t>LV links</w:t>
            </w:r>
          </w:p>
          <w:p w:rsidR="00000000" w:rsidRPr="00DF5E2E" w:rsidP="00DF5E2E">
            <w:pPr>
              <w:pStyle w:val="BodyText"/>
            </w:pPr>
            <w:r w:rsidRPr="00DF5E2E">
              <w:t>LV bridges</w:t>
            </w:r>
          </w:p>
          <w:p w:rsidR="00000000" w:rsidP="00DF5E2E">
            <w:pPr>
              <w:pStyle w:val="BodyText"/>
              <w:rPr>
                <w:lang w:val="en-NZ"/>
              </w:rPr>
            </w:pPr>
            <w:r w:rsidRPr="00DF5E2E">
              <w:t>LV fuses</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5E2E">
            <w:pPr>
              <w:pStyle w:val="BodyText"/>
              <w:rPr>
                <w:lang w:val="en-NZ"/>
              </w:rPr>
            </w:pPr>
            <w:r w:rsidRPr="00DF5E2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5E2E" w:rsidP="00DF5E2E">
            <w:pPr>
              <w:pStyle w:val="BodyText"/>
            </w:pPr>
            <w:r w:rsidRPr="00DF5E2E">
              <w:t>Dealing with an unplanned event by drawing on essential knowledge and associated skills to provide appropriate solutions incorporated in the holistic assessment with the above listed items.</w:t>
            </w:r>
          </w:p>
        </w:tc>
      </w:tr>
    </w:tbl>
    <w:p w:rsidR="00000000" w:rsidRPr="00DF5E2E" w:rsidP="00DF5E2E">
      <w:pPr>
        <w:pStyle w:val="BodyText"/>
      </w:pPr>
    </w:p>
    <w:tbl>
      <w:tblPr>
        <w:tblW w:w="0" w:type="auto"/>
        <w:tblLayout w:type="fixed"/>
        <w:tblCellMar>
          <w:left w:w="62" w:type="dxa"/>
          <w:right w:w="62" w:type="dxa"/>
        </w:tblCellMar>
        <w:tblLook w:val="0000"/>
      </w:tblPr>
      <w:tblGrid>
        <w:gridCol w:w="1890"/>
        <w:gridCol w:w="6570"/>
      </w:tblGrid>
      <w:tr w:rsidTr="003D5BE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9.3)</w:t>
            </w:r>
          </w:p>
        </w:tc>
      </w:tr>
      <w:tr w:rsidTr="003D5BE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This unit should be assessed as it relates to normal work practice using procedures, information and resources typical of a workplace. This should include:</w:t>
            </w:r>
          </w:p>
          <w:p w:rsidR="00000000" w:rsidRPr="00DF5E2E" w:rsidP="00DF5E2E">
            <w:pPr>
              <w:pStyle w:val="ListBullet"/>
            </w:pPr>
            <w:r w:rsidRPr="00DF5E2E">
              <w:t>OHS policy and work procedures and instructions.</w:t>
            </w:r>
          </w:p>
          <w:p w:rsidR="00000000" w:rsidRPr="00DF5E2E" w:rsidP="00DF5E2E">
            <w:pPr>
              <w:pStyle w:val="ListBullet"/>
            </w:pPr>
            <w:r w:rsidRPr="00DF5E2E">
              <w:t>Suitable work environment, facilities, equipment a</w:t>
            </w:r>
            <w:r w:rsidRPr="00DF5E2E">
              <w:t xml:space="preserve">nd materials to undertake actual performance of LV field switching to a given schedule. </w:t>
            </w:r>
          </w:p>
          <w:p w:rsidR="00000000" w:rsidRPr="00DF5E2E" w:rsidP="00DF5E2E">
            <w:pPr>
              <w:pStyle w:val="BodyText"/>
            </w:pPr>
            <w:r w:rsidRPr="00DF5E2E">
              <w:t>In addition to the resources listed above, in Context of and specific resources for assessment, evidence should show demonstrated competency working below ground, in l</w:t>
            </w:r>
            <w:r w:rsidRPr="00DF5E2E">
              <w:t>imited spaces, with different structural/construction types and method and in a variety of environments.</w:t>
            </w:r>
          </w:p>
        </w:tc>
      </w:tr>
    </w:tbl>
    <w:p w:rsidR="00000000" w:rsidRPr="00DF5E2E" w:rsidP="00DF5E2E">
      <w:pPr>
        <w:pStyle w:val="BodyText"/>
      </w:pPr>
    </w:p>
    <w:tbl>
      <w:tblPr>
        <w:tblW w:w="0" w:type="auto"/>
        <w:tblLayout w:type="fixed"/>
        <w:tblCellMar>
          <w:left w:w="62" w:type="dxa"/>
          <w:right w:w="62" w:type="dxa"/>
        </w:tblCellMar>
        <w:tblLook w:val="0000"/>
      </w:tblPr>
      <w:tblGrid>
        <w:gridCol w:w="1890"/>
        <w:gridCol w:w="6570"/>
      </w:tblGrid>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9.4)</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This Competency Standard Unit shall be assessed by methods given in Volume 1, Part 3 “Assessment Guidelines”.</w:t>
            </w:r>
          </w:p>
          <w:p w:rsidR="00000000" w:rsidRPr="00DF5E2E" w:rsidP="00DF5E2E">
            <w:pPr>
              <w:pStyle w:val="BodyText"/>
            </w:pPr>
            <w:r w:rsidRPr="00DF5E2E">
              <w:t>Note:</w:t>
            </w:r>
          </w:p>
          <w:p w:rsidR="00000000" w:rsidRPr="00DF5E2E" w:rsidP="00DF5E2E">
            <w:pPr>
              <w:pStyle w:val="BodyText"/>
            </w:pPr>
            <w:r w:rsidRPr="00DF5E2E">
              <w:t>Competent performance with inherent safe working practices is expected in the Industry to which this Competency Standard Unit applies. This requires that the specified essential knowledge and associated skills are assessed in a structured environment which</w:t>
            </w:r>
            <w:r w:rsidRPr="00DF5E2E">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DF5E2E" w:rsidP="00DF5E2E">
      <w:pPr>
        <w:pStyle w:val="BodyText"/>
      </w:pPr>
    </w:p>
    <w:tbl>
      <w:tblPr>
        <w:tblW w:w="0" w:type="auto"/>
        <w:tblLayout w:type="fixed"/>
        <w:tblCellMar>
          <w:left w:w="62" w:type="dxa"/>
          <w:right w:w="62" w:type="dxa"/>
        </w:tblCellMar>
        <w:tblLook w:val="0000"/>
      </w:tblPr>
      <w:tblGrid>
        <w:gridCol w:w="1890"/>
        <w:gridCol w:w="6570"/>
      </w:tblGrid>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Concurrent assessment and relationship wi</w:t>
            </w:r>
            <w:r w:rsidRPr="00DF5E2E">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9.5)</w:t>
            </w:r>
          </w:p>
        </w:tc>
      </w:tr>
      <w:tr w:rsidTr="003D5BE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There are no concurrent assessment recommendations for this unit.</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11" w:name="O_462465"/>
      <w:bookmarkEnd w:id="11"/>
      <w:r w:rsidRPr="00DF5E2E">
        <w:t>Range Statement</w:t>
      </w:r>
    </w:p>
    <w:tbl>
      <w:tblPr>
        <w:tblW w:w="0" w:type="auto"/>
        <w:tblLayout w:type="fixed"/>
        <w:tblCellMar>
          <w:left w:w="62" w:type="dxa"/>
          <w:right w:w="62" w:type="dxa"/>
        </w:tblCellMar>
        <w:tblLook w:val="0000"/>
      </w:tblPr>
      <w:tblGrid>
        <w:gridCol w:w="8460"/>
      </w:tblGrid>
      <w:tr w:rsidTr="003D5BE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RANGE STATEMENT</w:t>
            </w:r>
          </w:p>
        </w:tc>
      </w:tr>
      <w:tr w:rsidTr="003D5BE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10)</w:t>
            </w:r>
            <w:r w:rsidRPr="00DF5E2E">
              <w:t xml:space="preserve"> This relates to the unit of competency as a whole providing the range of contexts and conditions </w:t>
            </w:r>
            <w:r w:rsidRPr="00DF5E2E">
              <w:t>to which the Performance Criteria apply. It allows for different work environments and situations that will affect performance.</w:t>
            </w:r>
          </w:p>
          <w:p w:rsidR="00000000" w:rsidRPr="00DF5E2E" w:rsidP="00DF5E2E">
            <w:pPr>
              <w:pStyle w:val="BodyText"/>
            </w:pPr>
            <w:r w:rsidRPr="00DF5E2E">
              <w:t xml:space="preserve">This Competency Standard Unit shall be demonstrated in relation to the conducting of low voltage switching operations involving </w:t>
            </w:r>
            <w:r w:rsidRPr="00DF5E2E">
              <w:t>the operation of circuit breaking and isolation devices from a given switching schedule as it relates to low voltage distribution systems in field situations but also includes paralleling in accordance with the switching schedule.</w:t>
            </w:r>
          </w:p>
          <w:p w:rsidR="00000000" w:rsidRPr="00DF5E2E" w:rsidP="00DF5E2E">
            <w:pPr>
              <w:pStyle w:val="BodyText"/>
            </w:pPr>
            <w:r w:rsidRPr="00DF5E2E">
              <w:t>Operation of circuit isol</w:t>
            </w:r>
            <w:r w:rsidRPr="00DF5E2E">
              <w:t>ation devices associated with energy reticulation systems/networks is confined to low voltage systems in field situations which are performed in accordance with a switching schedule and established procedures.</w:t>
            </w:r>
          </w:p>
          <w:p w:rsidR="00000000" w:rsidRPr="00DF5E2E" w:rsidP="00DF5E2E">
            <w:pPr>
              <w:pStyle w:val="BodyText"/>
            </w:pPr>
            <w:r w:rsidRPr="00DF5E2E">
              <w:t>Switching Control Officer refers to an appropr</w:t>
            </w:r>
            <w:r w:rsidRPr="00DF5E2E">
              <w:t>iate person designated as such by regulations, codes or enterprise arrangements who is responsible for coordinating and directing switching activities in consultation with field operatives.</w:t>
            </w:r>
          </w:p>
          <w:p w:rsidR="00000000" w:rsidRPr="00DF5E2E" w:rsidP="00DF5E2E">
            <w:pPr>
              <w:pStyle w:val="BodyText"/>
            </w:pPr>
            <w:r w:rsidRPr="00DF5E2E">
              <w:t>Switchgear may include Low Voltage fuses, Low Voltage links and br</w:t>
            </w:r>
            <w:r w:rsidRPr="00DF5E2E">
              <w:t>idges.</w:t>
            </w:r>
          </w:p>
          <w:p w:rsidR="00000000" w:rsidRPr="00DF5E2E" w:rsidP="00DF5E2E">
            <w:pPr>
              <w:pStyle w:val="BodyText"/>
            </w:pPr>
            <w:r w:rsidRPr="00DF5E2E">
              <w:t>Specialist tools and devices may include Low Voltage detectors, Low Voltage polarity testers and Low Voltage phase rotation indicators.</w:t>
            </w:r>
          </w:p>
          <w:p w:rsidR="00000000" w:rsidRPr="00DF5E2E" w:rsidP="00DF5E2E">
            <w:pPr>
              <w:pStyle w:val="BodyText"/>
            </w:pPr>
            <w:r w:rsidRPr="00DF5E2E">
              <w:t>Switching program/schedule refers to structure, switch or equipment number; locations; Low Voltage distributor, s</w:t>
            </w:r>
            <w:r w:rsidRPr="00DF5E2E">
              <w:t>pur or feeder; outage times; works order/plan</w:t>
            </w:r>
          </w:p>
          <w:p w:rsidR="00000000" w:rsidRPr="00DF5E2E" w:rsidP="00DF5E2E">
            <w:pPr>
              <w:pStyle w:val="BodyText"/>
            </w:pPr>
            <w:r w:rsidRPr="00DF5E2E">
              <w:t>The following constants and variables included in the element/Performance Criteria in this unit are fully described in the Definitions Section 1 of this volume and form an integral part of the Range Statement o</w:t>
            </w:r>
            <w:r w:rsidRPr="00DF5E2E">
              <w:t>f this unit:</w:t>
            </w:r>
          </w:p>
          <w:p w:rsidR="00000000" w:rsidRPr="00DF5E2E" w:rsidP="00DF5E2E">
            <w:pPr>
              <w:pStyle w:val="ListBullet3"/>
            </w:pPr>
            <w:r w:rsidRPr="00DF5E2E">
              <w:t>Appropriate and relevant persons (see Personnel)</w:t>
            </w:r>
          </w:p>
          <w:p w:rsidR="00000000" w:rsidRPr="00DF5E2E" w:rsidP="00DF5E2E">
            <w:pPr>
              <w:pStyle w:val="ListBullet3"/>
            </w:pPr>
            <w:r w:rsidRPr="00DF5E2E">
              <w:t>Appropriate authorities</w:t>
            </w:r>
          </w:p>
          <w:p w:rsidR="00000000" w:rsidRPr="00DF5E2E" w:rsidP="00DF5E2E">
            <w:pPr>
              <w:pStyle w:val="ListBullet3"/>
            </w:pPr>
            <w:r w:rsidRPr="00DF5E2E">
              <w:t>Appropriate work platform</w:t>
            </w:r>
          </w:p>
          <w:p w:rsidR="00000000" w:rsidRPr="00DF5E2E" w:rsidP="00DF5E2E">
            <w:pPr>
              <w:pStyle w:val="ListBullet3"/>
            </w:pPr>
            <w:r w:rsidRPr="00DF5E2E">
              <w:t>Assessing risk</w:t>
            </w:r>
          </w:p>
          <w:p w:rsidR="00000000" w:rsidRPr="00DF5E2E" w:rsidP="00DF5E2E">
            <w:pPr>
              <w:pStyle w:val="ListBullet3"/>
            </w:pPr>
            <w:r w:rsidRPr="00DF5E2E">
              <w:t>Assessment</w:t>
            </w:r>
          </w:p>
          <w:p w:rsidR="00000000" w:rsidRPr="00DF5E2E" w:rsidP="00DF5E2E">
            <w:pPr>
              <w:pStyle w:val="ListBullet3"/>
            </w:pPr>
            <w:r w:rsidRPr="00DF5E2E">
              <w:t>Authorisation</w:t>
            </w:r>
          </w:p>
          <w:p w:rsidR="00000000" w:rsidRPr="00DF5E2E" w:rsidP="00DF5E2E">
            <w:pPr>
              <w:pStyle w:val="ListBullet3"/>
            </w:pPr>
            <w:r w:rsidRPr="00DF5E2E">
              <w:t>Confined space</w:t>
            </w:r>
          </w:p>
          <w:p w:rsidR="00000000" w:rsidRPr="00DF5E2E" w:rsidP="00DF5E2E">
            <w:pPr>
              <w:pStyle w:val="ListBullet3"/>
            </w:pPr>
            <w:r w:rsidRPr="00DF5E2E">
              <w:t>Diagnostic, testing and restoration</w:t>
            </w:r>
          </w:p>
          <w:p w:rsidR="00000000" w:rsidRPr="00DF5E2E" w:rsidP="00DF5E2E">
            <w:pPr>
              <w:pStyle w:val="ListBullet3"/>
            </w:pPr>
            <w:r w:rsidRPr="00DF5E2E">
              <w:t>Documenting detail work events, record keeping and or storage of information</w:t>
            </w:r>
          </w:p>
          <w:p w:rsidR="00000000" w:rsidRPr="00DF5E2E" w:rsidP="00DF5E2E">
            <w:pPr>
              <w:pStyle w:val="ListBullet3"/>
            </w:pPr>
            <w:r w:rsidRPr="00DF5E2E">
              <w:t>Drawings and specifications</w:t>
            </w:r>
          </w:p>
          <w:p w:rsidR="00000000" w:rsidRPr="00DF5E2E" w:rsidP="00DF5E2E">
            <w:pPr>
              <w:pStyle w:val="ListBullet3"/>
            </w:pPr>
            <w:r w:rsidRPr="00DF5E2E">
              <w:t>Emergency</w:t>
            </w:r>
          </w:p>
          <w:p w:rsidR="00000000" w:rsidRPr="00DF5E2E" w:rsidP="00DF5E2E">
            <w:pPr>
              <w:pStyle w:val="ListBullet3"/>
            </w:pPr>
            <w:r w:rsidRPr="00DF5E2E">
              <w:t>Established procedures</w:t>
            </w:r>
          </w:p>
          <w:p w:rsidR="00000000" w:rsidRPr="00DF5E2E" w:rsidP="00DF5E2E">
            <w:pPr>
              <w:pStyle w:val="ListBullet3"/>
            </w:pPr>
            <w:r w:rsidRPr="00DF5E2E">
              <w:t>Fall prevention</w:t>
            </w:r>
          </w:p>
          <w:p w:rsidR="00000000" w:rsidRPr="00DF5E2E" w:rsidP="00DF5E2E">
            <w:pPr>
              <w:pStyle w:val="ListBullet3"/>
            </w:pPr>
            <w:r w:rsidRPr="00DF5E2E">
              <w:t>Hazards</w:t>
            </w:r>
          </w:p>
          <w:p w:rsidR="00000000" w:rsidRPr="00DF5E2E" w:rsidP="00DF5E2E">
            <w:pPr>
              <w:pStyle w:val="ListBullet3"/>
            </w:pPr>
            <w:r w:rsidRPr="00DF5E2E">
              <w:t>Identifying hazards</w:t>
            </w:r>
          </w:p>
          <w:p w:rsidR="00000000" w:rsidRPr="00DF5E2E" w:rsidP="00DF5E2E">
            <w:pPr>
              <w:pStyle w:val="ListBullet3"/>
            </w:pPr>
            <w:r w:rsidRPr="00DF5E2E">
              <w:t>Inspect</w:t>
            </w:r>
          </w:p>
          <w:p w:rsidR="00000000" w:rsidRPr="00DF5E2E" w:rsidP="00DF5E2E">
            <w:pPr>
              <w:pStyle w:val="ListBullet3"/>
            </w:pPr>
            <w:r w:rsidRPr="00DF5E2E">
              <w:t>Legislation</w:t>
            </w:r>
          </w:p>
          <w:p w:rsidR="00000000" w:rsidRPr="00DF5E2E" w:rsidP="00DF5E2E">
            <w:pPr>
              <w:pStyle w:val="ListBullet3"/>
            </w:pPr>
            <w:r w:rsidRPr="00DF5E2E">
              <w:t>Notification</w:t>
            </w:r>
          </w:p>
          <w:p w:rsidR="00000000" w:rsidRPr="00DF5E2E" w:rsidP="00DF5E2E">
            <w:pPr>
              <w:pStyle w:val="ListBullet3"/>
            </w:pPr>
            <w:r w:rsidRPr="00DF5E2E">
              <w:t>OHS practices</w:t>
            </w:r>
          </w:p>
          <w:p w:rsidR="00000000" w:rsidRPr="00DF5E2E" w:rsidP="00DF5E2E">
            <w:pPr>
              <w:pStyle w:val="ListBullet3"/>
            </w:pPr>
            <w:r w:rsidRPr="00DF5E2E">
              <w:t>OHS issues</w:t>
            </w:r>
          </w:p>
          <w:p w:rsidR="00000000" w:rsidRPr="00DF5E2E" w:rsidP="00DF5E2E">
            <w:pPr>
              <w:pStyle w:val="ListBullet3"/>
            </w:pPr>
            <w:r w:rsidRPr="00DF5E2E">
              <w:t>Permits and/or p</w:t>
            </w:r>
            <w:r w:rsidRPr="00DF5E2E">
              <w:t>ermits to work</w:t>
            </w:r>
          </w:p>
          <w:p w:rsidR="00000000" w:rsidRPr="00DF5E2E" w:rsidP="00DF5E2E">
            <w:pPr>
              <w:pStyle w:val="ListBullet3"/>
            </w:pPr>
            <w:r w:rsidRPr="00DF5E2E">
              <w:t>Personnel</w:t>
            </w:r>
          </w:p>
          <w:p w:rsidR="00000000" w:rsidRPr="00DF5E2E" w:rsidP="00DF5E2E">
            <w:pPr>
              <w:pStyle w:val="ListBullet3"/>
            </w:pPr>
            <w:r w:rsidRPr="00DF5E2E">
              <w:t>Quality assurance systems</w:t>
            </w:r>
          </w:p>
          <w:p w:rsidR="00000000" w:rsidRPr="00DF5E2E" w:rsidP="00DF5E2E">
            <w:pPr>
              <w:pStyle w:val="ListBullet3"/>
            </w:pPr>
            <w:r w:rsidRPr="00DF5E2E">
              <w:t>Requirements</w:t>
            </w:r>
          </w:p>
          <w:p w:rsidR="00000000" w:rsidRPr="00DF5E2E" w:rsidP="00DF5E2E">
            <w:pPr>
              <w:pStyle w:val="ListBullet3"/>
            </w:pPr>
            <w:r w:rsidRPr="00DF5E2E">
              <w:t>Testing procedures</w:t>
            </w:r>
          </w:p>
          <w:p w:rsidR="00000000" w:rsidRPr="00DF5E2E" w:rsidP="00DF5E2E">
            <w:pPr>
              <w:pStyle w:val="ListBullet3"/>
            </w:pPr>
            <w:r w:rsidRPr="00DF5E2E">
              <w:t>Work clearance systems</w:t>
            </w:r>
          </w:p>
        </w:tc>
      </w:tr>
    </w:tbl>
    <w:p w:rsidR="00000000" w:rsidRPr="00DF5E2E" w:rsidP="00DF5E2E">
      <w:pPr>
        <w:pStyle w:val="BodyText"/>
      </w:pPr>
    </w:p>
    <w:p w:rsidR="00000000" w:rsidRPr="00DF5E2E" w:rsidP="00DF5E2E">
      <w:pPr>
        <w:pStyle w:val="AllowPageBreak"/>
      </w:pPr>
    </w:p>
    <w:p w:rsidR="00000000" w:rsidRPr="00DF5E2E" w:rsidP="00DF5E2E">
      <w:pPr>
        <w:pStyle w:val="Heading1"/>
      </w:pPr>
      <w:bookmarkStart w:id="12" w:name="O_462468"/>
      <w:bookmarkEnd w:id="12"/>
      <w:r w:rsidRPr="00DF5E2E">
        <w:t>Unit Sector(s)</w:t>
      </w:r>
    </w:p>
    <w:p w:rsidR="00000000" w:rsidRPr="00DF5E2E" w:rsidP="00DF5E2E">
      <w:pPr>
        <w:pStyle w:val="BodyText"/>
      </w:pPr>
      <w:r w:rsidRPr="00DF5E2E">
        <w:t>Not applicable.</w:t>
      </w:r>
    </w:p>
    <w:p w:rsidR="00000000" w:rsidRPr="00DF5E2E" w:rsidP="00DF5E2E">
      <w:pPr>
        <w:pStyle w:val="AllowPageBreak"/>
      </w:pPr>
    </w:p>
    <w:p w:rsidR="00000000" w:rsidRPr="00DF5E2E" w:rsidP="00DF5E2E">
      <w:pPr>
        <w:pStyle w:val="Heading1"/>
      </w:pPr>
      <w:bookmarkStart w:id="13" w:name="O_462457"/>
      <w:bookmarkEnd w:id="13"/>
      <w:r w:rsidRPr="00DF5E2E">
        <w:t>Competency Field</w:t>
      </w:r>
    </w:p>
    <w:tbl>
      <w:tblPr>
        <w:tblW w:w="0" w:type="auto"/>
        <w:tblLayout w:type="fixed"/>
        <w:tblCellMar>
          <w:left w:w="62" w:type="dxa"/>
          <w:right w:w="62" w:type="dxa"/>
        </w:tblCellMar>
        <w:tblLook w:val="0000"/>
      </w:tblPr>
      <w:tblGrid>
        <w:gridCol w:w="2700"/>
        <w:gridCol w:w="5760"/>
      </w:tblGrid>
      <w:tr w:rsidTr="003D5BE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F5E2E">
            <w:pPr>
              <w:pStyle w:val="BodyText"/>
              <w:rPr>
                <w:lang w:val="en-NZ"/>
              </w:rPr>
            </w:pPr>
            <w:r w:rsidRPr="00DF5E2E">
              <w:rPr>
                <w:rStyle w:val="SpecialBold"/>
              </w:rPr>
              <w:t xml:space="preserve">11) </w:t>
            </w:r>
          </w:p>
        </w:tc>
      </w:tr>
      <w:tr w:rsidTr="003D5BE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F5E2E" w:rsidP="00DF5E2E">
            <w:pPr>
              <w:pStyle w:val="BodyText"/>
            </w:pPr>
            <w:r w:rsidRPr="00DF5E2E">
              <w:t>Industry Specific Cross-Discipline Units</w:t>
            </w:r>
          </w:p>
        </w:tc>
      </w:tr>
    </w:tbl>
    <w:p w:rsidR="00000000" w:rsidRPr="00DF5E2E" w:rsidP="00DF5E2E">
      <w:pPr>
        <w:pStyle w:val="BodyText"/>
      </w:pPr>
    </w:p>
    <w:p w:rsidR="00000000" w:rsidRPr="00DF5E2E" w:rsidP="00DF5E2E"/>
    <w:sectPr w:rsidSect="00DF5E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BE6" w:rsidP="003D5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E6" w:rsidP="00DF5E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3D5BE6" w:rsidP="00DF5E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D5BE6" w:rsidP="00DF5E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BE6" w:rsidP="003D5B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5E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BE6" w:rsidP="00DF5E2E">
    <w:pPr>
      <w:pStyle w:val="Header"/>
      <w:framePr w:wrap="around"/>
    </w:pPr>
    <w:r>
      <w:fldChar w:fldCharType="begin"/>
    </w:r>
    <w:r>
      <w:instrText xml:space="preserve"> TITLE   \* MERGEFORMAT </w:instrText>
    </w:r>
    <w:r>
      <w:fldChar w:fldCharType="separate"/>
    </w:r>
    <w:r>
      <w:t>UETTDRIS43A Perform low voltage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D5BE6" w:rsidP="00DF5E2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4B5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62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746B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E2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5E2E"/>
    <w:pPr>
      <w:spacing w:before="360" w:after="60"/>
      <w:outlineLvl w:val="0"/>
    </w:pPr>
    <w:rPr>
      <w:sz w:val="32"/>
    </w:rPr>
  </w:style>
  <w:style w:type="paragraph" w:styleId="Heading2">
    <w:name w:val="heading 2"/>
    <w:basedOn w:val="HeadingBase"/>
    <w:next w:val="BodyText"/>
    <w:link w:val="Heading2Char"/>
    <w:qFormat/>
    <w:rsid w:val="00DF5E2E"/>
    <w:pPr>
      <w:keepLines/>
      <w:spacing w:before="240" w:after="120"/>
      <w:outlineLvl w:val="1"/>
    </w:pPr>
    <w:rPr>
      <w:sz w:val="28"/>
      <w:szCs w:val="40"/>
    </w:rPr>
  </w:style>
  <w:style w:type="paragraph" w:styleId="Heading3">
    <w:name w:val="heading 3"/>
    <w:basedOn w:val="HeadingBase"/>
    <w:next w:val="BodyText"/>
    <w:link w:val="Heading3Char"/>
    <w:qFormat/>
    <w:rsid w:val="00DF5E2E"/>
    <w:pPr>
      <w:spacing w:before="180" w:after="120"/>
      <w:outlineLvl w:val="2"/>
    </w:pPr>
    <w:rPr>
      <w:spacing w:val="-10"/>
      <w:kern w:val="32"/>
    </w:rPr>
  </w:style>
  <w:style w:type="paragraph" w:styleId="Heading4">
    <w:name w:val="heading 4"/>
    <w:basedOn w:val="HeadingBase"/>
    <w:next w:val="BodyText"/>
    <w:link w:val="Heading4Char"/>
    <w:qFormat/>
    <w:rsid w:val="00DF5E2E"/>
    <w:pPr>
      <w:spacing w:before="160" w:after="120"/>
      <w:outlineLvl w:val="3"/>
    </w:pPr>
    <w:rPr>
      <w:sz w:val="22"/>
    </w:rPr>
  </w:style>
  <w:style w:type="paragraph" w:styleId="Heading5">
    <w:name w:val="heading 5"/>
    <w:basedOn w:val="HeadingBase"/>
    <w:next w:val="Normal"/>
    <w:link w:val="Heading5Char"/>
    <w:qFormat/>
    <w:rsid w:val="00DF5E2E"/>
    <w:pPr>
      <w:spacing w:before="80"/>
      <w:outlineLvl w:val="4"/>
    </w:pPr>
    <w:rPr>
      <w:color w:val="918585"/>
      <w:sz w:val="20"/>
    </w:rPr>
  </w:style>
  <w:style w:type="paragraph" w:styleId="Heading6">
    <w:name w:val="heading 6"/>
    <w:basedOn w:val="HeadingBase"/>
    <w:next w:val="Normal"/>
    <w:link w:val="Heading6Char"/>
    <w:qFormat/>
    <w:rsid w:val="00DF5E2E"/>
    <w:pPr>
      <w:spacing w:before="60"/>
      <w:outlineLvl w:val="5"/>
    </w:pPr>
    <w:rPr>
      <w:color w:val="918585"/>
      <w:sz w:val="20"/>
    </w:rPr>
  </w:style>
  <w:style w:type="paragraph" w:styleId="Heading7">
    <w:name w:val="heading 7"/>
    <w:basedOn w:val="Normal"/>
    <w:next w:val="Normal"/>
    <w:link w:val="Heading7Char"/>
    <w:qFormat/>
    <w:rsid w:val="00DF5E2E"/>
    <w:pPr>
      <w:ind w:left="720"/>
      <w:outlineLvl w:val="6"/>
    </w:pPr>
    <w:rPr>
      <w:i/>
    </w:rPr>
  </w:style>
  <w:style w:type="paragraph" w:styleId="Heading8">
    <w:name w:val="heading 8"/>
    <w:basedOn w:val="Normal"/>
    <w:next w:val="Normal"/>
    <w:link w:val="Heading8Char"/>
    <w:qFormat/>
    <w:rsid w:val="00DF5E2E"/>
    <w:pPr>
      <w:ind w:left="720"/>
      <w:outlineLvl w:val="7"/>
    </w:pPr>
    <w:rPr>
      <w:i/>
    </w:rPr>
  </w:style>
  <w:style w:type="paragraph" w:styleId="Heading9">
    <w:name w:val="heading 9"/>
    <w:basedOn w:val="Normal"/>
    <w:next w:val="Normal"/>
    <w:link w:val="Heading9Char"/>
    <w:qFormat/>
    <w:rsid w:val="00DF5E2E"/>
    <w:pPr>
      <w:ind w:left="720"/>
      <w:outlineLvl w:val="8"/>
    </w:pPr>
    <w:rPr>
      <w:i/>
    </w:rPr>
  </w:style>
  <w:style w:type="character" w:default="1" w:styleId="DefaultParagraphFont">
    <w:name w:val="Default Paragraph Font"/>
    <w:uiPriority w:val="1"/>
    <w:unhideWhenUsed/>
    <w:rsid w:val="00DF5E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5E2E"/>
  </w:style>
  <w:style w:type="character" w:customStyle="1" w:styleId="Heading1Char">
    <w:name w:val="Heading 1 Char"/>
    <w:basedOn w:val="DefaultParagraphFont"/>
    <w:link w:val="Heading1"/>
    <w:rsid w:val="00DF5E2E"/>
    <w:rPr>
      <w:rFonts w:ascii="Times New Roman" w:eastAsia="Times New Roman" w:hAnsi="Times New Roman" w:cs="Times New Roman"/>
      <w:b/>
      <w:sz w:val="32"/>
      <w:szCs w:val="20"/>
      <w:lang w:eastAsia="en-US"/>
    </w:rPr>
  </w:style>
  <w:style w:type="paragraph" w:styleId="BodyText">
    <w:name w:val="Body Text"/>
    <w:basedOn w:val="Normal"/>
    <w:link w:val="BodyTextChar"/>
    <w:rsid w:val="00DF5E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5E2E"/>
    <w:rPr>
      <w:rFonts w:ascii="Times New Roman" w:eastAsia="Times New Roman" w:hAnsi="Times New Roman" w:cs="Times New Roman"/>
      <w:sz w:val="24"/>
      <w:lang w:val="en-US" w:eastAsia="en-US"/>
    </w:rPr>
  </w:style>
  <w:style w:type="paragraph" w:styleId="Footer">
    <w:name w:val="footer"/>
    <w:basedOn w:val="Normal"/>
    <w:link w:val="FooterChar"/>
    <w:rsid w:val="00DF5E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5E2E"/>
    <w:rPr>
      <w:rFonts w:ascii="Times New Roman" w:eastAsia="Times New Roman" w:hAnsi="Times New Roman" w:cs="Times New Roman"/>
      <w:sz w:val="16"/>
      <w:lang w:val="en-US" w:eastAsia="en-US"/>
    </w:rPr>
  </w:style>
  <w:style w:type="paragraph" w:styleId="ListBullet">
    <w:name w:val="List Bullet"/>
    <w:basedOn w:val="List"/>
    <w:rsid w:val="00DF5E2E"/>
    <w:pPr>
      <w:numPr>
        <w:numId w:val="14"/>
      </w:numPr>
      <w:tabs>
        <w:tab w:val="clear" w:pos="340"/>
      </w:tabs>
      <w:spacing w:before="40" w:after="40"/>
    </w:pPr>
  </w:style>
  <w:style w:type="character" w:customStyle="1" w:styleId="SpecialBold">
    <w:name w:val="Special Bold"/>
    <w:basedOn w:val="DefaultParagraphFont"/>
    <w:rsid w:val="00DF5E2E"/>
    <w:rPr>
      <w:b/>
      <w:spacing w:val="0"/>
    </w:rPr>
  </w:style>
  <w:style w:type="paragraph" w:styleId="ListBullet2">
    <w:name w:val="List Bullet 2"/>
    <w:basedOn w:val="List2"/>
    <w:rsid w:val="00DF5E2E"/>
    <w:pPr>
      <w:numPr>
        <w:numId w:val="15"/>
      </w:numPr>
      <w:tabs>
        <w:tab w:val="clear" w:pos="680"/>
      </w:tabs>
    </w:pPr>
  </w:style>
  <w:style w:type="paragraph" w:styleId="Header">
    <w:name w:val="header"/>
    <w:basedOn w:val="Normal"/>
    <w:link w:val="HeaderChar"/>
    <w:rsid w:val="00DF5E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5E2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5E2E"/>
    <w:pPr>
      <w:spacing w:before="240" w:after="120"/>
      <w:outlineLvl w:val="0"/>
    </w:pPr>
    <w:rPr>
      <w:rFonts w:ascii="Times New Roman" w:hAnsi="Times New Roman"/>
      <w:b/>
      <w:sz w:val="28"/>
    </w:rPr>
  </w:style>
  <w:style w:type="paragraph" w:customStyle="1" w:styleId="AllowPageBreak">
    <w:name w:val="AllowPageBreak"/>
    <w:rsid w:val="00DF5E2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F5E2E"/>
    <w:pPr>
      <w:numPr>
        <w:numId w:val="3"/>
      </w:numPr>
      <w:tabs>
        <w:tab w:val="clear" w:pos="1021"/>
      </w:tabs>
      <w:ind w:left="1037" w:hanging="357"/>
    </w:pPr>
  </w:style>
  <w:style w:type="character" w:customStyle="1" w:styleId="Heading2Char">
    <w:name w:val="Heading 2 Char"/>
    <w:basedOn w:val="DefaultParagraphFont"/>
    <w:link w:val="Heading2"/>
    <w:rsid w:val="00DF5E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5E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5E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5E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5E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5E2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5E2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5E2E"/>
    <w:rPr>
      <w:rFonts w:ascii="Courier New" w:eastAsia="Times New Roman" w:hAnsi="Courier New" w:cs="Times New Roman"/>
      <w:i/>
      <w:szCs w:val="20"/>
      <w:lang w:val="en-US" w:eastAsia="en-US"/>
    </w:rPr>
  </w:style>
  <w:style w:type="paragraph" w:customStyle="1" w:styleId="HeadingBase">
    <w:name w:val="Heading Base"/>
    <w:rsid w:val="00DF5E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5E2E"/>
    <w:pPr>
      <w:tabs>
        <w:tab w:val="right" w:leader="dot" w:pos="9072"/>
      </w:tabs>
      <w:ind w:left="567"/>
    </w:pPr>
    <w:rPr>
      <w:szCs w:val="22"/>
    </w:rPr>
  </w:style>
  <w:style w:type="paragraph" w:customStyle="1" w:styleId="TOCBase">
    <w:name w:val="TOC Base"/>
    <w:rsid w:val="00DF5E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5E2E"/>
    <w:pPr>
      <w:tabs>
        <w:tab w:val="right" w:leader="dot" w:pos="9072"/>
      </w:tabs>
      <w:spacing w:before="40" w:after="40"/>
      <w:ind w:left="284"/>
    </w:pPr>
    <w:rPr>
      <w:rFonts w:ascii="Times New Roman" w:hAnsi="Times New Roman"/>
    </w:rPr>
  </w:style>
  <w:style w:type="paragraph" w:styleId="TOC1">
    <w:name w:val="toc 1"/>
    <w:basedOn w:val="TOCBase"/>
    <w:next w:val="Normal"/>
    <w:rsid w:val="00DF5E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5E2E"/>
    <w:pPr>
      <w:spacing w:before="5040"/>
      <w:jc w:val="center"/>
    </w:pPr>
    <w:rPr>
      <w:sz w:val="48"/>
      <w:szCs w:val="72"/>
      <w:lang w:val="en-US"/>
    </w:rPr>
  </w:style>
  <w:style w:type="character" w:customStyle="1" w:styleId="TitleChar">
    <w:name w:val="Title Char"/>
    <w:basedOn w:val="DefaultParagraphFont"/>
    <w:link w:val="Title"/>
    <w:rsid w:val="00DF5E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5E2E"/>
    <w:pPr>
      <w:tabs>
        <w:tab w:val="left" w:pos="3600"/>
        <w:tab w:val="left" w:pos="3958"/>
      </w:tabs>
    </w:pPr>
  </w:style>
  <w:style w:type="paragraph" w:styleId="List">
    <w:name w:val="List"/>
    <w:basedOn w:val="BodyText"/>
    <w:next w:val="BodyText"/>
    <w:rsid w:val="00DF5E2E"/>
    <w:pPr>
      <w:tabs>
        <w:tab w:val="left" w:pos="340"/>
      </w:tabs>
      <w:spacing w:before="60" w:after="60"/>
      <w:ind w:left="340" w:hanging="340"/>
    </w:pPr>
  </w:style>
  <w:style w:type="paragraph" w:customStyle="1" w:styleId="Note">
    <w:name w:val="Note"/>
    <w:basedOn w:val="BodyText"/>
    <w:rsid w:val="00DF5E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5E2E"/>
    <w:pPr>
      <w:framePr w:wrap="auto" w:hAnchor="text" w:y="6049"/>
    </w:pPr>
    <w:rPr>
      <w:color w:val="000000"/>
      <w:sz w:val="40"/>
    </w:rPr>
  </w:style>
  <w:style w:type="paragraph" w:customStyle="1" w:styleId="TOCTitle">
    <w:name w:val="TOCTitle"/>
    <w:basedOn w:val="Heading1"/>
    <w:rsid w:val="00DF5E2E"/>
    <w:pPr>
      <w:spacing w:after="240"/>
      <w:jc w:val="center"/>
      <w:outlineLvl w:val="9"/>
    </w:pPr>
    <w:rPr>
      <w:caps/>
    </w:rPr>
  </w:style>
  <w:style w:type="paragraph" w:customStyle="1" w:styleId="Version">
    <w:name w:val="Version"/>
    <w:rsid w:val="00DF5E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5E2E"/>
    <w:pPr>
      <w:keepNext w:val="0"/>
      <w:tabs>
        <w:tab w:val="right" w:pos="4176"/>
      </w:tabs>
      <w:ind w:left="198" w:hanging="198"/>
    </w:pPr>
    <w:rPr>
      <w:rFonts w:ascii="Garamond" w:hAnsi="Garamond"/>
    </w:rPr>
  </w:style>
  <w:style w:type="paragraph" w:styleId="IndexHeading">
    <w:name w:val="index heading"/>
    <w:basedOn w:val="Normal"/>
    <w:next w:val="Index1"/>
    <w:semiHidden/>
    <w:rsid w:val="00DF5E2E"/>
    <w:pPr>
      <w:spacing w:before="120" w:after="120"/>
    </w:pPr>
    <w:rPr>
      <w:rFonts w:ascii="Arial" w:hAnsi="Arial"/>
      <w:b/>
      <w:color w:val="918585"/>
      <w:sz w:val="24"/>
    </w:rPr>
  </w:style>
  <w:style w:type="paragraph" w:customStyle="1" w:styleId="Chapter">
    <w:name w:val="Chapter"/>
    <w:basedOn w:val="Normal"/>
    <w:rsid w:val="00DF5E2E"/>
    <w:pPr>
      <w:spacing w:before="240"/>
    </w:pPr>
    <w:rPr>
      <w:rFonts w:ascii="Times New Roman" w:hAnsi="Times New Roman"/>
      <w:smallCaps/>
      <w:spacing w:val="80"/>
      <w:sz w:val="28"/>
    </w:rPr>
  </w:style>
  <w:style w:type="paragraph" w:customStyle="1" w:styleId="InChapter">
    <w:name w:val="InChapter"/>
    <w:basedOn w:val="Heading3"/>
    <w:rsid w:val="00DF5E2E"/>
    <w:pPr>
      <w:spacing w:after="240"/>
      <w:outlineLvl w:val="9"/>
    </w:pPr>
    <w:rPr>
      <w:noProof/>
    </w:rPr>
  </w:style>
  <w:style w:type="paragraph" w:styleId="Index2">
    <w:name w:val="index 2"/>
    <w:basedOn w:val="Normal"/>
    <w:next w:val="Normal"/>
    <w:semiHidden/>
    <w:rsid w:val="00DF5E2E"/>
    <w:pPr>
      <w:tabs>
        <w:tab w:val="right" w:pos="4176"/>
      </w:tabs>
      <w:ind w:left="568" w:hanging="284"/>
    </w:pPr>
    <w:rPr>
      <w:rFonts w:ascii="Garamond" w:hAnsi="Garamond"/>
    </w:rPr>
  </w:style>
  <w:style w:type="paragraph" w:customStyle="1" w:styleId="Byline">
    <w:name w:val="Byline"/>
    <w:rsid w:val="00DF5E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5E2E"/>
    <w:pPr>
      <w:tabs>
        <w:tab w:val="clear" w:pos="3600"/>
        <w:tab w:val="clear" w:pos="3958"/>
      </w:tabs>
      <w:jc w:val="right"/>
    </w:pPr>
  </w:style>
  <w:style w:type="character" w:styleId="Emphasis">
    <w:name w:val="Emphasis"/>
    <w:basedOn w:val="DefaultParagraphFont"/>
    <w:qFormat/>
    <w:rsid w:val="00DF5E2E"/>
    <w:rPr>
      <w:i/>
    </w:rPr>
  </w:style>
  <w:style w:type="paragraph" w:styleId="Caption">
    <w:name w:val="caption"/>
    <w:basedOn w:val="BodyText"/>
    <w:next w:val="Normal"/>
    <w:qFormat/>
    <w:rsid w:val="00DF5E2E"/>
    <w:pPr>
      <w:framePr w:w="2268" w:hSpace="181" w:vSpace="181" w:wrap="around" w:vAnchor="text" w:hAnchor="page" w:x="1135" w:y="285" w:anchorLock="1"/>
    </w:pPr>
    <w:rPr>
      <w:i/>
    </w:rPr>
  </w:style>
  <w:style w:type="paragraph" w:customStyle="1" w:styleId="MiniTOCTitle">
    <w:name w:val="MiniTOCTitle"/>
    <w:basedOn w:val="Heading4"/>
    <w:rsid w:val="00DF5E2E"/>
    <w:pPr>
      <w:spacing w:before="240"/>
      <w:outlineLvl w:val="9"/>
    </w:pPr>
    <w:rPr>
      <w:noProof/>
      <w:sz w:val="24"/>
    </w:rPr>
  </w:style>
  <w:style w:type="paragraph" w:customStyle="1" w:styleId="MiniTOCItem">
    <w:name w:val="MiniTOCItem"/>
    <w:basedOn w:val="ListBullet"/>
    <w:rsid w:val="00DF5E2E"/>
    <w:pPr>
      <w:numPr>
        <w:numId w:val="0"/>
      </w:numPr>
      <w:tabs>
        <w:tab w:val="right" w:leader="dot" w:pos="6521"/>
      </w:tabs>
      <w:spacing w:before="0" w:after="0"/>
    </w:pPr>
  </w:style>
  <w:style w:type="paragraph" w:customStyle="1" w:styleId="TOFTitle">
    <w:name w:val="TOFTitle"/>
    <w:basedOn w:val="TOCTitle"/>
    <w:rsid w:val="00DF5E2E"/>
  </w:style>
  <w:style w:type="paragraph" w:styleId="TableofFigures">
    <w:name w:val="table of figures"/>
    <w:basedOn w:val="Normal"/>
    <w:next w:val="Normal"/>
    <w:semiHidden/>
    <w:rsid w:val="00DF5E2E"/>
    <w:pPr>
      <w:tabs>
        <w:tab w:val="right" w:leader="dot" w:pos="9072"/>
      </w:tabs>
      <w:ind w:left="970" w:hanging="403"/>
    </w:pPr>
    <w:rPr>
      <w:rFonts w:ascii="Times New Roman" w:hAnsi="Times New Roman"/>
      <w:b/>
    </w:rPr>
  </w:style>
  <w:style w:type="paragraph" w:styleId="ListNumber">
    <w:name w:val="List Number"/>
    <w:basedOn w:val="List"/>
    <w:rsid w:val="00DF5E2E"/>
    <w:pPr>
      <w:numPr>
        <w:numId w:val="12"/>
      </w:numPr>
    </w:pPr>
  </w:style>
  <w:style w:type="character" w:customStyle="1" w:styleId="WingdingSymbols">
    <w:name w:val="Wingding Symbols"/>
    <w:rsid w:val="00DF5E2E"/>
    <w:rPr>
      <w:rFonts w:ascii="Wingdings" w:hAnsi="Wingdings"/>
    </w:rPr>
  </w:style>
  <w:style w:type="paragraph" w:customStyle="1" w:styleId="TableHeading">
    <w:name w:val="Table Heading"/>
    <w:basedOn w:val="HeadingBase"/>
    <w:rsid w:val="00DF5E2E"/>
    <w:pPr>
      <w:keepLines/>
      <w:pBdr>
        <w:bottom w:val="single" w:sz="6" w:space="1" w:color="918585"/>
      </w:pBdr>
      <w:spacing w:before="240"/>
    </w:pPr>
  </w:style>
  <w:style w:type="character" w:customStyle="1" w:styleId="HotSpot">
    <w:name w:val="HotSpot"/>
    <w:rsid w:val="00DF5E2E"/>
    <w:rPr>
      <w:color w:val="0033CC"/>
      <w:u w:val="none"/>
    </w:rPr>
  </w:style>
  <w:style w:type="paragraph" w:customStyle="1" w:styleId="BodyTextRight">
    <w:name w:val="Body Text Right"/>
    <w:basedOn w:val="BodyText"/>
    <w:rsid w:val="00DF5E2E"/>
    <w:pPr>
      <w:spacing w:before="0" w:after="0"/>
      <w:jc w:val="right"/>
    </w:pPr>
  </w:style>
  <w:style w:type="paragraph" w:styleId="Index3">
    <w:name w:val="index 3"/>
    <w:basedOn w:val="ListNumber2"/>
    <w:next w:val="Normal"/>
    <w:semiHidden/>
    <w:rsid w:val="00DF5E2E"/>
    <w:pPr>
      <w:numPr>
        <w:numId w:val="0"/>
      </w:numPr>
      <w:tabs>
        <w:tab w:val="right" w:leader="dot" w:pos="4176"/>
      </w:tabs>
    </w:pPr>
  </w:style>
  <w:style w:type="paragraph" w:styleId="ListNumber2">
    <w:name w:val="List Number 2"/>
    <w:basedOn w:val="List2"/>
    <w:rsid w:val="00DF5E2E"/>
    <w:pPr>
      <w:numPr>
        <w:numId w:val="11"/>
      </w:numPr>
      <w:tabs>
        <w:tab w:val="clear" w:pos="1060"/>
      </w:tabs>
    </w:pPr>
  </w:style>
  <w:style w:type="paragraph" w:customStyle="1" w:styleId="MarginNote">
    <w:name w:val="Margin Note"/>
    <w:basedOn w:val="BodyText"/>
    <w:rsid w:val="00DF5E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5E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5E2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5E2E"/>
    <w:rPr>
      <w:sz w:val="32"/>
    </w:rPr>
  </w:style>
  <w:style w:type="paragraph" w:customStyle="1" w:styleId="HeadingProcedure">
    <w:name w:val="Heading Procedure"/>
    <w:basedOn w:val="HeadingBase"/>
    <w:next w:val="Normal"/>
    <w:rsid w:val="00DF5E2E"/>
    <w:pPr>
      <w:tabs>
        <w:tab w:val="left" w:pos="0"/>
      </w:tabs>
      <w:spacing w:before="120" w:after="60"/>
    </w:pPr>
    <w:rPr>
      <w:i/>
      <w:color w:val="918585"/>
      <w:sz w:val="22"/>
    </w:rPr>
  </w:style>
  <w:style w:type="paragraph" w:customStyle="1" w:styleId="TableBodyText">
    <w:name w:val="Table Body Text"/>
    <w:basedOn w:val="BodyText"/>
    <w:rsid w:val="00DF5E2E"/>
    <w:pPr>
      <w:spacing w:before="60" w:after="60"/>
    </w:pPr>
  </w:style>
  <w:style w:type="paragraph" w:styleId="ListContinue">
    <w:name w:val="List Continue"/>
    <w:basedOn w:val="List"/>
    <w:rsid w:val="00DF5E2E"/>
    <w:pPr>
      <w:ind w:firstLine="0"/>
    </w:pPr>
  </w:style>
  <w:style w:type="paragraph" w:customStyle="1" w:styleId="ListNote">
    <w:name w:val="List Note"/>
    <w:basedOn w:val="List"/>
    <w:rsid w:val="00DF5E2E"/>
    <w:pPr>
      <w:pBdr>
        <w:top w:val="single" w:sz="6" w:space="2" w:color="918585"/>
        <w:bottom w:val="single" w:sz="6" w:space="2" w:color="918585"/>
      </w:pBdr>
      <w:tabs>
        <w:tab w:val="left" w:pos="1021"/>
      </w:tabs>
      <w:ind w:firstLine="0"/>
    </w:pPr>
  </w:style>
  <w:style w:type="paragraph" w:customStyle="1" w:styleId="Warning">
    <w:name w:val="Warning"/>
    <w:basedOn w:val="BodyText"/>
    <w:rsid w:val="00DF5E2E"/>
    <w:pPr>
      <w:shd w:val="clear" w:color="auto" w:fill="D9D9D9"/>
      <w:tabs>
        <w:tab w:val="left" w:pos="992"/>
      </w:tabs>
      <w:ind w:left="119" w:right="119"/>
    </w:pPr>
    <w:rPr>
      <w:sz w:val="20"/>
    </w:rPr>
  </w:style>
  <w:style w:type="paragraph" w:customStyle="1" w:styleId="MarginIcons">
    <w:name w:val="Margin Icons"/>
    <w:basedOn w:val="BodyText"/>
    <w:rsid w:val="00DF5E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5E2E"/>
    <w:rPr>
      <w:rFonts w:ascii="Courier New" w:hAnsi="Courier New"/>
    </w:rPr>
  </w:style>
  <w:style w:type="paragraph" w:customStyle="1" w:styleId="NoteBullet">
    <w:name w:val="Note Bullet"/>
    <w:basedOn w:val="Note"/>
    <w:rsid w:val="00DF5E2E"/>
    <w:pPr>
      <w:tabs>
        <w:tab w:val="clear" w:pos="680"/>
      </w:tabs>
      <w:spacing w:before="60" w:after="60"/>
    </w:pPr>
  </w:style>
  <w:style w:type="paragraph" w:customStyle="1" w:styleId="SubHeading2">
    <w:name w:val="SubHeading2"/>
    <w:basedOn w:val="HeadingBase"/>
    <w:rsid w:val="00DF5E2E"/>
    <w:pPr>
      <w:spacing w:before="240" w:after="60"/>
    </w:pPr>
    <w:rPr>
      <w:sz w:val="20"/>
    </w:rPr>
  </w:style>
  <w:style w:type="paragraph" w:customStyle="1" w:styleId="SubHeading1">
    <w:name w:val="SubHeading1"/>
    <w:basedOn w:val="HeadingBase"/>
    <w:rsid w:val="00DF5E2E"/>
    <w:pPr>
      <w:spacing w:before="240" w:after="60"/>
    </w:pPr>
    <w:rPr>
      <w:color w:val="918585"/>
      <w:sz w:val="22"/>
    </w:rPr>
  </w:style>
  <w:style w:type="paragraph" w:customStyle="1" w:styleId="SideHeading">
    <w:name w:val="Side Heading"/>
    <w:basedOn w:val="HeadingBase"/>
    <w:rsid w:val="00DF5E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5E2E"/>
    <w:pPr>
      <w:numPr>
        <w:numId w:val="13"/>
      </w:numPr>
    </w:pPr>
  </w:style>
  <w:style w:type="paragraph" w:styleId="PlainText">
    <w:name w:val="Plain Text"/>
    <w:basedOn w:val="Normal"/>
    <w:link w:val="PlainTextChar"/>
    <w:rsid w:val="00DF5E2E"/>
    <w:rPr>
      <w:sz w:val="20"/>
    </w:rPr>
  </w:style>
  <w:style w:type="character" w:customStyle="1" w:styleId="PlainTextChar">
    <w:name w:val="Plain Text Char"/>
    <w:basedOn w:val="DefaultParagraphFont"/>
    <w:link w:val="PlainText"/>
    <w:rsid w:val="00DF5E2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5E2E"/>
    <w:rPr>
      <w:b/>
      <w:smallCaps/>
    </w:rPr>
  </w:style>
  <w:style w:type="paragraph" w:customStyle="1" w:styleId="TableListNumber">
    <w:name w:val="Table List Number"/>
    <w:basedOn w:val="ListNumber"/>
    <w:rsid w:val="00DF5E2E"/>
    <w:pPr>
      <w:numPr>
        <w:numId w:val="0"/>
      </w:numPr>
    </w:pPr>
  </w:style>
  <w:style w:type="paragraph" w:styleId="TOC4">
    <w:name w:val="toc 4"/>
    <w:basedOn w:val="TOCBase"/>
    <w:next w:val="Normal"/>
    <w:semiHidden/>
    <w:rsid w:val="00DF5E2E"/>
    <w:pPr>
      <w:tabs>
        <w:tab w:val="right" w:leader="dot" w:pos="9071"/>
      </w:tabs>
      <w:ind w:left="1701"/>
    </w:pPr>
  </w:style>
  <w:style w:type="paragraph" w:customStyle="1" w:styleId="ListAlpha">
    <w:name w:val="List Alpha"/>
    <w:basedOn w:val="List"/>
    <w:rsid w:val="00DF5E2E"/>
    <w:pPr>
      <w:numPr>
        <w:numId w:val="10"/>
      </w:numPr>
    </w:pPr>
  </w:style>
  <w:style w:type="paragraph" w:customStyle="1" w:styleId="ListAlpha2">
    <w:name w:val="List Alpha 2"/>
    <w:basedOn w:val="List2"/>
    <w:rsid w:val="00DF5E2E"/>
    <w:pPr>
      <w:numPr>
        <w:numId w:val="9"/>
      </w:numPr>
    </w:pPr>
  </w:style>
  <w:style w:type="paragraph" w:styleId="List2">
    <w:name w:val="List 2"/>
    <w:basedOn w:val="BodyText"/>
    <w:rsid w:val="00DF5E2E"/>
    <w:pPr>
      <w:tabs>
        <w:tab w:val="left" w:pos="680"/>
      </w:tabs>
      <w:spacing w:before="60" w:after="60"/>
      <w:ind w:left="680" w:hanging="340"/>
    </w:pPr>
  </w:style>
  <w:style w:type="paragraph" w:styleId="List3">
    <w:name w:val="List 3"/>
    <w:basedOn w:val="BodyText"/>
    <w:rsid w:val="00DF5E2E"/>
    <w:pPr>
      <w:tabs>
        <w:tab w:val="left" w:pos="1021"/>
      </w:tabs>
      <w:spacing w:before="60" w:after="60"/>
      <w:ind w:left="1020" w:hanging="340"/>
    </w:pPr>
  </w:style>
  <w:style w:type="paragraph" w:styleId="List4">
    <w:name w:val="List 4"/>
    <w:basedOn w:val="BodyText"/>
    <w:rsid w:val="00DF5E2E"/>
    <w:pPr>
      <w:tabs>
        <w:tab w:val="left" w:pos="1361"/>
      </w:tabs>
      <w:spacing w:before="60" w:after="60"/>
      <w:ind w:left="1361" w:hanging="340"/>
    </w:pPr>
  </w:style>
  <w:style w:type="paragraph" w:styleId="List5">
    <w:name w:val="List 5"/>
    <w:basedOn w:val="BodyText"/>
    <w:rsid w:val="00DF5E2E"/>
    <w:pPr>
      <w:tabs>
        <w:tab w:val="left" w:pos="1701"/>
      </w:tabs>
      <w:spacing w:before="60" w:after="60"/>
      <w:ind w:left="1701" w:hanging="340"/>
    </w:pPr>
  </w:style>
  <w:style w:type="paragraph" w:styleId="ListBullet4">
    <w:name w:val="List Bullet 4"/>
    <w:basedOn w:val="List4"/>
    <w:rsid w:val="00DF5E2E"/>
    <w:pPr>
      <w:numPr>
        <w:numId w:val="4"/>
      </w:numPr>
    </w:pPr>
  </w:style>
  <w:style w:type="paragraph" w:styleId="ListBullet5">
    <w:name w:val="List Bullet 5"/>
    <w:basedOn w:val="List5"/>
    <w:rsid w:val="00DF5E2E"/>
    <w:pPr>
      <w:numPr>
        <w:numId w:val="5"/>
      </w:numPr>
    </w:pPr>
  </w:style>
  <w:style w:type="paragraph" w:styleId="ListContinue2">
    <w:name w:val="List Continue 2"/>
    <w:basedOn w:val="List2"/>
    <w:rsid w:val="00DF5E2E"/>
    <w:pPr>
      <w:ind w:firstLine="0"/>
    </w:pPr>
  </w:style>
  <w:style w:type="paragraph" w:styleId="ListContinue3">
    <w:name w:val="List Continue 3"/>
    <w:basedOn w:val="List3"/>
    <w:rsid w:val="00DF5E2E"/>
    <w:pPr>
      <w:ind w:left="1021" w:firstLine="0"/>
    </w:pPr>
  </w:style>
  <w:style w:type="paragraph" w:styleId="ListContinue4">
    <w:name w:val="List Continue 4"/>
    <w:basedOn w:val="List4"/>
    <w:rsid w:val="00DF5E2E"/>
    <w:pPr>
      <w:ind w:firstLine="0"/>
    </w:pPr>
  </w:style>
  <w:style w:type="paragraph" w:styleId="ListContinue5">
    <w:name w:val="List Continue 5"/>
    <w:basedOn w:val="List5"/>
    <w:rsid w:val="00DF5E2E"/>
    <w:pPr>
      <w:ind w:firstLine="0"/>
    </w:pPr>
  </w:style>
  <w:style w:type="paragraph" w:styleId="ListNumber3">
    <w:name w:val="List Number 3"/>
    <w:basedOn w:val="List3"/>
    <w:rsid w:val="00DF5E2E"/>
    <w:pPr>
      <w:numPr>
        <w:numId w:val="6"/>
      </w:numPr>
    </w:pPr>
  </w:style>
  <w:style w:type="paragraph" w:styleId="ListNumber4">
    <w:name w:val="List Number 4"/>
    <w:basedOn w:val="List4"/>
    <w:rsid w:val="00DF5E2E"/>
    <w:pPr>
      <w:numPr>
        <w:numId w:val="7"/>
      </w:numPr>
    </w:pPr>
  </w:style>
  <w:style w:type="paragraph" w:styleId="ListNumber5">
    <w:name w:val="List Number 5"/>
    <w:basedOn w:val="List5"/>
    <w:rsid w:val="00DF5E2E"/>
    <w:pPr>
      <w:numPr>
        <w:numId w:val="8"/>
      </w:numPr>
    </w:pPr>
  </w:style>
  <w:style w:type="paragraph" w:styleId="BlockText">
    <w:name w:val="Block Text"/>
    <w:basedOn w:val="Normal"/>
    <w:rsid w:val="00DF5E2E"/>
    <w:pPr>
      <w:spacing w:after="120"/>
      <w:ind w:left="1440" w:right="1440"/>
    </w:pPr>
  </w:style>
  <w:style w:type="character" w:customStyle="1" w:styleId="Subscript">
    <w:name w:val="Subscript"/>
    <w:basedOn w:val="DefaultParagraphFont"/>
    <w:rsid w:val="00DF5E2E"/>
    <w:rPr>
      <w:sz w:val="16"/>
      <w:vertAlign w:val="subscript"/>
    </w:rPr>
  </w:style>
  <w:style w:type="character" w:customStyle="1" w:styleId="Superscript">
    <w:name w:val="Superscript"/>
    <w:basedOn w:val="DefaultParagraphFont"/>
    <w:rsid w:val="00DF5E2E"/>
    <w:rPr>
      <w:sz w:val="16"/>
      <w:vertAlign w:val="superscript"/>
    </w:rPr>
  </w:style>
  <w:style w:type="character" w:customStyle="1" w:styleId="Symbols">
    <w:name w:val="Symbols"/>
    <w:basedOn w:val="DefaultParagraphFont"/>
    <w:rsid w:val="00DF5E2E"/>
    <w:rPr>
      <w:rFonts w:ascii="Symbol" w:hAnsi="Symbol"/>
    </w:rPr>
  </w:style>
  <w:style w:type="character" w:customStyle="1" w:styleId="MenuOptions">
    <w:name w:val="Menu Options"/>
    <w:basedOn w:val="DefaultParagraphFont"/>
    <w:rsid w:val="00DF5E2E"/>
    <w:rPr>
      <w:rFonts w:ascii="Arial Narrow" w:hAnsi="Arial Narrow"/>
      <w:smallCaps/>
    </w:rPr>
  </w:style>
  <w:style w:type="character" w:customStyle="1" w:styleId="Buttons">
    <w:name w:val="Buttons"/>
    <w:basedOn w:val="DefaultParagraphFont"/>
    <w:rsid w:val="00DF5E2E"/>
    <w:rPr>
      <w:b/>
    </w:rPr>
  </w:style>
  <w:style w:type="character" w:customStyle="1" w:styleId="Underlined">
    <w:name w:val="Underlined"/>
    <w:basedOn w:val="DefaultParagraphFont"/>
    <w:rsid w:val="00DF5E2E"/>
    <w:rPr>
      <w:u w:val="single"/>
    </w:rPr>
  </w:style>
  <w:style w:type="paragraph" w:customStyle="1" w:styleId="TableBodyTextRight">
    <w:name w:val="Table Body Text Right"/>
    <w:basedOn w:val="TableBodyText"/>
    <w:rsid w:val="00DF5E2E"/>
    <w:pPr>
      <w:widowControl w:val="0"/>
      <w:autoSpaceDE w:val="0"/>
      <w:autoSpaceDN w:val="0"/>
      <w:adjustRightInd w:val="0"/>
      <w:jc w:val="right"/>
    </w:pPr>
    <w:rPr>
      <w:rFonts w:cs="Arial"/>
      <w:szCs w:val="18"/>
    </w:rPr>
  </w:style>
  <w:style w:type="paragraph" w:customStyle="1" w:styleId="CopyrightText">
    <w:name w:val="Copyright Text"/>
    <w:basedOn w:val="BodyText"/>
    <w:rsid w:val="00DF5E2E"/>
    <w:rPr>
      <w:sz w:val="18"/>
    </w:rPr>
  </w:style>
  <w:style w:type="paragraph" w:customStyle="1" w:styleId="BodySmallRight">
    <w:name w:val="Body Small Right"/>
    <w:basedOn w:val="BodyTextRight"/>
    <w:rsid w:val="00DF5E2E"/>
    <w:rPr>
      <w:sz w:val="18"/>
      <w:szCs w:val="18"/>
    </w:rPr>
  </w:style>
  <w:style w:type="paragraph" w:customStyle="1" w:styleId="MarginEdition">
    <w:name w:val="Margin Edition"/>
    <w:basedOn w:val="MarginNote"/>
    <w:rsid w:val="00DF5E2E"/>
    <w:pPr>
      <w:spacing w:before="0" w:after="0"/>
    </w:pPr>
    <w:rPr>
      <w:rFonts w:ascii="Times New Roman" w:hAnsi="Times New Roman"/>
      <w:color w:val="999999"/>
    </w:rPr>
  </w:style>
  <w:style w:type="paragraph" w:customStyle="1" w:styleId="Spacer">
    <w:name w:val="Spacer"/>
    <w:basedOn w:val="Normal"/>
    <w:rsid w:val="00DF5E2E"/>
    <w:rPr>
      <w:sz w:val="2"/>
      <w:szCs w:val="2"/>
    </w:rPr>
  </w:style>
  <w:style w:type="character" w:customStyle="1" w:styleId="Small">
    <w:name w:val="Small"/>
    <w:basedOn w:val="DefaultParagraphFont"/>
    <w:rsid w:val="00DF5E2E"/>
    <w:rPr>
      <w:sz w:val="16"/>
    </w:rPr>
  </w:style>
  <w:style w:type="paragraph" w:customStyle="1" w:styleId="WideTable">
    <w:name w:val="Wide Table"/>
    <w:basedOn w:val="Normal"/>
    <w:rsid w:val="00DF5E2E"/>
    <w:pPr>
      <w:ind w:left="-1418"/>
    </w:pPr>
    <w:rPr>
      <w:sz w:val="2"/>
      <w:szCs w:val="2"/>
    </w:rPr>
  </w:style>
  <w:style w:type="character" w:styleId="PageNumber">
    <w:name w:val="page number"/>
    <w:basedOn w:val="DefaultParagraphFont"/>
    <w:rsid w:val="00DF5E2E"/>
  </w:style>
  <w:style w:type="paragraph" w:styleId="Quote">
    <w:name w:val="Quote"/>
    <w:basedOn w:val="Heading1"/>
    <w:link w:val="QuoteChar"/>
    <w:qFormat/>
    <w:rsid w:val="00DF5E2E"/>
    <w:rPr>
      <w:b w:val="0"/>
      <w:sz w:val="72"/>
      <w:szCs w:val="72"/>
      <w:lang w:val="en-NZ"/>
    </w:rPr>
  </w:style>
  <w:style w:type="character" w:customStyle="1" w:styleId="QuoteChar">
    <w:name w:val="Quote Char"/>
    <w:basedOn w:val="DefaultParagraphFont"/>
    <w:link w:val="Quote"/>
    <w:rsid w:val="00DF5E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5E2E"/>
    <w:pPr>
      <w:pageBreakBefore/>
    </w:pPr>
  </w:style>
  <w:style w:type="paragraph" w:customStyle="1" w:styleId="Border">
    <w:name w:val="Border"/>
    <w:basedOn w:val="Normal"/>
    <w:qFormat/>
    <w:rsid w:val="00DF5E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5E2E"/>
    <w:rPr>
      <w:b/>
      <w:bCs/>
      <w:i/>
      <w:iCs/>
      <w:color w:val="auto"/>
    </w:rPr>
  </w:style>
  <w:style w:type="paragraph" w:styleId="IntenseQuote">
    <w:name w:val="Intense Quote"/>
    <w:basedOn w:val="Normal"/>
    <w:next w:val="Normal"/>
    <w:link w:val="IntenseQuoteChar"/>
    <w:uiPriority w:val="30"/>
    <w:qFormat/>
    <w:rsid w:val="00DF5E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5E2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5E2E"/>
    <w:rPr>
      <w:smallCaps/>
      <w:color w:val="auto"/>
      <w:u w:val="single"/>
    </w:rPr>
  </w:style>
  <w:style w:type="character" w:styleId="IntenseReference">
    <w:name w:val="Intense Reference"/>
    <w:basedOn w:val="DefaultParagraphFont"/>
    <w:uiPriority w:val="32"/>
    <w:qFormat/>
    <w:rsid w:val="00DF5E2E"/>
    <w:rPr>
      <w:b/>
      <w:bCs/>
      <w:smallCaps/>
      <w:color w:val="auto"/>
      <w:spacing w:val="5"/>
      <w:u w:val="single"/>
    </w:rPr>
  </w:style>
  <w:style w:type="paragraph" w:customStyle="1" w:styleId="2ColumnHeading">
    <w:name w:val="2Column Heading"/>
    <w:basedOn w:val="BodyText"/>
    <w:qFormat/>
    <w:rsid w:val="00DF5E2E"/>
    <w:pPr>
      <w:spacing w:after="60"/>
      <w:ind w:left="-2268"/>
    </w:pPr>
    <w:rPr>
      <w:b/>
    </w:rPr>
  </w:style>
  <w:style w:type="paragraph" w:customStyle="1" w:styleId="Heading1TOC">
    <w:name w:val="Heading1 TOC"/>
    <w:basedOn w:val="Normal"/>
    <w:qFormat/>
    <w:rsid w:val="00DF5E2E"/>
    <w:pPr>
      <w:spacing w:before="240" w:after="120"/>
    </w:pPr>
    <w:rPr>
      <w:rFonts w:ascii="Times New Roman" w:hAnsi="Times New Roman"/>
      <w:b/>
      <w:sz w:val="32"/>
    </w:rPr>
  </w:style>
  <w:style w:type="paragraph" w:customStyle="1" w:styleId="Heading2TOC">
    <w:name w:val="Heading2 TOC"/>
    <w:basedOn w:val="Normal"/>
    <w:qFormat/>
    <w:rsid w:val="00DF5E2E"/>
    <w:pPr>
      <w:spacing w:before="240" w:after="60"/>
    </w:pPr>
    <w:rPr>
      <w:rFonts w:ascii="Times New Roman" w:hAnsi="Times New Roman"/>
      <w:b/>
      <w:sz w:val="28"/>
    </w:rPr>
  </w:style>
  <w:style w:type="character" w:customStyle="1" w:styleId="Underline">
    <w:name w:val="Underline"/>
    <w:basedOn w:val="DefaultParagraphFont"/>
    <w:qFormat/>
    <w:rsid w:val="00DF5E2E"/>
    <w:rPr>
      <w:u w:val="single"/>
    </w:rPr>
  </w:style>
  <w:style w:type="character" w:customStyle="1" w:styleId="BoldandItalics">
    <w:name w:val="Bold and Italics"/>
    <w:qFormat/>
    <w:rsid w:val="00DF5E2E"/>
    <w:rPr>
      <w:b/>
      <w:i/>
      <w:u w:val="none"/>
    </w:rPr>
  </w:style>
  <w:style w:type="paragraph" w:styleId="BalloonText">
    <w:name w:val="Balloon Text"/>
    <w:basedOn w:val="Normal"/>
    <w:link w:val="BalloonTextChar"/>
    <w:rsid w:val="00DF5E2E"/>
    <w:rPr>
      <w:rFonts w:ascii="Tahoma" w:hAnsi="Tahoma" w:cs="Tahoma"/>
      <w:sz w:val="16"/>
      <w:szCs w:val="16"/>
    </w:rPr>
  </w:style>
  <w:style w:type="character" w:customStyle="1" w:styleId="BalloonTextChar">
    <w:name w:val="Balloon Text Char"/>
    <w:basedOn w:val="DefaultParagraphFont"/>
    <w:link w:val="BalloonText"/>
    <w:rsid w:val="00DF5E2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5E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5E2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2930</Words>
  <Characters>18659</Characters>
  <Application>Microsoft Office Word</Application>
  <DocSecurity>0</DocSecurity>
  <Lines>817</Lines>
  <Paragraphs>348</Paragraphs>
  <ScaleCrop>false</ScaleCrop>
  <Company>Author-it Software Corporation Ltd.</Company>
  <LinksUpToDate>false</LinksUpToDate>
  <CharactersWithSpaces>21330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UETTDRIS43A Perform low voltage field switching operation to a given schedule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2012-05-26T12:12:00Z</dcterms:created>
  <dcterms:modified xsi:type="dcterms:W3CDTF">2012-05-26T12:12:00Z</dcterms:modified>
</cp:coreProperties>
</file>