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031" w:rsidP="00DF6031">
      <w:pPr>
        <w:pStyle w:val="Title"/>
      </w:pPr>
      <w:r>
        <w:fldChar w:fldCharType="begin"/>
      </w:r>
      <w:r>
        <w:instrText xml:space="preserve"> TITLE   \* MERGEFORMAT </w:instrText>
      </w:r>
      <w:r>
        <w:fldChar w:fldCharType="separate"/>
      </w:r>
      <w:r>
        <w:t>UETTDRIS42A Maintain network infrastructure electrical equipment</w:t>
      </w:r>
      <w:r>
        <w:fldChar w:fldCharType="end"/>
      </w:r>
    </w:p>
    <w:p w:rsidR="00DF6031" w:rsidP="00DF6031">
      <w:pPr>
        <w:pStyle w:val="Version"/>
        <w:sectPr w:rsidSect="001116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624" w:rsidP="00111624">
      <w:pPr>
        <w:pStyle w:val="SuperHeading"/>
      </w:pPr>
      <w:r w:rsidRPr="00111624">
        <w:t>UETTDRIS42A Maintain network infrastructure electrical equipment</w:t>
      </w:r>
    </w:p>
    <w:p w:rsidR="00000000" w:rsidRPr="00111624" w:rsidP="00111624">
      <w:pPr>
        <w:pStyle w:val="Heading1"/>
      </w:pPr>
      <w:bookmarkStart w:id="1" w:name="O_462454"/>
      <w:bookmarkEnd w:id="1"/>
      <w:r w:rsidRPr="00111624">
        <w:t>Modification History</w:t>
      </w:r>
    </w:p>
    <w:p w:rsidR="00000000" w:rsidRPr="00111624" w:rsidP="00111624">
      <w:pPr>
        <w:pStyle w:val="BodyText"/>
      </w:pPr>
      <w:r w:rsidRPr="00111624">
        <w:t>Not applicable.</w:t>
      </w:r>
    </w:p>
    <w:p w:rsidR="00000000" w:rsidRPr="00111624" w:rsidP="00111624">
      <w:pPr>
        <w:pStyle w:val="AllowPageBreak"/>
      </w:pPr>
    </w:p>
    <w:p w:rsidR="00000000" w:rsidRPr="00111624" w:rsidP="00111624">
      <w:pPr>
        <w:pStyle w:val="Heading1"/>
      </w:pPr>
      <w:bookmarkStart w:id="2" w:name="O_462452"/>
      <w:bookmarkEnd w:id="2"/>
      <w:r w:rsidRPr="00111624">
        <w:t>Unit Descriptor</w:t>
      </w:r>
    </w:p>
    <w:tbl>
      <w:tblPr>
        <w:tblW w:w="0" w:type="auto"/>
        <w:tblLayout w:type="fixed"/>
        <w:tblCellMar>
          <w:left w:w="62" w:type="dxa"/>
          <w:right w:w="62" w:type="dxa"/>
        </w:tblCellMar>
        <w:tblLook w:val="0000"/>
      </w:tblPr>
      <w:tblGrid>
        <w:gridCol w:w="2700"/>
        <w:gridCol w:w="5760"/>
      </w:tblGrid>
      <w:tr w:rsidTr="00DF60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1)</w:t>
            </w:r>
            <w:r w:rsidRPr="00111624">
              <w:t xml:space="preserve"> </w:t>
            </w:r>
            <w:r w:rsidRPr="00111624">
              <w:rPr>
                <w:rStyle w:val="SpecialBold"/>
              </w:rPr>
              <w:t>Scope:</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162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1.1) Descriptor</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This Competency Standard Unit covers the maintenance of electrical equipment and associated hardware, such as fuse switches, drop out switches, sectionalisers, links, surge arrestors, gas filled and or oil filled switches, relevant to the transmission, dis</w:t>
            </w:r>
            <w:r w:rsidRPr="00111624">
              <w:t>tribution and rail traction networks and includes the repair and/or replacement of "like for like" electrical equipment and associated hardware as well as the termination and/or connection of this equipment according to requirements and may include samplin</w:t>
            </w:r>
            <w:r w:rsidRPr="00111624">
              <w:t>g of insulating oils. It also encompasses the identification of faults, the pre-commissioning tests involving the equipment/system and the interpretation of these tests against agreed specifications. It excludes the energisation of the equipment maintained</w:t>
            </w:r>
            <w:r w:rsidRPr="00111624">
              <w:t xml:space="preserve"> in a highly complex, interdependent and interconnected electricity supply Network system, where the affects of unintended consequences on the system are high risk and appropriate personnel effect energisation.</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3" w:name="O_462441"/>
      <w:bookmarkEnd w:id="3"/>
      <w:r w:rsidRPr="00111624">
        <w:t>Application of the Unit</w:t>
      </w:r>
    </w:p>
    <w:tbl>
      <w:tblPr>
        <w:tblW w:w="0" w:type="auto"/>
        <w:tblLayout w:type="fixed"/>
        <w:tblCellMar>
          <w:left w:w="62" w:type="dxa"/>
          <w:right w:w="62" w:type="dxa"/>
        </w:tblCellMar>
        <w:tblLook w:val="0000"/>
      </w:tblPr>
      <w:tblGrid>
        <w:gridCol w:w="2672"/>
        <w:gridCol w:w="5699"/>
      </w:tblGrid>
      <w:tr w:rsidTr="00DF60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Ap</w:t>
            </w:r>
            <w:r w:rsidRPr="00111624">
              <w:rPr>
                <w:rStyle w:val="SpecialBold"/>
              </w:rPr>
              <w:t>plication of the Unit</w:t>
            </w:r>
          </w:p>
        </w:tc>
        <w:tc>
          <w:tcPr>
            <w:tcW w:w="5699"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2)</w:t>
            </w:r>
          </w:p>
        </w:tc>
      </w:tr>
      <w:tr w:rsidTr="00DF60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This Competency Standard Unit is intended to augment formally acquired competencies. It is suitable for employment-based programs under an approved contract of training.</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4" w:name="O_462448"/>
      <w:bookmarkEnd w:id="4"/>
      <w:r w:rsidRPr="00111624">
        <w:t>Licensing/Regulatory Information</w:t>
      </w:r>
    </w:p>
    <w:tbl>
      <w:tblPr>
        <w:tblW w:w="0" w:type="auto"/>
        <w:tblLayout w:type="fixed"/>
        <w:tblCellMar>
          <w:left w:w="62" w:type="dxa"/>
          <w:right w:w="62" w:type="dxa"/>
        </w:tblCellMar>
        <w:tblLook w:val="0000"/>
      </w:tblPr>
      <w:tblGrid>
        <w:gridCol w:w="2700"/>
        <w:gridCol w:w="5760"/>
      </w:tblGrid>
      <w:tr w:rsidTr="00DF60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 xml:space="preserve">3)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 xml:space="preserve">The skills and knowledge described in this unit may require a licence/registration to practice in the work place subject to regulations for undertaking of electrical work. Practice in workplace and during training is also subject </w:t>
            </w:r>
            <w:r w:rsidRPr="00111624">
              <w:t>to regulations directly related to Occupational Health and Safety, electricity/telecommunications/gas/water industry safety and compliance, industrial relations, environmental protection, anti discrimination and training. Commonwealth, State/Territory or L</w:t>
            </w:r>
            <w:r w:rsidRPr="00111624">
              <w:t>ocal Government legislation and regulations may exist that limits the age of operating certain equipment.</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5" w:name="O_462449"/>
      <w:bookmarkEnd w:id="5"/>
      <w:r w:rsidRPr="00111624">
        <w:t>Pre-Requisites</w:t>
      </w:r>
    </w:p>
    <w:tbl>
      <w:tblPr>
        <w:tblW w:w="0" w:type="auto"/>
        <w:tblLayout w:type="fixed"/>
        <w:tblCellMar>
          <w:left w:w="62" w:type="dxa"/>
          <w:right w:w="62" w:type="dxa"/>
        </w:tblCellMar>
        <w:tblLook w:val="0000"/>
      </w:tblPr>
      <w:tblGrid>
        <w:gridCol w:w="2700"/>
        <w:gridCol w:w="2160"/>
        <w:gridCol w:w="3600"/>
      </w:tblGrid>
      <w:tr w:rsidTr="00DF60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 xml:space="preserve">4)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4.1)</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Granting of competency in this unit shall be made only after competency in the following unit(s) has/have been confirmed.</w:t>
            </w:r>
          </w:p>
          <w:p w:rsidR="00000000" w:rsidRPr="00111624" w:rsidP="00111624">
            <w:pPr>
              <w:pStyle w:val="BodyText"/>
            </w:pPr>
            <w:r w:rsidRPr="00111624">
              <w:t xml:space="preserve">Where pre-requisite pathways have been identified. All competencies in the Common Unit Group must be have been completed plus all the </w:t>
            </w:r>
            <w:r w:rsidRPr="00111624">
              <w:t>competencies in one (1) of the identified Pathway Unit Group(s):</w:t>
            </w:r>
          </w:p>
          <w:p w:rsidR="00000000" w:rsidRPr="00111624" w:rsidP="00111624">
            <w:pPr>
              <w:pStyle w:val="BodyText"/>
            </w:pPr>
            <w:r w:rsidRPr="00111624">
              <w:t>Transmission Overhead</w:t>
            </w:r>
          </w:p>
          <w:p w:rsidR="00000000" w:rsidRPr="00111624" w:rsidP="00111624">
            <w:pPr>
              <w:pStyle w:val="BodyText"/>
            </w:pPr>
            <w:r w:rsidRPr="00111624">
              <w:t>Distribution Overhead</w:t>
            </w:r>
          </w:p>
          <w:p w:rsidR="00000000" w:rsidRPr="00111624" w:rsidP="00111624">
            <w:pPr>
              <w:pStyle w:val="BodyText"/>
            </w:pPr>
            <w:r w:rsidRPr="00111624">
              <w:t>Rail Traction</w:t>
            </w:r>
          </w:p>
          <w:p w:rsidR="00000000" w:rsidRPr="00111624" w:rsidP="00111624">
            <w:pPr>
              <w:pStyle w:val="BodyText"/>
            </w:pPr>
            <w:r w:rsidRPr="00111624">
              <w:t>Distribution Cable Jointing</w:t>
            </w:r>
          </w:p>
          <w:p w:rsidR="00000000" w:rsidP="00111624">
            <w:pPr>
              <w:pStyle w:val="BodyText"/>
              <w:rPr>
                <w:lang w:val="en-NZ"/>
              </w:rPr>
            </w:pPr>
            <w:r w:rsidRPr="00111624">
              <w:t>Common Unit Group</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Code</w:t>
            </w:r>
          </w:p>
        </w:tc>
        <w:tc>
          <w:tcPr>
            <w:tcW w:w="360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Title</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UEENEEE101A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Apply Occupational Health and Safety regulations, codes and practices in the workplace</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UEENEEE102A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Fabricate, assemble and dismantle utilities industry components</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UEENEEE104A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Solve problems in d.c. Circuits</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UEENEEE105A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Fix and secure electrotechnolog</w:t>
            </w:r>
            <w:r w:rsidRPr="00111624">
              <w:t>y equipment</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UEENEEE107A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Use drawings, diagrams, schedules, standards, codes and specifications</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UEENEEG101A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Solve problems in electromagnetic devices and related circuits</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UEENEEG102A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Solve problems in low voltage a.c. Circuits</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UETTDREL11A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Apply sustainable energy and environmental procedures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UETTDREL12A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Operate plant and equipment near live electrical conductors and apparatus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UETTDREL16A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Working safely near live electrical apparatus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 xml:space="preserve">Transmission Overhead Pathway Group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Code</w:t>
            </w:r>
          </w:p>
        </w:tc>
        <w:tc>
          <w:tcPr>
            <w:tcW w:w="360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Title</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UETTDRIS41A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network infrastructure electrical equipment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UETTDRIS54A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and maintain poles, structures, overhead conductors and cables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UETTDRTP26A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transmission structures and associated hardware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UETTDRTP27A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Maintain transmission structures and associated hardware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UETTDRTP29A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and maintain transmission overhead conductors and cables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Distribution Overhead Pathway Group</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Code</w:t>
            </w:r>
          </w:p>
        </w:tc>
        <w:tc>
          <w:tcPr>
            <w:tcW w:w="360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Title</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UETTDRDP12A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Maintain overhead energised low voltage conductors and cables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UETTDRIS41A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network infrastructure electrical equipment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UETTDRIS52A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Install and maintain poles, structures and associated hardware</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UETTDRIS54A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and maintain poles, structures, overhead conductors and cables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UETTDRIS56A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and maintain low voltage overhead services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Rail Traction Pathway Group</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Code</w:t>
            </w:r>
          </w:p>
        </w:tc>
        <w:tc>
          <w:tcPr>
            <w:tcW w:w="360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Title</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UETTDRIS41A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Install network</w:t>
            </w:r>
            <w:r w:rsidRPr="00111624">
              <w:t xml:space="preserve"> infrastructure electrical equipment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UETTDRIS52A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Install and maintain poles, structures and associated hardware</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UETTDRIS54A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and maintain poles, structures, overhead conductors and cables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UETTDRRT21A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traction overhead wiring systems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UETTDRRT22A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Maintain traction overhead wiring systems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UETTDRRT23A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rail traction bonds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UETTDRRT27A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overhead traction components and equipment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UETTDRRT28A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Maintain overhead traction components and equipment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Distribution Cable Jointing Pathway Group</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Code</w:t>
            </w:r>
          </w:p>
        </w:tc>
        <w:tc>
          <w:tcPr>
            <w:tcW w:w="360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Unit Title</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UETTDRCJ21A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Lay ESI electrical cables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UETTDRCJ26A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and maintain de-energised low voltage underground polymeric cables.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UETTDRCJ27A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and maintain de-energised high voltage underground polymeric cables.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UETTDRIS41A</w:t>
            </w:r>
          </w:p>
        </w:tc>
        <w:tc>
          <w:tcPr>
            <w:tcW w:w="3600" w:type="dxa"/>
            <w:tcBorders>
              <w:top w:val="nil"/>
              <w:left w:val="nil"/>
              <w:bottom w:val="nil"/>
              <w:right w:val="nil"/>
            </w:tcBorders>
            <w:tcMar>
              <w:top w:w="0" w:type="dxa"/>
              <w:left w:w="62" w:type="dxa"/>
              <w:bottom w:w="0" w:type="dxa"/>
              <w:right w:w="62" w:type="dxa"/>
            </w:tcMar>
            <w:vAlign w:val="bottom"/>
          </w:tcPr>
          <w:p w:rsidR="00000000" w:rsidP="00111624">
            <w:pPr>
              <w:pStyle w:val="BodyText"/>
              <w:rPr>
                <w:lang w:val="en-NZ"/>
              </w:rPr>
            </w:pPr>
            <w:r w:rsidRPr="00111624">
              <w:t xml:space="preserve">Install network infrastructure electrical equipment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UETTDRIS55A</w:t>
            </w:r>
          </w:p>
        </w:tc>
        <w:tc>
          <w:tcPr>
            <w:tcW w:w="3600" w:type="dxa"/>
            <w:tcBorders>
              <w:top w:val="nil"/>
              <w:left w:val="nil"/>
              <w:bottom w:val="nil"/>
              <w:right w:val="nil"/>
            </w:tcBorders>
            <w:tcMar>
              <w:top w:w="0" w:type="dxa"/>
              <w:left w:w="62" w:type="dxa"/>
              <w:bottom w:w="0" w:type="dxa"/>
              <w:right w:w="62" w:type="dxa"/>
            </w:tcMar>
            <w:vAlign w:val="bottom"/>
          </w:tcPr>
          <w:p w:rsidR="00000000" w:rsidRPr="00111624" w:rsidP="00111624">
            <w:pPr>
              <w:pStyle w:val="BodyText"/>
            </w:pPr>
            <w:r w:rsidRPr="00111624">
              <w:t xml:space="preserve">Install and maintain low voltage underground services </w:t>
            </w:r>
          </w:p>
        </w:tc>
      </w:tr>
    </w:tbl>
    <w:p w:rsidR="00000000" w:rsidRPr="00111624" w:rsidP="0011162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F603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 xml:space="preserve">4.2)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Participants are best equipped to achieve this unit if they have reading, writing and numeracy skills indicated by the following scales. Description of each scale is given in Volume 2, Part 3 “Literacy and Numeracy”</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Reading</w:t>
            </w:r>
          </w:p>
        </w:tc>
        <w:tc>
          <w:tcPr>
            <w:tcW w:w="81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3</w:t>
            </w:r>
          </w:p>
        </w:tc>
        <w:tc>
          <w:tcPr>
            <w:tcW w:w="99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Writing</w:t>
            </w:r>
          </w:p>
        </w:tc>
        <w:tc>
          <w:tcPr>
            <w:tcW w:w="90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3</w:t>
            </w:r>
          </w:p>
        </w:tc>
        <w:tc>
          <w:tcPr>
            <w:tcW w:w="12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Numeracy</w:t>
            </w:r>
          </w:p>
        </w:tc>
        <w:tc>
          <w:tcPr>
            <w:tcW w:w="72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3</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6" w:name="O_462445"/>
      <w:bookmarkEnd w:id="6"/>
      <w:r w:rsidRPr="00111624">
        <w:t>Employability Skills Information</w:t>
      </w:r>
    </w:p>
    <w:tbl>
      <w:tblPr>
        <w:tblW w:w="0" w:type="auto"/>
        <w:tblLayout w:type="fixed"/>
        <w:tblCellMar>
          <w:left w:w="62" w:type="dxa"/>
          <w:right w:w="62" w:type="dxa"/>
        </w:tblCellMar>
        <w:tblLook w:val="0000"/>
      </w:tblPr>
      <w:tblGrid>
        <w:gridCol w:w="2700"/>
        <w:gridCol w:w="5760"/>
      </w:tblGrid>
      <w:tr w:rsidTr="00DF60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 xml:space="preserve">5)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 xml:space="preserve">The required outcomes described in this unit of competency contain applicable facets of Employability Skills. The Employability Skills Summary </w:t>
            </w:r>
            <w:r w:rsidRPr="00111624">
              <w:t>of the qualification in which this unit of competency is packaged will assist in identifying Employability Skill requirements.</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7" w:name="O_462444"/>
      <w:bookmarkEnd w:id="7"/>
      <w:r w:rsidRPr="00111624">
        <w:t>Elements and Performance Criteria Pre-Content</w:t>
      </w:r>
    </w:p>
    <w:tbl>
      <w:tblPr>
        <w:tblW w:w="0" w:type="auto"/>
        <w:tblLayout w:type="fixed"/>
        <w:tblCellMar>
          <w:left w:w="62" w:type="dxa"/>
          <w:right w:w="62" w:type="dxa"/>
        </w:tblCellMar>
        <w:tblLook w:val="0000"/>
      </w:tblPr>
      <w:tblGrid>
        <w:gridCol w:w="2700"/>
        <w:gridCol w:w="5760"/>
      </w:tblGrid>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6)</w:t>
            </w:r>
            <w:r w:rsidRPr="00111624">
              <w:t xml:space="preserve"> Elements describe the essential outcomes of a competency stan</w:t>
            </w:r>
            <w:r w:rsidRPr="00111624">
              <w:t>dard unit</w:t>
            </w:r>
          </w:p>
        </w:tc>
        <w:tc>
          <w:tcPr>
            <w:tcW w:w="576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Performance Criteria describe the required performance needed to demonstrate achievement of the element. Assessment of performance is to be consistent with the Evidence Guide.</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8" w:name="O_462443"/>
      <w:bookmarkEnd w:id="8"/>
      <w:r w:rsidRPr="00111624">
        <w:t>Elements and Performance Criteria</w:t>
      </w:r>
    </w:p>
    <w:tbl>
      <w:tblPr>
        <w:tblW w:w="0" w:type="auto"/>
        <w:tblLayout w:type="fixed"/>
        <w:tblCellMar>
          <w:left w:w="62" w:type="dxa"/>
          <w:right w:w="62" w:type="dxa"/>
        </w:tblCellMar>
        <w:tblLook w:val="0000"/>
      </w:tblPr>
      <w:tblGrid>
        <w:gridCol w:w="410"/>
        <w:gridCol w:w="2290"/>
        <w:gridCol w:w="946"/>
        <w:gridCol w:w="4814"/>
      </w:tblGrid>
      <w:tr w:rsidTr="00DF603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PERFORMANCE CRITERIA</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w:t>
            </w:r>
          </w:p>
        </w:tc>
        <w:tc>
          <w:tcPr>
            <w:tcW w:w="2290" w:type="dxa"/>
            <w:vMerge w:val="restart"/>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Prepare for the maintenance of electrical equipment (network infrastructure)</w:t>
            </w: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1.1</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Works schedule(s), including drawings, plans, requirements, established procedures, and material lists, are received, analysed and confirmed, if neces</w:t>
            </w:r>
            <w:r w:rsidRPr="00111624">
              <w:t>sary, by site inspection.</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1.2</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Relevant requirements and established procedures for the work are communicated to all personnel and identified for all work sites.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1.3</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OHS policies and procedures related to requirements and established procedures the maintenance of electrical equipment (network infrastructure) are obtained and confirmed for the purposes of the work to be performed and communicated.</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1.4</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Work is prioritised and sequenced following consultation with others for completion within acceptable timeframes and in accordance with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1.5</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Hazards are identified, OHS risks assessed and control measures are prioritised, implemen</w:t>
            </w:r>
            <w:r w:rsidRPr="00111624">
              <w:t>ted and monitored including emergency exits kept clear according to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1.6</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Relevant work permits are obtained to access and perform work according to requirements and/or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1.7</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 xml:space="preserve">Resources including personnel, </w:t>
            </w:r>
            <w:r w:rsidRPr="00111624">
              <w:t>equipment, tools and personal protective equipment required for the job are obtained and confirmed in working order.</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1.8</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Relevant personnel at worksite are confirmed</w:t>
            </w:r>
            <w:r w:rsidRPr="00111624">
              <w:t xml:space="preserve"> current in First Aid, Pole Top Rescue and other related work procedures according to requirements.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1.9</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Liaison and communication issues with other/authorised personnel, authorities, clients and land owners are resolved to carry out work where necessary</w:t>
            </w:r>
            <w:r w:rsidRPr="00111624">
              <w:t>.</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1.10</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Site is prepared according to the work schedule and to minimise risk and damage to property, commerce, and individuals in accordance with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1.11</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Personnel participating in the work, including plant operators and contracto</w:t>
            </w:r>
            <w:r w:rsidRPr="00111624">
              <w:t>rs, are fully briefed and respective responsibilities confirmed where applicable in accordance with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1.12</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Road signs, barriers and warning devices are positioned in accordance with requirements.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2</w:t>
            </w:r>
          </w:p>
        </w:tc>
        <w:tc>
          <w:tcPr>
            <w:tcW w:w="229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Carry out maintenance of electrical equipment (network infrastructure)</w:t>
            </w: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2.1</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OHS and sustainable energy principles and practices to reduce the incidents of accidents and minimise waste are monitored and followed in accordance with requirements and/or establi</w:t>
            </w:r>
            <w:r w:rsidRPr="00111624">
              <w:t>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2.2</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Lifting, climbing, working in confined spaces and aloft, and use of power tools/equipment, techniques and practices are safely followed and, currency according to requirements confirmed.</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2.3</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Essential knowledge and associated kil</w:t>
            </w:r>
            <w:r w:rsidRPr="00111624">
              <w:t>ls are applied in the safe maintenance of electrical equipment (network infrastructure) to ensure completion in an agreed timeframe and, to quality standards with a minimum of waste according to requirements.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2.4</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Maintenance, including repair and/or rep</w:t>
            </w:r>
            <w:r w:rsidRPr="00111624">
              <w:t>lacement of electrical equipment (network infrastructure) is carried out, in accordance with the work schedule and requirements/established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2.5</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Hazard warnings and safety signs are recognised and hazards and assessed OHS risks are reported to the immediate authorised persons for directions according to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2.6</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Unplanned events in the maintenance of electrical equipment (netw</w:t>
            </w:r>
            <w:r w:rsidRPr="00111624">
              <w:t>ork infrastructure) are undertaken within the scope of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2.7</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Known solutions to a variety of problems are applied using acquired essential knowledge and associated skills.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2.8</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Ongoing checks of quality of the work are undertaken</w:t>
            </w:r>
            <w:r w:rsidRPr="00111624">
              <w:t xml:space="preserve"> in accordance with instructions and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3</w:t>
            </w:r>
          </w:p>
        </w:tc>
        <w:tc>
          <w:tcPr>
            <w:tcW w:w="2290" w:type="dxa"/>
            <w:vMerge w:val="restart"/>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Complete the maintenance of electrical equipment (network infrastructure)</w:t>
            </w: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3.1</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Work undertaken is checked/tested against works schedule for conformance with requirements and anomalies reported in accordance with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3.2</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Accidents and/or injuries are reported in accordance with requirements/established procedure</w:t>
            </w:r>
            <w:r w:rsidRPr="00111624">
              <w:t>s, where applicable.</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3.3</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Work site is rehabilitated, cleaned up and made safe in accordance with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3.4</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Tools, equipment and any surplus resources and materials are, where appropriate, cleaned, checked and returned to storage in accordance with established procedures.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3.5</w:t>
            </w:r>
          </w:p>
        </w:tc>
        <w:tc>
          <w:tcPr>
            <w:tcW w:w="4814"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Relevant work permit(s) are signed off and, electrical equipment (network infrastruc</w:t>
            </w:r>
            <w:r w:rsidRPr="00111624">
              <w:t>ture) is returned to service in accordance with requirements.</w:t>
            </w:r>
          </w:p>
        </w:tc>
      </w:tr>
      <w:tr w:rsidTr="00DF603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46"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t>3.6</w:t>
            </w:r>
          </w:p>
        </w:tc>
        <w:tc>
          <w:tcPr>
            <w:tcW w:w="4814"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Works completion records, reports, as installed/modified drawing and/or documentation and information are finalised and processed and appropriate personnel notified.</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9" w:name="O_462451"/>
      <w:bookmarkEnd w:id="9"/>
      <w:r w:rsidRPr="00111624">
        <w:t>Re</w:t>
      </w:r>
      <w:r w:rsidRPr="00111624">
        <w:t>quired Skills and Knowledge</w:t>
      </w:r>
    </w:p>
    <w:tbl>
      <w:tblPr>
        <w:tblW w:w="0" w:type="auto"/>
        <w:tblLayout w:type="fixed"/>
        <w:tblCellMar>
          <w:left w:w="62" w:type="dxa"/>
          <w:right w:w="62" w:type="dxa"/>
        </w:tblCellMar>
        <w:tblLook w:val="0000"/>
      </w:tblPr>
      <w:tblGrid>
        <w:gridCol w:w="8460"/>
      </w:tblGrid>
      <w:tr w:rsidTr="00DF60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REQUIRED SKILLS AND KNOWLEDGE</w:t>
            </w:r>
          </w:p>
        </w:tc>
      </w:tr>
      <w:tr w:rsidTr="00DF603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8)</w:t>
            </w:r>
            <w:r w:rsidRPr="00111624">
              <w:t xml:space="preserve"> Essential Knowledge and Associated Skills (EKAS): This describes the essential skills and knowledge and their level, required for this unit.</w:t>
            </w:r>
          </w:p>
          <w:p w:rsidR="00000000" w:rsidRPr="00111624" w:rsidP="00111624">
            <w:pPr>
              <w:pStyle w:val="BodyText"/>
            </w:pPr>
            <w:r w:rsidRPr="00111624">
              <w:t>Evidence shall show that knowledge has been acquired of maintaining electrical equipment (network infrastructure).</w:t>
            </w:r>
          </w:p>
          <w:p w:rsidR="00000000" w:rsidRPr="00111624" w:rsidP="00111624">
            <w:pPr>
              <w:pStyle w:val="BodyText"/>
            </w:pPr>
            <w:r w:rsidRPr="00111624">
              <w:t>All knowledge and skills detailed in this unit should be contextualised to current industry practices and technologies.</w:t>
            </w:r>
          </w:p>
          <w:p w:rsidR="00000000" w:rsidRPr="00111624" w:rsidP="00111624">
            <w:pPr>
              <w:pStyle w:val="BodyText"/>
            </w:pPr>
            <w:r w:rsidRPr="00111624">
              <w:t xml:space="preserve">KS01-TIS42A </w:t>
            </w:r>
            <w:r w:rsidRPr="00111624">
              <w:tab/>
              <w:t>Switchge</w:t>
            </w:r>
            <w:r w:rsidRPr="00111624">
              <w:t>ar installation maintenance</w:t>
            </w:r>
          </w:p>
          <w:p w:rsidR="00000000" w:rsidRPr="00111624" w:rsidP="00111624">
            <w:pPr>
              <w:pStyle w:val="BodyText"/>
            </w:pPr>
            <w:r w:rsidRPr="00111624">
              <w:t>Evidence shall show an understanding of the installation of switchgear and associated equipment to an extent indicated by the following aspects:</w:t>
            </w:r>
          </w:p>
          <w:p w:rsidR="00000000" w:rsidRPr="00111624" w:rsidP="00111624">
            <w:pPr>
              <w:pStyle w:val="BodyText"/>
            </w:pPr>
            <w:r w:rsidRPr="00111624">
              <w:t>T1</w:t>
            </w:r>
            <w:r w:rsidRPr="00111624">
              <w:tab/>
              <w:t>Types and function of various switchgear</w:t>
            </w:r>
          </w:p>
          <w:p w:rsidR="00000000" w:rsidRPr="00111624" w:rsidP="00111624">
            <w:pPr>
              <w:pStyle w:val="ListBullet"/>
            </w:pPr>
            <w:r w:rsidRPr="00111624">
              <w:t>Note: Examples include isolators, air-</w:t>
            </w:r>
            <w:r w:rsidRPr="00111624">
              <w:t>break switches, gas-filled switches, vacuum type, links, fuses, oil disconnectors, fuse switches, circuit breakers, operating characteristics, advantages and disadvantages of different types switchgear, installation procedures, earthing, requirements and t</w:t>
            </w:r>
            <w:r w:rsidRPr="00111624">
              <w:t>echniques</w:t>
            </w:r>
          </w:p>
          <w:p w:rsidR="00000000" w:rsidRPr="00111624" w:rsidP="00111624">
            <w:pPr>
              <w:pStyle w:val="BodyText"/>
            </w:pPr>
            <w:r w:rsidRPr="00111624">
              <w:t>T2</w:t>
            </w:r>
            <w:r w:rsidRPr="00111624">
              <w:tab/>
              <w:t>Types of equipment</w:t>
            </w:r>
          </w:p>
          <w:p w:rsidR="00000000" w:rsidRPr="00111624" w:rsidP="00111624">
            <w:pPr>
              <w:pStyle w:val="ListBullet"/>
            </w:pPr>
            <w:r w:rsidRPr="00111624">
              <w:t>Note: Examples include transformers, reactors, regulators, capacitors, relays, surge arrestors, fault indicators and mobile generators</w:t>
            </w:r>
          </w:p>
          <w:p w:rsidR="00000000" w:rsidRPr="00111624" w:rsidP="00111624">
            <w:pPr>
              <w:pStyle w:val="BodyText"/>
            </w:pPr>
            <w:r w:rsidRPr="00111624">
              <w:t>T3</w:t>
            </w:r>
            <w:r w:rsidRPr="00111624">
              <w:tab/>
              <w:t>Maintenance procedures for switchgear and equipment encompassing:</w:t>
            </w:r>
          </w:p>
          <w:p w:rsidR="00000000" w:rsidRPr="00111624" w:rsidP="00111624">
            <w:pPr>
              <w:pStyle w:val="ListBullet"/>
            </w:pPr>
            <w:r w:rsidRPr="00111624">
              <w:t>Diagnosing and rec</w:t>
            </w:r>
            <w:r w:rsidRPr="00111624">
              <w:t>tifying faults according to electricity supply industry standards and procedures</w:t>
            </w:r>
          </w:p>
          <w:p w:rsidR="00000000" w:rsidRPr="00111624" w:rsidP="00111624">
            <w:pPr>
              <w:pStyle w:val="BodyText"/>
            </w:pPr>
            <w:r w:rsidRPr="00111624">
              <w:t>T4</w:t>
            </w:r>
            <w:r w:rsidRPr="00111624">
              <w:tab/>
              <w:t>Testing and commissioning encompassing:</w:t>
            </w:r>
          </w:p>
          <w:p w:rsidR="00000000" w:rsidRPr="00111624" w:rsidP="00111624">
            <w:pPr>
              <w:pStyle w:val="ListBullet"/>
            </w:pPr>
            <w:r w:rsidRPr="00111624">
              <w:t>Electricity supply industry standards and procedures</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10" w:name="O_462446"/>
      <w:bookmarkEnd w:id="10"/>
      <w:r w:rsidRPr="00111624">
        <w:t>Evidence Guide</w:t>
      </w:r>
    </w:p>
    <w:tbl>
      <w:tblPr>
        <w:tblW w:w="0" w:type="auto"/>
        <w:tblLayout w:type="fixed"/>
        <w:tblCellMar>
          <w:left w:w="62" w:type="dxa"/>
          <w:right w:w="62" w:type="dxa"/>
        </w:tblCellMar>
        <w:tblLook w:val="0000"/>
      </w:tblPr>
      <w:tblGrid>
        <w:gridCol w:w="8460"/>
      </w:tblGrid>
      <w:tr w:rsidTr="00DF60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EVIDENCE GUIDE</w:t>
            </w:r>
          </w:p>
        </w:tc>
      </w:tr>
      <w:tr w:rsidTr="00DF60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9)</w:t>
            </w:r>
            <w:r w:rsidRPr="00111624">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111624" w:rsidP="00111624">
            <w:pPr>
              <w:pStyle w:val="BodyText"/>
            </w:pPr>
            <w:r w:rsidRPr="00111624">
              <w:t>The Evidence Guide form</w:t>
            </w:r>
            <w:r w:rsidRPr="00111624">
              <w:t>s an integral part of this Competency Standard Unit and shall be used in conjunction with all component parts of this unit and, performed in accordance with the Assessment Guidelines of this Training Package.</w:t>
            </w:r>
          </w:p>
        </w:tc>
      </w:tr>
    </w:tbl>
    <w:p w:rsidR="00000000" w:rsidRPr="00111624" w:rsidP="00111624">
      <w:pPr>
        <w:pStyle w:val="BodyText"/>
      </w:pPr>
    </w:p>
    <w:tbl>
      <w:tblPr>
        <w:tblW w:w="0" w:type="auto"/>
        <w:tblLayout w:type="fixed"/>
        <w:tblCellMar>
          <w:left w:w="62" w:type="dxa"/>
          <w:right w:w="62" w:type="dxa"/>
        </w:tblCellMar>
        <w:tblLook w:val="0000"/>
      </w:tblPr>
      <w:tblGrid>
        <w:gridCol w:w="1890"/>
        <w:gridCol w:w="6570"/>
      </w:tblGrid>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9.1)</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Longitudinal competency development approaches to assessment, such as Profiling, require data to be reliably gathered in a form that can be consistently interpreted over time. This approach is best utilised in Apprenticeship programs and reduces assessment</w:t>
            </w:r>
            <w:r w:rsidRPr="0011162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11624">
              <w:t>tency in a realistically simulated work environment. It is recognised that, in some circumstances, assessment in part or full can occur outside the workplace. However, it must be in accord with Industry and, Regulatory policy in this regard.</w:t>
            </w:r>
          </w:p>
          <w:p w:rsidR="00000000" w:rsidRPr="00111624" w:rsidP="00111624">
            <w:pPr>
              <w:pStyle w:val="BodyText"/>
            </w:pPr>
            <w:r w:rsidRPr="00111624">
              <w:t>Methods chosen</w:t>
            </w:r>
            <w:r w:rsidRPr="0011162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11624">
              <w:t>equired and the critical nature of the competencies being assessed.</w:t>
            </w:r>
          </w:p>
          <w:p w:rsidR="00000000" w:rsidRPr="00111624" w:rsidP="00111624">
            <w:pPr>
              <w:pStyle w:val="BodyText"/>
            </w:pPr>
            <w:r w:rsidRPr="00111624">
              <w:t>The critical safety nature of working with electricity, electrical equipment, gas or any other hazardous substance/material carries risk in deeming a person competent. Hence, sources of ev</w:t>
            </w:r>
            <w:r w:rsidRPr="00111624">
              <w:t>idence need to be ‘rich’ in nature so as to minimise error in judgment.</w:t>
            </w:r>
          </w:p>
          <w:p w:rsidR="00000000" w:rsidRPr="00111624" w:rsidP="00111624">
            <w:pPr>
              <w:pStyle w:val="BodyText"/>
            </w:pPr>
            <w:r w:rsidRPr="00111624">
              <w:t>Activities associated with normal every day work have a bearing on the decision as to how much and how detailed the data gathered will contribute to its ‘richness’. Some skills are mor</w:t>
            </w:r>
            <w:r w:rsidRPr="00111624">
              <w:t>e critical to safety and operational requirements while the same skills may be more or less frequently practiced. These points are raised for the assessors to consider when choosing an assessment method and developing assessment instruments. Sample assessm</w:t>
            </w:r>
            <w:r w:rsidRPr="00111624">
              <w:t>ent instruments are included for Assessors in the Assessment Guidelines of this Training Package.</w:t>
            </w:r>
          </w:p>
        </w:tc>
      </w:tr>
    </w:tbl>
    <w:p w:rsidR="00000000" w:rsidRPr="00111624" w:rsidP="0011162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9.2)</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Before the critical aspects of evidence are considered all prerequisi</w:t>
            </w:r>
            <w:r w:rsidRPr="00111624">
              <w:t>tes shall be met.</w:t>
            </w:r>
          </w:p>
          <w:p w:rsidR="00000000" w:rsidRPr="00111624" w:rsidP="00111624">
            <w:pPr>
              <w:pStyle w:val="BodyText"/>
            </w:pPr>
            <w:r w:rsidRPr="00111624">
              <w:t xml:space="preserve">Evidence for competence in this unit shall be considered holistically. Each element and associated Performance Criteria shall be demonstrated on at least two occasions in accordance with the “Assessment Guidelines – UET12”. Evidence </w:t>
            </w:r>
            <w:r w:rsidRPr="00111624">
              <w:t>shall also comprise:</w:t>
            </w:r>
          </w:p>
          <w:p w:rsidR="00000000" w:rsidRPr="00111624" w:rsidP="00111624">
            <w:pPr>
              <w:pStyle w:val="ListBullet"/>
            </w:pPr>
            <w:r w:rsidRPr="00111624">
              <w:t>A representative body of Performance Criteria demonstrated within the timeframes typically expected of the discipline, work function and industrial environment. In particular this shall incorporate evidence that shows a candidate is a</w:t>
            </w:r>
            <w:r w:rsidRPr="00111624">
              <w:t>ble to:</w:t>
            </w:r>
          </w:p>
          <w:p w:rsidR="00000000" w:rsidRPr="00111624" w:rsidP="00111624">
            <w:pPr>
              <w:pStyle w:val="ListBullet2"/>
            </w:pPr>
            <w:r w:rsidRPr="00111624">
              <w:t>Implement Occupational Health and Safety workplace procedures and practices including the use of risk control measures as specified in the Performance Criteria and range; and</w:t>
            </w:r>
          </w:p>
          <w:p w:rsidR="00000000" w:rsidRPr="00111624" w:rsidP="00111624">
            <w:pPr>
              <w:pStyle w:val="ListBullet2"/>
            </w:pPr>
            <w:r w:rsidRPr="00111624">
              <w:t>Apply sustainable energy principles and practices as specified in the Pe</w:t>
            </w:r>
            <w:r w:rsidRPr="00111624">
              <w:t>rformance Criteria and range; and</w:t>
            </w:r>
          </w:p>
          <w:p w:rsidR="00000000" w:rsidRPr="00111624" w:rsidP="00111624">
            <w:pPr>
              <w:pStyle w:val="ListBullet2"/>
            </w:pPr>
            <w:r w:rsidRPr="00111624">
              <w:t>Demonstrate an understanding of the essential knowledge and associated skills as described in this unit to such an extent that the learner’s performance outcome is reported in accordance with the preferred approach; namely</w:t>
            </w:r>
            <w:r w:rsidRPr="00111624">
              <w:t xml:space="preserve"> a percentile graded result, where required by the regulated environment; and</w:t>
            </w:r>
          </w:p>
          <w:p w:rsidR="00000000" w:rsidRPr="00111624" w:rsidP="00111624">
            <w:pPr>
              <w:pStyle w:val="ListBullet2"/>
            </w:pPr>
            <w:r w:rsidRPr="00111624">
              <w:t>Demonstrate an appropriate level of employability skills; and</w:t>
            </w:r>
          </w:p>
          <w:p w:rsidR="00000000" w:rsidRPr="00111624" w:rsidP="00111624">
            <w:pPr>
              <w:pStyle w:val="ListBullet"/>
            </w:pPr>
            <w:r w:rsidRPr="00111624">
              <w:t>Conduct work observing the relevant Anti Discrimination legislation, regulations, policies and workplace procedures</w:t>
            </w:r>
            <w:r w:rsidRPr="00111624">
              <w:t>; and</w:t>
            </w:r>
          </w:p>
          <w:p w:rsidR="00000000" w:rsidP="00111624">
            <w:pPr>
              <w:pStyle w:val="ListBullet2"/>
              <w:rPr>
                <w:lang w:val="en-NZ"/>
              </w:rPr>
            </w:pPr>
            <w:r w:rsidRPr="00111624">
              <w:t>Demonstrated performance across a representative range of contexts from the prescribed items below:</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1162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rPr>
                <w:rStyle w:val="SpecialBold"/>
              </w:rPr>
              <w:t>Range of tools/equipment/materials/procedures/workplaces/other variables</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1162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624" w:rsidP="00111624">
            <w:pPr>
              <w:pStyle w:val="BodyText"/>
            </w:pPr>
            <w:r w:rsidRPr="0011162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624" w:rsidP="00111624">
            <w:pPr>
              <w:pStyle w:val="BodyText"/>
            </w:pPr>
            <w:r w:rsidRPr="00111624">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rPr>
                <w:rStyle w:val="SpecialBold"/>
              </w:rPr>
              <w:t>Item List</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Any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624" w:rsidP="00111624">
            <w:pPr>
              <w:pStyle w:val="BodyText"/>
            </w:pPr>
            <w:r w:rsidRPr="00111624">
              <w:t>Fuse switches</w:t>
            </w:r>
          </w:p>
          <w:p w:rsidR="00000000" w:rsidRPr="00111624" w:rsidP="00111624">
            <w:pPr>
              <w:pStyle w:val="BodyText"/>
            </w:pPr>
            <w:r w:rsidRPr="00111624">
              <w:t>Dropout fuses</w:t>
            </w:r>
          </w:p>
          <w:p w:rsidR="00000000" w:rsidRPr="00111624" w:rsidP="00111624">
            <w:pPr>
              <w:pStyle w:val="BodyText"/>
            </w:pPr>
            <w:r w:rsidRPr="00111624">
              <w:t>Sectionalisers</w:t>
            </w:r>
          </w:p>
          <w:p w:rsidR="00000000" w:rsidRPr="00111624" w:rsidP="00111624">
            <w:pPr>
              <w:pStyle w:val="BodyText"/>
            </w:pPr>
            <w:r w:rsidRPr="00111624">
              <w:t>Disconnectors</w:t>
            </w:r>
          </w:p>
          <w:p w:rsidR="00000000" w:rsidRPr="00111624" w:rsidP="00111624">
            <w:pPr>
              <w:pStyle w:val="BodyText"/>
            </w:pPr>
            <w:r w:rsidRPr="00111624">
              <w:t>Links</w:t>
            </w:r>
          </w:p>
          <w:p w:rsidR="00000000" w:rsidRPr="00111624" w:rsidP="00111624">
            <w:pPr>
              <w:pStyle w:val="BodyText"/>
            </w:pPr>
            <w:r w:rsidRPr="00111624">
              <w:t>Fuses</w:t>
            </w:r>
          </w:p>
          <w:p w:rsidR="00000000" w:rsidP="00111624">
            <w:pPr>
              <w:pStyle w:val="BodyText"/>
              <w:rPr>
                <w:lang w:val="en-NZ"/>
              </w:rPr>
            </w:pPr>
            <w:r w:rsidRPr="00111624">
              <w:t>Surge arrestors</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624" w:rsidP="00111624">
            <w:pPr>
              <w:pStyle w:val="BodyText"/>
            </w:pPr>
            <w:r w:rsidRPr="00111624">
              <w:t>Reclosers</w:t>
            </w:r>
          </w:p>
          <w:p w:rsidR="00000000" w:rsidRPr="00111624" w:rsidP="00111624">
            <w:pPr>
              <w:pStyle w:val="BodyText"/>
            </w:pPr>
            <w:r w:rsidRPr="00111624">
              <w:t>Gas filled switches</w:t>
            </w:r>
          </w:p>
          <w:p w:rsidR="00000000" w:rsidRPr="00111624" w:rsidP="00111624">
            <w:pPr>
              <w:pStyle w:val="BodyText"/>
            </w:pPr>
            <w:r w:rsidRPr="00111624">
              <w:t>Ring main units</w:t>
            </w:r>
          </w:p>
          <w:p w:rsidR="00000000" w:rsidRPr="00111624" w:rsidP="00111624">
            <w:pPr>
              <w:pStyle w:val="BodyText"/>
            </w:pPr>
            <w:r w:rsidRPr="00111624">
              <w:t>Oil filled switches</w:t>
            </w:r>
          </w:p>
          <w:p w:rsidR="00000000" w:rsidP="00111624">
            <w:pPr>
              <w:pStyle w:val="BodyText"/>
              <w:rPr>
                <w:lang w:val="en-NZ"/>
              </w:rPr>
            </w:pPr>
            <w:r w:rsidRPr="00111624">
              <w:t>Air break switches</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624" w:rsidP="00111624">
            <w:pPr>
              <w:pStyle w:val="BodyText"/>
            </w:pPr>
            <w:r w:rsidRPr="00111624">
              <w:t>Transformers</w:t>
            </w:r>
          </w:p>
          <w:p w:rsidR="00000000" w:rsidRPr="00111624" w:rsidP="00111624">
            <w:pPr>
              <w:pStyle w:val="BodyText"/>
            </w:pPr>
            <w:r w:rsidRPr="00111624">
              <w:t>Reactors</w:t>
            </w:r>
          </w:p>
          <w:p w:rsidR="00000000" w:rsidRPr="00111624" w:rsidP="00111624">
            <w:pPr>
              <w:pStyle w:val="BodyText"/>
            </w:pPr>
            <w:r w:rsidRPr="00111624">
              <w:t>Regulators</w:t>
            </w:r>
          </w:p>
          <w:p w:rsidR="00000000" w:rsidRPr="00111624" w:rsidP="00111624">
            <w:pPr>
              <w:pStyle w:val="BodyText"/>
            </w:pPr>
            <w:r w:rsidRPr="00111624">
              <w:t>Capacitors</w:t>
            </w:r>
          </w:p>
          <w:p w:rsidR="00000000" w:rsidRPr="00111624" w:rsidP="00111624">
            <w:pPr>
              <w:pStyle w:val="BodyText"/>
            </w:pPr>
            <w:r w:rsidRPr="00111624">
              <w:t>Relays</w:t>
            </w:r>
          </w:p>
          <w:p w:rsidR="00000000" w:rsidP="00111624">
            <w:pPr>
              <w:pStyle w:val="BodyText"/>
              <w:rPr>
                <w:lang w:val="en-NZ"/>
              </w:rPr>
            </w:pPr>
            <w:r w:rsidRPr="00111624">
              <w:t>Line fault indicators</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Any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624" w:rsidP="00111624">
            <w:pPr>
              <w:pStyle w:val="BodyText"/>
            </w:pPr>
            <w:r w:rsidRPr="00111624">
              <w:t>Voltage detectors</w:t>
            </w:r>
          </w:p>
          <w:p w:rsidR="00000000" w:rsidRPr="00111624" w:rsidP="00111624">
            <w:pPr>
              <w:pStyle w:val="BodyText"/>
            </w:pPr>
            <w:r w:rsidRPr="00111624">
              <w:t>Phasing equipment</w:t>
            </w:r>
          </w:p>
          <w:p w:rsidR="00000000" w:rsidRPr="00111624" w:rsidP="00111624">
            <w:pPr>
              <w:pStyle w:val="BodyText"/>
            </w:pPr>
            <w:r w:rsidRPr="00111624">
              <w:t>Clip-on ammeters</w:t>
            </w:r>
          </w:p>
          <w:p w:rsidR="00000000" w:rsidRPr="00111624" w:rsidP="00111624">
            <w:pPr>
              <w:pStyle w:val="BodyText"/>
            </w:pPr>
            <w:r w:rsidRPr="00111624">
              <w:t>Insulation resistance testers</w:t>
            </w:r>
          </w:p>
          <w:p w:rsidR="00000000" w:rsidRPr="00111624" w:rsidP="00111624">
            <w:pPr>
              <w:pStyle w:val="BodyText"/>
            </w:pPr>
            <w:r w:rsidRPr="00111624">
              <w:t>Recording meters</w:t>
            </w:r>
          </w:p>
          <w:p w:rsidR="00000000" w:rsidP="00111624">
            <w:pPr>
              <w:pStyle w:val="BodyText"/>
              <w:rPr>
                <w:lang w:val="en-NZ"/>
              </w:rPr>
            </w:pPr>
            <w:r w:rsidRPr="00111624">
              <w:t>Earth resistance testers</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1624">
            <w:pPr>
              <w:pStyle w:val="BodyText"/>
              <w:rPr>
                <w:lang w:val="en-NZ"/>
              </w:rPr>
            </w:pPr>
            <w:r w:rsidRPr="0011162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1624" w:rsidP="00111624">
            <w:pPr>
              <w:pStyle w:val="BodyText"/>
            </w:pPr>
            <w:r w:rsidRPr="00111624">
              <w:t>Dealing with an unplanned event by drawing on essential knowledge and associated skills to provide appropriate solutions incorporated in the holistic assess</w:t>
            </w:r>
            <w:r w:rsidRPr="00111624">
              <w:t>ment with the above listed items.</w:t>
            </w:r>
          </w:p>
        </w:tc>
      </w:tr>
    </w:tbl>
    <w:p w:rsidR="00000000" w:rsidRPr="00111624" w:rsidP="00111624">
      <w:pPr>
        <w:pStyle w:val="BodyText"/>
      </w:pPr>
    </w:p>
    <w:tbl>
      <w:tblPr>
        <w:tblW w:w="0" w:type="auto"/>
        <w:tblLayout w:type="fixed"/>
        <w:tblCellMar>
          <w:left w:w="62" w:type="dxa"/>
          <w:right w:w="62" w:type="dxa"/>
        </w:tblCellMar>
        <w:tblLook w:val="0000"/>
      </w:tblPr>
      <w:tblGrid>
        <w:gridCol w:w="1890"/>
        <w:gridCol w:w="6570"/>
      </w:tblGrid>
      <w:tr w:rsidTr="00DF603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9.3)</w:t>
            </w:r>
          </w:p>
        </w:tc>
      </w:tr>
      <w:tr w:rsidTr="00DF603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This unit should be assessed as it relates to normal work practice using procedures, information and resources typical of a workplace. This should include:</w:t>
            </w:r>
          </w:p>
          <w:p w:rsidR="00000000" w:rsidRPr="00111624" w:rsidP="00111624">
            <w:pPr>
              <w:pStyle w:val="ListBullet"/>
            </w:pPr>
            <w:r w:rsidRPr="00111624">
              <w:t>OHS policy and work procedures and instructions.</w:t>
            </w:r>
          </w:p>
          <w:p w:rsidR="00000000" w:rsidRPr="00111624" w:rsidP="00111624">
            <w:pPr>
              <w:pStyle w:val="ListBullet"/>
            </w:pPr>
            <w:r w:rsidRPr="00111624">
              <w:t xml:space="preserve">Suitable work environment, facilities, equipment and materials to undertake actual maintenance of electrical equipment in the network infrastructure. </w:t>
            </w:r>
          </w:p>
          <w:p w:rsidR="00000000" w:rsidRPr="00111624" w:rsidP="00111624">
            <w:pPr>
              <w:pStyle w:val="BodyText"/>
            </w:pPr>
            <w:r w:rsidRPr="00111624">
              <w:t>In addition to the resources listed above, in Context of</w:t>
            </w:r>
            <w:r w:rsidRPr="00111624">
              <w:t xml:space="preserve"> and specific resources for assessment, evidence should show demonstrated competency working below ground, in limited spaces, with different structural/construction types and method and in a variety of environments.</w:t>
            </w:r>
          </w:p>
        </w:tc>
      </w:tr>
    </w:tbl>
    <w:p w:rsidR="00000000" w:rsidRPr="00111624" w:rsidP="00111624">
      <w:pPr>
        <w:pStyle w:val="BodyText"/>
      </w:pPr>
    </w:p>
    <w:tbl>
      <w:tblPr>
        <w:tblW w:w="0" w:type="auto"/>
        <w:tblLayout w:type="fixed"/>
        <w:tblCellMar>
          <w:left w:w="62" w:type="dxa"/>
          <w:right w:w="62" w:type="dxa"/>
        </w:tblCellMar>
        <w:tblLook w:val="0000"/>
      </w:tblPr>
      <w:tblGrid>
        <w:gridCol w:w="1890"/>
        <w:gridCol w:w="6570"/>
      </w:tblGrid>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9.4)</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This Competency Standard Unit shall be assessed by methods given in Volume 1, Part 3 “Assessment Guidelines”.</w:t>
            </w:r>
          </w:p>
          <w:p w:rsidR="00000000" w:rsidRPr="00111624" w:rsidP="00111624">
            <w:pPr>
              <w:pStyle w:val="BodyText"/>
            </w:pPr>
            <w:r w:rsidRPr="00111624">
              <w:t>Note:</w:t>
            </w:r>
          </w:p>
          <w:p w:rsidR="00000000" w:rsidRPr="00111624" w:rsidP="00111624">
            <w:pPr>
              <w:pStyle w:val="BodyText"/>
            </w:pPr>
            <w:r w:rsidRPr="00111624">
              <w:t xml:space="preserve">Competent performance with inherent safe working practices is expected in the Industry to which this Competency Standard Unit applies. This </w:t>
            </w:r>
            <w:r w:rsidRPr="00111624">
              <w:t>requires that the specified essential knowledge and associated skills are assessed in a structured environment which is primarily intended for learning/assessment and incorporates all necessary equipment and facilities for learners to develop and demonstra</w:t>
            </w:r>
            <w:r w:rsidRPr="00111624">
              <w:t>te the essential knowledge and associated skills described in this unit.</w:t>
            </w:r>
          </w:p>
        </w:tc>
      </w:tr>
    </w:tbl>
    <w:p w:rsidR="00000000" w:rsidRPr="00111624" w:rsidP="00111624">
      <w:pPr>
        <w:pStyle w:val="BodyText"/>
      </w:pPr>
    </w:p>
    <w:tbl>
      <w:tblPr>
        <w:tblW w:w="0" w:type="auto"/>
        <w:tblLayout w:type="fixed"/>
        <w:tblCellMar>
          <w:left w:w="62" w:type="dxa"/>
          <w:right w:w="62" w:type="dxa"/>
        </w:tblCellMar>
        <w:tblLook w:val="0000"/>
      </w:tblPr>
      <w:tblGrid>
        <w:gridCol w:w="1890"/>
        <w:gridCol w:w="6570"/>
      </w:tblGrid>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9.5)</w:t>
            </w:r>
          </w:p>
        </w:tc>
      </w:tr>
      <w:tr w:rsidTr="00DF60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There are no concurrent assessment recommendations for this unit.</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11" w:name="O_462450"/>
      <w:bookmarkEnd w:id="11"/>
      <w:r w:rsidRPr="00111624">
        <w:t>Range Statement</w:t>
      </w:r>
    </w:p>
    <w:tbl>
      <w:tblPr>
        <w:tblW w:w="0" w:type="auto"/>
        <w:tblLayout w:type="fixed"/>
        <w:tblCellMar>
          <w:left w:w="62" w:type="dxa"/>
          <w:right w:w="62" w:type="dxa"/>
        </w:tblCellMar>
        <w:tblLook w:val="0000"/>
      </w:tblPr>
      <w:tblGrid>
        <w:gridCol w:w="8460"/>
      </w:tblGrid>
      <w:tr w:rsidTr="00DF60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RANGE STATEMENT</w:t>
            </w:r>
          </w:p>
        </w:tc>
      </w:tr>
      <w:tr w:rsidTr="00DF60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10)</w:t>
            </w:r>
            <w:r w:rsidRPr="00111624">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111624" w:rsidP="00111624">
            <w:pPr>
              <w:pStyle w:val="BodyText"/>
            </w:pPr>
            <w:r w:rsidRPr="00111624">
              <w:t>This Competency Standard Un</w:t>
            </w:r>
            <w:r w:rsidRPr="00111624">
              <w:t xml:space="preserve">it shall be demonstrated in relation to the maintenance of overhead electrical equipment relevant to the transmission, distribution and rail networks. </w:t>
            </w:r>
          </w:p>
          <w:p w:rsidR="00000000" w:rsidRPr="00111624" w:rsidP="00111624">
            <w:pPr>
              <w:pStyle w:val="BodyText"/>
            </w:pPr>
            <w:r w:rsidRPr="00111624">
              <w:t>Maintenance may include the removal, repair and replacement of electrical equipment encompassing “like f</w:t>
            </w:r>
            <w:r w:rsidRPr="00111624">
              <w:t>or like” and associated hardware as well as the termination and/or connection of this equipment according to requirements and may include sampling of insulating oils. It also encompasses the identification of faults; the pre-commissioning tests involving t</w:t>
            </w:r>
            <w:r w:rsidRPr="00111624">
              <w:t>he equipment/system and the interpretation of these tests against agreed specifications. It excludes the energisation of the equipment maintained in a highly complex, interdependent and interconnected electricity supply Network system, where the affects of</w:t>
            </w:r>
            <w:r w:rsidRPr="00111624">
              <w:t xml:space="preserve"> unintended consequences on the system are high risk and appropriate personnel effect energisation.</w:t>
            </w:r>
          </w:p>
          <w:p w:rsidR="00000000" w:rsidRPr="00111624" w:rsidP="00111624">
            <w:pPr>
              <w:pStyle w:val="BodyText"/>
            </w:pPr>
            <w:r w:rsidRPr="00111624">
              <w:t>Electrical equipment and associated hardware may include relevant transmission or distribution linework/network; switchgear (e.g. reclosers, sectionalisers,</w:t>
            </w:r>
            <w:r w:rsidRPr="00111624">
              <w:t xml:space="preserve"> drop-out fuses, disconnectors, isolators, air break switches, gas filled switches, links, fuses, fuse switches and circuit breakers); transformers (e.g. padmount, pole-mounted and mobile); reactors; fault indicators; regulators; street lighting control po</w:t>
            </w:r>
            <w:r w:rsidRPr="00111624">
              <w:t>ints; capacitors; cables; underground/overhead cable terminations; underground cable joints; relays (simple); mobile generators and surge arrestors; support brackets and the like.</w:t>
            </w:r>
          </w:p>
          <w:p w:rsidR="00000000" w:rsidRPr="00111624" w:rsidP="00111624">
            <w:pPr>
              <w:pStyle w:val="BodyText"/>
            </w:pPr>
            <w:r w:rsidRPr="00111624">
              <w:t xml:space="preserve">Test and recording equipment includes voltage detectors, phasing equipment, </w:t>
            </w:r>
            <w:r w:rsidRPr="00111624">
              <w:t xml:space="preserve">tong ammeters, voltmeters, recording meters, insulation resistance testers and may include the, sampling of transformers, switchgear and cable insulating oil and tests for dielectric strength and moisture used for the purposes as intended and according to </w:t>
            </w:r>
            <w:r w:rsidRPr="00111624">
              <w:t>requirements, and does not include use of such in energising equipment and circuits in a highly complex, interdependent and interconnected electricity supply Network system, where the affects of unintended consequences on the system are high risk.</w:t>
            </w:r>
          </w:p>
          <w:p w:rsidR="00000000" w:rsidRPr="00111624" w:rsidP="00111624">
            <w:pPr>
              <w:pStyle w:val="BodyText"/>
            </w:pPr>
            <w:r w:rsidRPr="00111624">
              <w:t>Equipmen</w:t>
            </w:r>
            <w:r w:rsidRPr="00111624">
              <w:t>t may include Pump, filter press, hoses, pipes, soil kits, sample bottles, storage vessels etc.</w:t>
            </w:r>
          </w:p>
          <w:p w:rsidR="00000000" w:rsidRPr="00111624" w:rsidP="00111624">
            <w:pPr>
              <w:pStyle w:val="BodyText"/>
            </w:pPr>
            <w:r w:rsidRPr="00111624">
              <w:t xml:space="preserve">The following constants and variables included in the element/Performance Criteria in this unit are fully described in the Definitions Section 1 of this volume </w:t>
            </w:r>
            <w:r w:rsidRPr="00111624">
              <w:t>and form an integral part of the Range Statement of this unit:</w:t>
            </w:r>
          </w:p>
          <w:p w:rsidR="00000000" w:rsidRPr="00111624" w:rsidP="00111624">
            <w:pPr>
              <w:pStyle w:val="ListBullet3"/>
            </w:pPr>
            <w:r w:rsidRPr="00111624">
              <w:t>Appropriate and relevant persons (see Personnel)</w:t>
            </w:r>
          </w:p>
          <w:p w:rsidR="00000000" w:rsidRPr="00111624" w:rsidP="00111624">
            <w:pPr>
              <w:pStyle w:val="ListBullet3"/>
            </w:pPr>
            <w:r w:rsidRPr="00111624">
              <w:t>Appropriate authorities</w:t>
            </w:r>
          </w:p>
          <w:p w:rsidR="00000000" w:rsidRPr="00111624" w:rsidP="00111624">
            <w:pPr>
              <w:pStyle w:val="ListBullet3"/>
            </w:pPr>
            <w:r w:rsidRPr="00111624">
              <w:t>Appropriate work platform</w:t>
            </w:r>
          </w:p>
          <w:p w:rsidR="00000000" w:rsidRPr="00111624" w:rsidP="00111624">
            <w:pPr>
              <w:pStyle w:val="ListBullet3"/>
            </w:pPr>
            <w:r w:rsidRPr="00111624">
              <w:t>Assessing risk</w:t>
            </w:r>
          </w:p>
          <w:p w:rsidR="00000000" w:rsidRPr="00111624" w:rsidP="00111624">
            <w:pPr>
              <w:pStyle w:val="ListBullet3"/>
            </w:pPr>
            <w:r w:rsidRPr="00111624">
              <w:t>Assessment</w:t>
            </w:r>
          </w:p>
          <w:p w:rsidR="00000000" w:rsidRPr="00111624" w:rsidP="00111624">
            <w:pPr>
              <w:pStyle w:val="ListBullet3"/>
            </w:pPr>
            <w:r w:rsidRPr="00111624">
              <w:t>Authorisation</w:t>
            </w:r>
          </w:p>
          <w:p w:rsidR="00000000" w:rsidRPr="00111624" w:rsidP="00111624">
            <w:pPr>
              <w:pStyle w:val="ListBullet3"/>
            </w:pPr>
            <w:r w:rsidRPr="00111624">
              <w:t>Confined space</w:t>
            </w:r>
          </w:p>
          <w:p w:rsidR="00000000" w:rsidRPr="00111624" w:rsidP="00111624">
            <w:pPr>
              <w:pStyle w:val="ListBullet3"/>
            </w:pPr>
            <w:r w:rsidRPr="00111624">
              <w:t>Diagnostic, testing and restoration</w:t>
            </w:r>
          </w:p>
          <w:p w:rsidR="00000000" w:rsidRPr="00111624" w:rsidP="00111624">
            <w:pPr>
              <w:pStyle w:val="ListBullet3"/>
            </w:pPr>
            <w:r w:rsidRPr="00111624">
              <w:t>Documenting detail work events, record keeping and or storage of information</w:t>
            </w:r>
          </w:p>
          <w:p w:rsidR="00000000" w:rsidRPr="00111624" w:rsidP="00111624">
            <w:pPr>
              <w:pStyle w:val="ListBullet3"/>
            </w:pPr>
            <w:r w:rsidRPr="00111624">
              <w:t>Drawings and specifications</w:t>
            </w:r>
          </w:p>
          <w:p w:rsidR="00000000" w:rsidRPr="00111624" w:rsidP="00111624">
            <w:pPr>
              <w:pStyle w:val="ListBullet3"/>
            </w:pPr>
            <w:r w:rsidRPr="00111624">
              <w:t>Emergency</w:t>
            </w:r>
          </w:p>
          <w:p w:rsidR="00000000" w:rsidRPr="00111624" w:rsidP="00111624">
            <w:pPr>
              <w:pStyle w:val="ListBullet3"/>
            </w:pPr>
            <w:r w:rsidRPr="00111624">
              <w:t>Environmental and sustainable energy procedures</w:t>
            </w:r>
          </w:p>
          <w:p w:rsidR="00000000" w:rsidRPr="00111624" w:rsidP="00111624">
            <w:pPr>
              <w:pStyle w:val="ListBullet3"/>
            </w:pPr>
            <w:r w:rsidRPr="00111624">
              <w:t>Environmental legislation</w:t>
            </w:r>
          </w:p>
          <w:p w:rsidR="00000000" w:rsidRPr="00111624" w:rsidP="00111624">
            <w:pPr>
              <w:pStyle w:val="ListBullet3"/>
            </w:pPr>
            <w:r w:rsidRPr="00111624">
              <w:t>Environmental management documentation</w:t>
            </w:r>
          </w:p>
          <w:p w:rsidR="00000000" w:rsidRPr="00111624" w:rsidP="00111624">
            <w:pPr>
              <w:pStyle w:val="ListBullet3"/>
            </w:pPr>
            <w:r w:rsidRPr="00111624">
              <w:t>Established procedures</w:t>
            </w:r>
          </w:p>
          <w:p w:rsidR="00000000" w:rsidRPr="00111624" w:rsidP="00111624">
            <w:pPr>
              <w:pStyle w:val="ListBullet3"/>
            </w:pPr>
            <w:r w:rsidRPr="00111624">
              <w:t xml:space="preserve">Fall </w:t>
            </w:r>
            <w:r w:rsidRPr="00111624">
              <w:t>prevention</w:t>
            </w:r>
          </w:p>
          <w:p w:rsidR="00000000" w:rsidRPr="00111624" w:rsidP="00111624">
            <w:pPr>
              <w:pStyle w:val="ListBullet3"/>
            </w:pPr>
            <w:r w:rsidRPr="00111624">
              <w:t>Hazards</w:t>
            </w:r>
          </w:p>
          <w:p w:rsidR="00000000" w:rsidRPr="00111624" w:rsidP="00111624">
            <w:pPr>
              <w:pStyle w:val="ListBullet3"/>
            </w:pPr>
            <w:r w:rsidRPr="00111624">
              <w:t>Identifying hazards</w:t>
            </w:r>
          </w:p>
          <w:p w:rsidR="00000000" w:rsidRPr="00111624" w:rsidP="00111624">
            <w:pPr>
              <w:pStyle w:val="ListBullet3"/>
            </w:pPr>
            <w:r w:rsidRPr="00111624">
              <w:t>Inspect</w:t>
            </w:r>
          </w:p>
          <w:p w:rsidR="00000000" w:rsidRPr="00111624" w:rsidP="00111624">
            <w:pPr>
              <w:pStyle w:val="ListBullet3"/>
            </w:pPr>
            <w:r w:rsidRPr="00111624">
              <w:t>Legislation</w:t>
            </w:r>
          </w:p>
          <w:p w:rsidR="00000000" w:rsidRPr="00111624" w:rsidP="00111624">
            <w:pPr>
              <w:pStyle w:val="ListBullet3"/>
            </w:pPr>
            <w:r w:rsidRPr="00111624">
              <w:t>MSDS</w:t>
            </w:r>
          </w:p>
          <w:p w:rsidR="00000000" w:rsidRPr="00111624" w:rsidP="00111624">
            <w:pPr>
              <w:pStyle w:val="ListBullet3"/>
            </w:pPr>
            <w:r w:rsidRPr="00111624">
              <w:t>Notification</w:t>
            </w:r>
          </w:p>
          <w:p w:rsidR="00000000" w:rsidRPr="00111624" w:rsidP="00111624">
            <w:pPr>
              <w:pStyle w:val="ListBullet3"/>
            </w:pPr>
            <w:r w:rsidRPr="00111624">
              <w:t>OHS practices</w:t>
            </w:r>
          </w:p>
          <w:p w:rsidR="00000000" w:rsidRPr="00111624" w:rsidP="00111624">
            <w:pPr>
              <w:pStyle w:val="ListBullet3"/>
            </w:pPr>
            <w:r w:rsidRPr="00111624">
              <w:t>OHS issues</w:t>
            </w:r>
          </w:p>
          <w:p w:rsidR="00000000" w:rsidRPr="00111624" w:rsidP="00111624">
            <w:pPr>
              <w:pStyle w:val="ListBullet3"/>
            </w:pPr>
            <w:r w:rsidRPr="00111624">
              <w:t>Permits and/or permits to work</w:t>
            </w:r>
          </w:p>
          <w:p w:rsidR="00000000" w:rsidRPr="00111624" w:rsidP="00111624">
            <w:pPr>
              <w:pStyle w:val="ListBullet3"/>
            </w:pPr>
            <w:r w:rsidRPr="00111624">
              <w:t>Personnel</w:t>
            </w:r>
          </w:p>
          <w:p w:rsidR="00000000" w:rsidRPr="00111624" w:rsidP="00111624">
            <w:pPr>
              <w:pStyle w:val="ListBullet3"/>
            </w:pPr>
            <w:r w:rsidRPr="00111624">
              <w:t>Quality assurance systems</w:t>
            </w:r>
          </w:p>
          <w:p w:rsidR="00000000" w:rsidRPr="00111624" w:rsidP="00111624">
            <w:pPr>
              <w:pStyle w:val="ListBullet3"/>
            </w:pPr>
            <w:r w:rsidRPr="00111624">
              <w:t>Requirements</w:t>
            </w:r>
          </w:p>
          <w:p w:rsidR="00000000" w:rsidRPr="00111624" w:rsidP="00111624">
            <w:pPr>
              <w:pStyle w:val="ListBullet3"/>
            </w:pPr>
            <w:r w:rsidRPr="00111624">
              <w:t>Testing procedures</w:t>
            </w:r>
          </w:p>
          <w:p w:rsidR="00000000" w:rsidRPr="00111624" w:rsidP="00111624">
            <w:pPr>
              <w:pStyle w:val="ListBullet3"/>
            </w:pPr>
            <w:r w:rsidRPr="00111624">
              <w:t>Work clearance systems</w:t>
            </w:r>
          </w:p>
        </w:tc>
      </w:tr>
    </w:tbl>
    <w:p w:rsidR="00000000" w:rsidRPr="00111624" w:rsidP="00111624">
      <w:pPr>
        <w:pStyle w:val="BodyText"/>
      </w:pPr>
    </w:p>
    <w:p w:rsidR="00000000" w:rsidRPr="00111624" w:rsidP="00111624">
      <w:pPr>
        <w:pStyle w:val="AllowPageBreak"/>
      </w:pPr>
    </w:p>
    <w:p w:rsidR="00000000" w:rsidRPr="00111624" w:rsidP="00111624">
      <w:pPr>
        <w:pStyle w:val="Heading1"/>
      </w:pPr>
      <w:bookmarkStart w:id="12" w:name="O_462453"/>
      <w:bookmarkEnd w:id="12"/>
      <w:r w:rsidRPr="00111624">
        <w:t>Unit Sector(s)</w:t>
      </w:r>
    </w:p>
    <w:p w:rsidR="00000000" w:rsidRPr="00111624" w:rsidP="00111624">
      <w:pPr>
        <w:pStyle w:val="BodyText"/>
      </w:pPr>
      <w:r w:rsidRPr="00111624">
        <w:t>Not applicable.</w:t>
      </w:r>
    </w:p>
    <w:p w:rsidR="00000000" w:rsidRPr="00111624" w:rsidP="00111624">
      <w:pPr>
        <w:pStyle w:val="AllowPageBreak"/>
      </w:pPr>
    </w:p>
    <w:p w:rsidR="00000000" w:rsidRPr="00111624" w:rsidP="00111624">
      <w:pPr>
        <w:pStyle w:val="Heading1"/>
      </w:pPr>
      <w:bookmarkStart w:id="13" w:name="O_462442"/>
      <w:bookmarkEnd w:id="13"/>
      <w:r w:rsidRPr="00111624">
        <w:t>Competency Field</w:t>
      </w:r>
    </w:p>
    <w:tbl>
      <w:tblPr>
        <w:tblW w:w="0" w:type="auto"/>
        <w:tblLayout w:type="fixed"/>
        <w:tblCellMar>
          <w:left w:w="62" w:type="dxa"/>
          <w:right w:w="62" w:type="dxa"/>
        </w:tblCellMar>
        <w:tblLook w:val="0000"/>
      </w:tblPr>
      <w:tblGrid>
        <w:gridCol w:w="2700"/>
        <w:gridCol w:w="5760"/>
      </w:tblGrid>
      <w:tr w:rsidTr="00DF60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1624">
            <w:pPr>
              <w:pStyle w:val="BodyText"/>
              <w:rPr>
                <w:lang w:val="en-NZ"/>
              </w:rPr>
            </w:pPr>
            <w:r w:rsidRPr="00111624">
              <w:rPr>
                <w:rStyle w:val="SpecialBold"/>
              </w:rPr>
              <w:t xml:space="preserve">11) </w:t>
            </w:r>
          </w:p>
        </w:tc>
      </w:tr>
      <w:tr w:rsidTr="00DF60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1624" w:rsidP="00111624">
            <w:pPr>
              <w:pStyle w:val="BodyText"/>
            </w:pPr>
            <w:r w:rsidRPr="00111624">
              <w:t>Industry Specific Cross-Discipline Units</w:t>
            </w:r>
          </w:p>
        </w:tc>
      </w:tr>
    </w:tbl>
    <w:p w:rsidR="00000000" w:rsidRPr="00111624" w:rsidP="00111624">
      <w:pPr>
        <w:pStyle w:val="BodyText"/>
      </w:pPr>
    </w:p>
    <w:p w:rsidR="00000000" w:rsidRPr="00111624" w:rsidP="00111624"/>
    <w:sectPr w:rsidSect="001116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031" w:rsidP="00DF6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031" w:rsidP="00111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F6031" w:rsidP="001116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F6031" w:rsidP="001116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031" w:rsidP="00DF60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031" w:rsidP="00111624">
    <w:pPr>
      <w:pStyle w:val="Header"/>
      <w:framePr w:wrap="around"/>
    </w:pPr>
    <w:r>
      <w:fldChar w:fldCharType="begin"/>
    </w:r>
    <w:r>
      <w:instrText xml:space="preserve"> TITLE   \* MERGEFORMAT </w:instrText>
    </w:r>
    <w:r>
      <w:fldChar w:fldCharType="separate"/>
    </w:r>
    <w:r>
      <w:t>UETTDRIS42A Maintain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6031" w:rsidP="001116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40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0E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54B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6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1624"/>
    <w:pPr>
      <w:spacing w:before="360" w:after="60"/>
      <w:outlineLvl w:val="0"/>
    </w:pPr>
    <w:rPr>
      <w:sz w:val="32"/>
    </w:rPr>
  </w:style>
  <w:style w:type="paragraph" w:styleId="Heading2">
    <w:name w:val="heading 2"/>
    <w:basedOn w:val="HeadingBase"/>
    <w:next w:val="BodyText"/>
    <w:link w:val="Heading2Char"/>
    <w:qFormat/>
    <w:rsid w:val="00111624"/>
    <w:pPr>
      <w:keepLines/>
      <w:spacing w:before="240" w:after="120"/>
      <w:outlineLvl w:val="1"/>
    </w:pPr>
    <w:rPr>
      <w:sz w:val="28"/>
      <w:szCs w:val="40"/>
    </w:rPr>
  </w:style>
  <w:style w:type="paragraph" w:styleId="Heading3">
    <w:name w:val="heading 3"/>
    <w:basedOn w:val="HeadingBase"/>
    <w:next w:val="BodyText"/>
    <w:link w:val="Heading3Char"/>
    <w:qFormat/>
    <w:rsid w:val="00111624"/>
    <w:pPr>
      <w:spacing w:before="180" w:after="120"/>
      <w:outlineLvl w:val="2"/>
    </w:pPr>
    <w:rPr>
      <w:spacing w:val="-10"/>
      <w:kern w:val="32"/>
    </w:rPr>
  </w:style>
  <w:style w:type="paragraph" w:styleId="Heading4">
    <w:name w:val="heading 4"/>
    <w:basedOn w:val="HeadingBase"/>
    <w:next w:val="BodyText"/>
    <w:link w:val="Heading4Char"/>
    <w:qFormat/>
    <w:rsid w:val="00111624"/>
    <w:pPr>
      <w:spacing w:before="160" w:after="120"/>
      <w:outlineLvl w:val="3"/>
    </w:pPr>
    <w:rPr>
      <w:sz w:val="22"/>
    </w:rPr>
  </w:style>
  <w:style w:type="paragraph" w:styleId="Heading5">
    <w:name w:val="heading 5"/>
    <w:basedOn w:val="HeadingBase"/>
    <w:next w:val="Normal"/>
    <w:link w:val="Heading5Char"/>
    <w:qFormat/>
    <w:rsid w:val="00111624"/>
    <w:pPr>
      <w:spacing w:before="80"/>
      <w:outlineLvl w:val="4"/>
    </w:pPr>
    <w:rPr>
      <w:color w:val="918585"/>
      <w:sz w:val="20"/>
    </w:rPr>
  </w:style>
  <w:style w:type="paragraph" w:styleId="Heading6">
    <w:name w:val="heading 6"/>
    <w:basedOn w:val="HeadingBase"/>
    <w:next w:val="Normal"/>
    <w:link w:val="Heading6Char"/>
    <w:qFormat/>
    <w:rsid w:val="00111624"/>
    <w:pPr>
      <w:spacing w:before="60"/>
      <w:outlineLvl w:val="5"/>
    </w:pPr>
    <w:rPr>
      <w:color w:val="918585"/>
      <w:sz w:val="20"/>
    </w:rPr>
  </w:style>
  <w:style w:type="paragraph" w:styleId="Heading7">
    <w:name w:val="heading 7"/>
    <w:basedOn w:val="Normal"/>
    <w:next w:val="Normal"/>
    <w:link w:val="Heading7Char"/>
    <w:qFormat/>
    <w:rsid w:val="00111624"/>
    <w:pPr>
      <w:ind w:left="720"/>
      <w:outlineLvl w:val="6"/>
    </w:pPr>
    <w:rPr>
      <w:i/>
    </w:rPr>
  </w:style>
  <w:style w:type="paragraph" w:styleId="Heading8">
    <w:name w:val="heading 8"/>
    <w:basedOn w:val="Normal"/>
    <w:next w:val="Normal"/>
    <w:link w:val="Heading8Char"/>
    <w:qFormat/>
    <w:rsid w:val="00111624"/>
    <w:pPr>
      <w:ind w:left="720"/>
      <w:outlineLvl w:val="7"/>
    </w:pPr>
    <w:rPr>
      <w:i/>
    </w:rPr>
  </w:style>
  <w:style w:type="paragraph" w:styleId="Heading9">
    <w:name w:val="heading 9"/>
    <w:basedOn w:val="Normal"/>
    <w:next w:val="Normal"/>
    <w:link w:val="Heading9Char"/>
    <w:qFormat/>
    <w:rsid w:val="00111624"/>
    <w:pPr>
      <w:ind w:left="720"/>
      <w:outlineLvl w:val="8"/>
    </w:pPr>
    <w:rPr>
      <w:i/>
    </w:rPr>
  </w:style>
  <w:style w:type="character" w:default="1" w:styleId="DefaultParagraphFont">
    <w:name w:val="Default Paragraph Font"/>
    <w:uiPriority w:val="1"/>
    <w:unhideWhenUsed/>
    <w:rsid w:val="00111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624"/>
  </w:style>
  <w:style w:type="character" w:customStyle="1" w:styleId="Heading1Char">
    <w:name w:val="Heading 1 Char"/>
    <w:basedOn w:val="DefaultParagraphFont"/>
    <w:link w:val="Heading1"/>
    <w:rsid w:val="00111624"/>
    <w:rPr>
      <w:rFonts w:ascii="Times New Roman" w:eastAsia="Times New Roman" w:hAnsi="Times New Roman" w:cs="Times New Roman"/>
      <w:b/>
      <w:sz w:val="32"/>
      <w:szCs w:val="20"/>
      <w:lang w:eastAsia="en-US"/>
    </w:rPr>
  </w:style>
  <w:style w:type="paragraph" w:styleId="BodyText">
    <w:name w:val="Body Text"/>
    <w:basedOn w:val="Normal"/>
    <w:link w:val="BodyTextChar"/>
    <w:rsid w:val="001116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1624"/>
    <w:rPr>
      <w:rFonts w:ascii="Times New Roman" w:eastAsia="Times New Roman" w:hAnsi="Times New Roman" w:cs="Times New Roman"/>
      <w:sz w:val="24"/>
      <w:lang w:val="en-US" w:eastAsia="en-US"/>
    </w:rPr>
  </w:style>
  <w:style w:type="paragraph" w:styleId="Footer">
    <w:name w:val="footer"/>
    <w:basedOn w:val="Normal"/>
    <w:link w:val="FooterChar"/>
    <w:rsid w:val="00111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624"/>
    <w:rPr>
      <w:rFonts w:ascii="Times New Roman" w:eastAsia="Times New Roman" w:hAnsi="Times New Roman" w:cs="Times New Roman"/>
      <w:sz w:val="16"/>
      <w:lang w:val="en-US" w:eastAsia="en-US"/>
    </w:rPr>
  </w:style>
  <w:style w:type="paragraph" w:styleId="ListBullet">
    <w:name w:val="List Bullet"/>
    <w:basedOn w:val="List"/>
    <w:rsid w:val="00111624"/>
    <w:pPr>
      <w:numPr>
        <w:numId w:val="14"/>
      </w:numPr>
      <w:tabs>
        <w:tab w:val="clear" w:pos="340"/>
      </w:tabs>
      <w:spacing w:before="40" w:after="40"/>
    </w:pPr>
  </w:style>
  <w:style w:type="character" w:customStyle="1" w:styleId="SpecialBold">
    <w:name w:val="Special Bold"/>
    <w:basedOn w:val="DefaultParagraphFont"/>
    <w:rsid w:val="00111624"/>
    <w:rPr>
      <w:b/>
      <w:spacing w:val="0"/>
    </w:rPr>
  </w:style>
  <w:style w:type="paragraph" w:styleId="ListBullet2">
    <w:name w:val="List Bullet 2"/>
    <w:basedOn w:val="List2"/>
    <w:rsid w:val="00111624"/>
    <w:pPr>
      <w:numPr>
        <w:numId w:val="15"/>
      </w:numPr>
      <w:tabs>
        <w:tab w:val="clear" w:pos="680"/>
      </w:tabs>
    </w:pPr>
  </w:style>
  <w:style w:type="paragraph" w:styleId="Header">
    <w:name w:val="header"/>
    <w:basedOn w:val="Normal"/>
    <w:link w:val="HeaderChar"/>
    <w:rsid w:val="00111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6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1624"/>
    <w:pPr>
      <w:spacing w:before="240" w:after="120"/>
      <w:outlineLvl w:val="0"/>
    </w:pPr>
    <w:rPr>
      <w:rFonts w:ascii="Times New Roman" w:hAnsi="Times New Roman"/>
      <w:b/>
      <w:sz w:val="28"/>
    </w:rPr>
  </w:style>
  <w:style w:type="paragraph" w:customStyle="1" w:styleId="AllowPageBreak">
    <w:name w:val="AllowPageBreak"/>
    <w:rsid w:val="001116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1624"/>
    <w:pPr>
      <w:numPr>
        <w:numId w:val="3"/>
      </w:numPr>
      <w:tabs>
        <w:tab w:val="clear" w:pos="1021"/>
      </w:tabs>
      <w:ind w:left="1037" w:hanging="357"/>
    </w:pPr>
  </w:style>
  <w:style w:type="character" w:customStyle="1" w:styleId="Heading2Char">
    <w:name w:val="Heading 2 Char"/>
    <w:basedOn w:val="DefaultParagraphFont"/>
    <w:link w:val="Heading2"/>
    <w:rsid w:val="00111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6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16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1624"/>
    <w:rPr>
      <w:rFonts w:ascii="Courier New" w:eastAsia="Times New Roman" w:hAnsi="Courier New" w:cs="Times New Roman"/>
      <w:i/>
      <w:szCs w:val="20"/>
      <w:lang w:val="en-US" w:eastAsia="en-US"/>
    </w:rPr>
  </w:style>
  <w:style w:type="paragraph" w:customStyle="1" w:styleId="HeadingBase">
    <w:name w:val="Heading Base"/>
    <w:rsid w:val="00111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624"/>
    <w:pPr>
      <w:tabs>
        <w:tab w:val="right" w:leader="dot" w:pos="9072"/>
      </w:tabs>
      <w:ind w:left="567"/>
    </w:pPr>
    <w:rPr>
      <w:szCs w:val="22"/>
    </w:rPr>
  </w:style>
  <w:style w:type="paragraph" w:customStyle="1" w:styleId="TOCBase">
    <w:name w:val="TOC Base"/>
    <w:rsid w:val="00111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624"/>
    <w:pPr>
      <w:tabs>
        <w:tab w:val="right" w:leader="dot" w:pos="9072"/>
      </w:tabs>
      <w:spacing w:before="40" w:after="40"/>
      <w:ind w:left="284"/>
    </w:pPr>
    <w:rPr>
      <w:rFonts w:ascii="Times New Roman" w:hAnsi="Times New Roman"/>
    </w:rPr>
  </w:style>
  <w:style w:type="paragraph" w:styleId="TOC1">
    <w:name w:val="toc 1"/>
    <w:basedOn w:val="TOCBase"/>
    <w:next w:val="Normal"/>
    <w:rsid w:val="001116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1624"/>
    <w:pPr>
      <w:spacing w:before="5040"/>
      <w:jc w:val="center"/>
    </w:pPr>
    <w:rPr>
      <w:sz w:val="48"/>
      <w:szCs w:val="72"/>
      <w:lang w:val="en-US"/>
    </w:rPr>
  </w:style>
  <w:style w:type="character" w:customStyle="1" w:styleId="TitleChar">
    <w:name w:val="Title Char"/>
    <w:basedOn w:val="DefaultParagraphFont"/>
    <w:link w:val="Title"/>
    <w:rsid w:val="00111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624"/>
    <w:pPr>
      <w:tabs>
        <w:tab w:val="left" w:pos="3600"/>
        <w:tab w:val="left" w:pos="3958"/>
      </w:tabs>
    </w:pPr>
  </w:style>
  <w:style w:type="paragraph" w:styleId="List">
    <w:name w:val="List"/>
    <w:basedOn w:val="BodyText"/>
    <w:next w:val="BodyText"/>
    <w:rsid w:val="00111624"/>
    <w:pPr>
      <w:tabs>
        <w:tab w:val="left" w:pos="340"/>
      </w:tabs>
      <w:spacing w:before="60" w:after="60"/>
      <w:ind w:left="340" w:hanging="340"/>
    </w:pPr>
  </w:style>
  <w:style w:type="paragraph" w:customStyle="1" w:styleId="Note">
    <w:name w:val="Note"/>
    <w:basedOn w:val="BodyText"/>
    <w:rsid w:val="00111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624"/>
    <w:pPr>
      <w:framePr w:wrap="auto" w:hAnchor="text" w:y="6049"/>
    </w:pPr>
    <w:rPr>
      <w:color w:val="000000"/>
      <w:sz w:val="40"/>
    </w:rPr>
  </w:style>
  <w:style w:type="paragraph" w:customStyle="1" w:styleId="TOCTitle">
    <w:name w:val="TOCTitle"/>
    <w:basedOn w:val="Heading1"/>
    <w:rsid w:val="00111624"/>
    <w:pPr>
      <w:spacing w:after="240"/>
      <w:jc w:val="center"/>
      <w:outlineLvl w:val="9"/>
    </w:pPr>
    <w:rPr>
      <w:caps/>
    </w:rPr>
  </w:style>
  <w:style w:type="paragraph" w:customStyle="1" w:styleId="Version">
    <w:name w:val="Version"/>
    <w:rsid w:val="00111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1624"/>
    <w:pPr>
      <w:keepNext w:val="0"/>
      <w:tabs>
        <w:tab w:val="right" w:pos="4176"/>
      </w:tabs>
      <w:ind w:left="198" w:hanging="198"/>
    </w:pPr>
    <w:rPr>
      <w:rFonts w:ascii="Garamond" w:hAnsi="Garamond"/>
    </w:rPr>
  </w:style>
  <w:style w:type="paragraph" w:styleId="IndexHeading">
    <w:name w:val="index heading"/>
    <w:basedOn w:val="Normal"/>
    <w:next w:val="Index1"/>
    <w:semiHidden/>
    <w:rsid w:val="00111624"/>
    <w:pPr>
      <w:spacing w:before="120" w:after="120"/>
    </w:pPr>
    <w:rPr>
      <w:rFonts w:ascii="Arial" w:hAnsi="Arial"/>
      <w:b/>
      <w:color w:val="918585"/>
      <w:sz w:val="24"/>
    </w:rPr>
  </w:style>
  <w:style w:type="paragraph" w:customStyle="1" w:styleId="Chapter">
    <w:name w:val="Chapter"/>
    <w:basedOn w:val="Normal"/>
    <w:rsid w:val="00111624"/>
    <w:pPr>
      <w:spacing w:before="240"/>
    </w:pPr>
    <w:rPr>
      <w:rFonts w:ascii="Times New Roman" w:hAnsi="Times New Roman"/>
      <w:smallCaps/>
      <w:spacing w:val="80"/>
      <w:sz w:val="28"/>
    </w:rPr>
  </w:style>
  <w:style w:type="paragraph" w:customStyle="1" w:styleId="InChapter">
    <w:name w:val="InChapter"/>
    <w:basedOn w:val="Heading3"/>
    <w:rsid w:val="00111624"/>
    <w:pPr>
      <w:spacing w:after="240"/>
      <w:outlineLvl w:val="9"/>
    </w:pPr>
    <w:rPr>
      <w:noProof/>
    </w:rPr>
  </w:style>
  <w:style w:type="paragraph" w:styleId="Index2">
    <w:name w:val="index 2"/>
    <w:basedOn w:val="Normal"/>
    <w:next w:val="Normal"/>
    <w:semiHidden/>
    <w:rsid w:val="00111624"/>
    <w:pPr>
      <w:tabs>
        <w:tab w:val="right" w:pos="4176"/>
      </w:tabs>
      <w:ind w:left="568" w:hanging="284"/>
    </w:pPr>
    <w:rPr>
      <w:rFonts w:ascii="Garamond" w:hAnsi="Garamond"/>
    </w:rPr>
  </w:style>
  <w:style w:type="paragraph" w:customStyle="1" w:styleId="Byline">
    <w:name w:val="Byline"/>
    <w:rsid w:val="00111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624"/>
    <w:pPr>
      <w:tabs>
        <w:tab w:val="clear" w:pos="3600"/>
        <w:tab w:val="clear" w:pos="3958"/>
      </w:tabs>
      <w:jc w:val="right"/>
    </w:pPr>
  </w:style>
  <w:style w:type="character" w:styleId="Emphasis">
    <w:name w:val="Emphasis"/>
    <w:basedOn w:val="DefaultParagraphFont"/>
    <w:qFormat/>
    <w:rsid w:val="00111624"/>
    <w:rPr>
      <w:i/>
    </w:rPr>
  </w:style>
  <w:style w:type="paragraph" w:styleId="Caption">
    <w:name w:val="caption"/>
    <w:basedOn w:val="BodyText"/>
    <w:next w:val="Normal"/>
    <w:qFormat/>
    <w:rsid w:val="00111624"/>
    <w:pPr>
      <w:framePr w:w="2268" w:hSpace="181" w:vSpace="181" w:wrap="around" w:vAnchor="text" w:hAnchor="page" w:x="1135" w:y="285" w:anchorLock="1"/>
    </w:pPr>
    <w:rPr>
      <w:i/>
    </w:rPr>
  </w:style>
  <w:style w:type="paragraph" w:customStyle="1" w:styleId="MiniTOCTitle">
    <w:name w:val="MiniTOCTitle"/>
    <w:basedOn w:val="Heading4"/>
    <w:rsid w:val="00111624"/>
    <w:pPr>
      <w:spacing w:before="240"/>
      <w:outlineLvl w:val="9"/>
    </w:pPr>
    <w:rPr>
      <w:noProof/>
      <w:sz w:val="24"/>
    </w:rPr>
  </w:style>
  <w:style w:type="paragraph" w:customStyle="1" w:styleId="MiniTOCItem">
    <w:name w:val="MiniTOCItem"/>
    <w:basedOn w:val="ListBullet"/>
    <w:rsid w:val="00111624"/>
    <w:pPr>
      <w:numPr>
        <w:numId w:val="0"/>
      </w:numPr>
      <w:tabs>
        <w:tab w:val="right" w:leader="dot" w:pos="6521"/>
      </w:tabs>
      <w:spacing w:before="0" w:after="0"/>
    </w:pPr>
  </w:style>
  <w:style w:type="paragraph" w:customStyle="1" w:styleId="TOFTitle">
    <w:name w:val="TOFTitle"/>
    <w:basedOn w:val="TOCTitle"/>
    <w:rsid w:val="00111624"/>
  </w:style>
  <w:style w:type="paragraph" w:styleId="TableofFigures">
    <w:name w:val="table of figures"/>
    <w:basedOn w:val="Normal"/>
    <w:next w:val="Normal"/>
    <w:semiHidden/>
    <w:rsid w:val="00111624"/>
    <w:pPr>
      <w:tabs>
        <w:tab w:val="right" w:leader="dot" w:pos="9072"/>
      </w:tabs>
      <w:ind w:left="970" w:hanging="403"/>
    </w:pPr>
    <w:rPr>
      <w:rFonts w:ascii="Times New Roman" w:hAnsi="Times New Roman"/>
      <w:b/>
    </w:rPr>
  </w:style>
  <w:style w:type="paragraph" w:styleId="ListNumber">
    <w:name w:val="List Number"/>
    <w:basedOn w:val="List"/>
    <w:rsid w:val="00111624"/>
    <w:pPr>
      <w:numPr>
        <w:numId w:val="12"/>
      </w:numPr>
    </w:pPr>
  </w:style>
  <w:style w:type="character" w:customStyle="1" w:styleId="WingdingSymbols">
    <w:name w:val="Wingding Symbols"/>
    <w:rsid w:val="00111624"/>
    <w:rPr>
      <w:rFonts w:ascii="Wingdings" w:hAnsi="Wingdings"/>
    </w:rPr>
  </w:style>
  <w:style w:type="paragraph" w:customStyle="1" w:styleId="TableHeading">
    <w:name w:val="Table Heading"/>
    <w:basedOn w:val="HeadingBase"/>
    <w:rsid w:val="00111624"/>
    <w:pPr>
      <w:keepLines/>
      <w:pBdr>
        <w:bottom w:val="single" w:sz="6" w:space="1" w:color="918585"/>
      </w:pBdr>
      <w:spacing w:before="240"/>
    </w:pPr>
  </w:style>
  <w:style w:type="character" w:customStyle="1" w:styleId="HotSpot">
    <w:name w:val="HotSpot"/>
    <w:rsid w:val="00111624"/>
    <w:rPr>
      <w:color w:val="0033CC"/>
      <w:u w:val="none"/>
    </w:rPr>
  </w:style>
  <w:style w:type="paragraph" w:customStyle="1" w:styleId="BodyTextRight">
    <w:name w:val="Body Text Right"/>
    <w:basedOn w:val="BodyText"/>
    <w:rsid w:val="00111624"/>
    <w:pPr>
      <w:spacing w:before="0" w:after="0"/>
      <w:jc w:val="right"/>
    </w:pPr>
  </w:style>
  <w:style w:type="paragraph" w:styleId="Index3">
    <w:name w:val="index 3"/>
    <w:basedOn w:val="ListNumber2"/>
    <w:next w:val="Normal"/>
    <w:semiHidden/>
    <w:rsid w:val="00111624"/>
    <w:pPr>
      <w:numPr>
        <w:numId w:val="0"/>
      </w:numPr>
      <w:tabs>
        <w:tab w:val="right" w:leader="dot" w:pos="4176"/>
      </w:tabs>
    </w:pPr>
  </w:style>
  <w:style w:type="paragraph" w:styleId="ListNumber2">
    <w:name w:val="List Number 2"/>
    <w:basedOn w:val="List2"/>
    <w:rsid w:val="00111624"/>
    <w:pPr>
      <w:numPr>
        <w:numId w:val="11"/>
      </w:numPr>
      <w:tabs>
        <w:tab w:val="clear" w:pos="1060"/>
      </w:tabs>
    </w:pPr>
  </w:style>
  <w:style w:type="paragraph" w:customStyle="1" w:styleId="MarginNote">
    <w:name w:val="Margin Note"/>
    <w:basedOn w:val="BodyText"/>
    <w:rsid w:val="00111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6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1624"/>
    <w:rPr>
      <w:sz w:val="32"/>
    </w:rPr>
  </w:style>
  <w:style w:type="paragraph" w:customStyle="1" w:styleId="HeadingProcedure">
    <w:name w:val="Heading Procedure"/>
    <w:basedOn w:val="HeadingBase"/>
    <w:next w:val="Normal"/>
    <w:rsid w:val="00111624"/>
    <w:pPr>
      <w:tabs>
        <w:tab w:val="left" w:pos="0"/>
      </w:tabs>
      <w:spacing w:before="120" w:after="60"/>
    </w:pPr>
    <w:rPr>
      <w:i/>
      <w:color w:val="918585"/>
      <w:sz w:val="22"/>
    </w:rPr>
  </w:style>
  <w:style w:type="paragraph" w:customStyle="1" w:styleId="TableBodyText">
    <w:name w:val="Table Body Text"/>
    <w:basedOn w:val="BodyText"/>
    <w:rsid w:val="00111624"/>
    <w:pPr>
      <w:spacing w:before="60" w:after="60"/>
    </w:pPr>
  </w:style>
  <w:style w:type="paragraph" w:styleId="ListContinue">
    <w:name w:val="List Continue"/>
    <w:basedOn w:val="List"/>
    <w:rsid w:val="00111624"/>
    <w:pPr>
      <w:ind w:firstLine="0"/>
    </w:pPr>
  </w:style>
  <w:style w:type="paragraph" w:customStyle="1" w:styleId="ListNote">
    <w:name w:val="List Note"/>
    <w:basedOn w:val="List"/>
    <w:rsid w:val="00111624"/>
    <w:pPr>
      <w:pBdr>
        <w:top w:val="single" w:sz="6" w:space="2" w:color="918585"/>
        <w:bottom w:val="single" w:sz="6" w:space="2" w:color="918585"/>
      </w:pBdr>
      <w:tabs>
        <w:tab w:val="left" w:pos="1021"/>
      </w:tabs>
      <w:ind w:firstLine="0"/>
    </w:pPr>
  </w:style>
  <w:style w:type="paragraph" w:customStyle="1" w:styleId="Warning">
    <w:name w:val="Warning"/>
    <w:basedOn w:val="BodyText"/>
    <w:rsid w:val="00111624"/>
    <w:pPr>
      <w:shd w:val="clear" w:color="auto" w:fill="D9D9D9"/>
      <w:tabs>
        <w:tab w:val="left" w:pos="992"/>
      </w:tabs>
      <w:ind w:left="119" w:right="119"/>
    </w:pPr>
    <w:rPr>
      <w:sz w:val="20"/>
    </w:rPr>
  </w:style>
  <w:style w:type="paragraph" w:customStyle="1" w:styleId="MarginIcons">
    <w:name w:val="Margin Icons"/>
    <w:basedOn w:val="BodyText"/>
    <w:rsid w:val="00111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624"/>
    <w:rPr>
      <w:rFonts w:ascii="Courier New" w:hAnsi="Courier New"/>
    </w:rPr>
  </w:style>
  <w:style w:type="paragraph" w:customStyle="1" w:styleId="NoteBullet">
    <w:name w:val="Note Bullet"/>
    <w:basedOn w:val="Note"/>
    <w:rsid w:val="00111624"/>
    <w:pPr>
      <w:tabs>
        <w:tab w:val="clear" w:pos="680"/>
      </w:tabs>
      <w:spacing w:before="60" w:after="60"/>
    </w:pPr>
  </w:style>
  <w:style w:type="paragraph" w:customStyle="1" w:styleId="SubHeading2">
    <w:name w:val="SubHeading2"/>
    <w:basedOn w:val="HeadingBase"/>
    <w:rsid w:val="00111624"/>
    <w:pPr>
      <w:spacing w:before="240" w:after="60"/>
    </w:pPr>
    <w:rPr>
      <w:sz w:val="20"/>
    </w:rPr>
  </w:style>
  <w:style w:type="paragraph" w:customStyle="1" w:styleId="SubHeading1">
    <w:name w:val="SubHeading1"/>
    <w:basedOn w:val="HeadingBase"/>
    <w:rsid w:val="00111624"/>
    <w:pPr>
      <w:spacing w:before="240" w:after="60"/>
    </w:pPr>
    <w:rPr>
      <w:color w:val="918585"/>
      <w:sz w:val="22"/>
    </w:rPr>
  </w:style>
  <w:style w:type="paragraph" w:customStyle="1" w:styleId="SideHeading">
    <w:name w:val="Side Heading"/>
    <w:basedOn w:val="HeadingBase"/>
    <w:rsid w:val="00111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624"/>
    <w:pPr>
      <w:numPr>
        <w:numId w:val="13"/>
      </w:numPr>
    </w:pPr>
  </w:style>
  <w:style w:type="paragraph" w:styleId="PlainText">
    <w:name w:val="Plain Text"/>
    <w:basedOn w:val="Normal"/>
    <w:link w:val="PlainTextChar"/>
    <w:rsid w:val="00111624"/>
    <w:rPr>
      <w:sz w:val="20"/>
    </w:rPr>
  </w:style>
  <w:style w:type="character" w:customStyle="1" w:styleId="PlainTextChar">
    <w:name w:val="Plain Text Char"/>
    <w:basedOn w:val="DefaultParagraphFont"/>
    <w:link w:val="PlainText"/>
    <w:rsid w:val="001116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1624"/>
    <w:rPr>
      <w:b/>
      <w:smallCaps/>
    </w:rPr>
  </w:style>
  <w:style w:type="paragraph" w:customStyle="1" w:styleId="TableListNumber">
    <w:name w:val="Table List Number"/>
    <w:basedOn w:val="ListNumber"/>
    <w:rsid w:val="00111624"/>
    <w:pPr>
      <w:numPr>
        <w:numId w:val="0"/>
      </w:numPr>
    </w:pPr>
  </w:style>
  <w:style w:type="paragraph" w:styleId="TOC4">
    <w:name w:val="toc 4"/>
    <w:basedOn w:val="TOCBase"/>
    <w:next w:val="Normal"/>
    <w:semiHidden/>
    <w:rsid w:val="00111624"/>
    <w:pPr>
      <w:tabs>
        <w:tab w:val="right" w:leader="dot" w:pos="9071"/>
      </w:tabs>
      <w:ind w:left="1701"/>
    </w:pPr>
  </w:style>
  <w:style w:type="paragraph" w:customStyle="1" w:styleId="ListAlpha">
    <w:name w:val="List Alpha"/>
    <w:basedOn w:val="List"/>
    <w:rsid w:val="00111624"/>
    <w:pPr>
      <w:numPr>
        <w:numId w:val="10"/>
      </w:numPr>
    </w:pPr>
  </w:style>
  <w:style w:type="paragraph" w:customStyle="1" w:styleId="ListAlpha2">
    <w:name w:val="List Alpha 2"/>
    <w:basedOn w:val="List2"/>
    <w:rsid w:val="00111624"/>
    <w:pPr>
      <w:numPr>
        <w:numId w:val="9"/>
      </w:numPr>
    </w:pPr>
  </w:style>
  <w:style w:type="paragraph" w:styleId="List2">
    <w:name w:val="List 2"/>
    <w:basedOn w:val="BodyText"/>
    <w:rsid w:val="00111624"/>
    <w:pPr>
      <w:tabs>
        <w:tab w:val="left" w:pos="680"/>
      </w:tabs>
      <w:spacing w:before="60" w:after="60"/>
      <w:ind w:left="680" w:hanging="340"/>
    </w:pPr>
  </w:style>
  <w:style w:type="paragraph" w:styleId="List3">
    <w:name w:val="List 3"/>
    <w:basedOn w:val="BodyText"/>
    <w:rsid w:val="00111624"/>
    <w:pPr>
      <w:tabs>
        <w:tab w:val="left" w:pos="1021"/>
      </w:tabs>
      <w:spacing w:before="60" w:after="60"/>
      <w:ind w:left="1020" w:hanging="340"/>
    </w:pPr>
  </w:style>
  <w:style w:type="paragraph" w:styleId="List4">
    <w:name w:val="List 4"/>
    <w:basedOn w:val="BodyText"/>
    <w:rsid w:val="00111624"/>
    <w:pPr>
      <w:tabs>
        <w:tab w:val="left" w:pos="1361"/>
      </w:tabs>
      <w:spacing w:before="60" w:after="60"/>
      <w:ind w:left="1361" w:hanging="340"/>
    </w:pPr>
  </w:style>
  <w:style w:type="paragraph" w:styleId="List5">
    <w:name w:val="List 5"/>
    <w:basedOn w:val="BodyText"/>
    <w:rsid w:val="00111624"/>
    <w:pPr>
      <w:tabs>
        <w:tab w:val="left" w:pos="1701"/>
      </w:tabs>
      <w:spacing w:before="60" w:after="60"/>
      <w:ind w:left="1701" w:hanging="340"/>
    </w:pPr>
  </w:style>
  <w:style w:type="paragraph" w:styleId="ListBullet4">
    <w:name w:val="List Bullet 4"/>
    <w:basedOn w:val="List4"/>
    <w:rsid w:val="00111624"/>
    <w:pPr>
      <w:numPr>
        <w:numId w:val="4"/>
      </w:numPr>
    </w:pPr>
  </w:style>
  <w:style w:type="paragraph" w:styleId="ListBullet5">
    <w:name w:val="List Bullet 5"/>
    <w:basedOn w:val="List5"/>
    <w:rsid w:val="00111624"/>
    <w:pPr>
      <w:numPr>
        <w:numId w:val="5"/>
      </w:numPr>
    </w:pPr>
  </w:style>
  <w:style w:type="paragraph" w:styleId="ListContinue2">
    <w:name w:val="List Continue 2"/>
    <w:basedOn w:val="List2"/>
    <w:rsid w:val="00111624"/>
    <w:pPr>
      <w:ind w:firstLine="0"/>
    </w:pPr>
  </w:style>
  <w:style w:type="paragraph" w:styleId="ListContinue3">
    <w:name w:val="List Continue 3"/>
    <w:basedOn w:val="List3"/>
    <w:rsid w:val="00111624"/>
    <w:pPr>
      <w:ind w:left="1021" w:firstLine="0"/>
    </w:pPr>
  </w:style>
  <w:style w:type="paragraph" w:styleId="ListContinue4">
    <w:name w:val="List Continue 4"/>
    <w:basedOn w:val="List4"/>
    <w:rsid w:val="00111624"/>
    <w:pPr>
      <w:ind w:firstLine="0"/>
    </w:pPr>
  </w:style>
  <w:style w:type="paragraph" w:styleId="ListContinue5">
    <w:name w:val="List Continue 5"/>
    <w:basedOn w:val="List5"/>
    <w:rsid w:val="00111624"/>
    <w:pPr>
      <w:ind w:firstLine="0"/>
    </w:pPr>
  </w:style>
  <w:style w:type="paragraph" w:styleId="ListNumber3">
    <w:name w:val="List Number 3"/>
    <w:basedOn w:val="List3"/>
    <w:rsid w:val="00111624"/>
    <w:pPr>
      <w:numPr>
        <w:numId w:val="6"/>
      </w:numPr>
    </w:pPr>
  </w:style>
  <w:style w:type="paragraph" w:styleId="ListNumber4">
    <w:name w:val="List Number 4"/>
    <w:basedOn w:val="List4"/>
    <w:rsid w:val="00111624"/>
    <w:pPr>
      <w:numPr>
        <w:numId w:val="7"/>
      </w:numPr>
    </w:pPr>
  </w:style>
  <w:style w:type="paragraph" w:styleId="ListNumber5">
    <w:name w:val="List Number 5"/>
    <w:basedOn w:val="List5"/>
    <w:rsid w:val="00111624"/>
    <w:pPr>
      <w:numPr>
        <w:numId w:val="8"/>
      </w:numPr>
    </w:pPr>
  </w:style>
  <w:style w:type="paragraph" w:styleId="BlockText">
    <w:name w:val="Block Text"/>
    <w:basedOn w:val="Normal"/>
    <w:rsid w:val="00111624"/>
    <w:pPr>
      <w:spacing w:after="120"/>
      <w:ind w:left="1440" w:right="1440"/>
    </w:pPr>
  </w:style>
  <w:style w:type="character" w:customStyle="1" w:styleId="Subscript">
    <w:name w:val="Subscript"/>
    <w:basedOn w:val="DefaultParagraphFont"/>
    <w:rsid w:val="00111624"/>
    <w:rPr>
      <w:sz w:val="16"/>
      <w:vertAlign w:val="subscript"/>
    </w:rPr>
  </w:style>
  <w:style w:type="character" w:customStyle="1" w:styleId="Superscript">
    <w:name w:val="Superscript"/>
    <w:basedOn w:val="DefaultParagraphFont"/>
    <w:rsid w:val="00111624"/>
    <w:rPr>
      <w:sz w:val="16"/>
      <w:vertAlign w:val="superscript"/>
    </w:rPr>
  </w:style>
  <w:style w:type="character" w:customStyle="1" w:styleId="Symbols">
    <w:name w:val="Symbols"/>
    <w:basedOn w:val="DefaultParagraphFont"/>
    <w:rsid w:val="00111624"/>
    <w:rPr>
      <w:rFonts w:ascii="Symbol" w:hAnsi="Symbol"/>
    </w:rPr>
  </w:style>
  <w:style w:type="character" w:customStyle="1" w:styleId="MenuOptions">
    <w:name w:val="Menu Options"/>
    <w:basedOn w:val="DefaultParagraphFont"/>
    <w:rsid w:val="00111624"/>
    <w:rPr>
      <w:rFonts w:ascii="Arial Narrow" w:hAnsi="Arial Narrow"/>
      <w:smallCaps/>
    </w:rPr>
  </w:style>
  <w:style w:type="character" w:customStyle="1" w:styleId="Buttons">
    <w:name w:val="Buttons"/>
    <w:basedOn w:val="DefaultParagraphFont"/>
    <w:rsid w:val="00111624"/>
    <w:rPr>
      <w:b/>
    </w:rPr>
  </w:style>
  <w:style w:type="character" w:customStyle="1" w:styleId="Underlined">
    <w:name w:val="Underlined"/>
    <w:basedOn w:val="DefaultParagraphFont"/>
    <w:rsid w:val="00111624"/>
    <w:rPr>
      <w:u w:val="single"/>
    </w:rPr>
  </w:style>
  <w:style w:type="paragraph" w:customStyle="1" w:styleId="TableBodyTextRight">
    <w:name w:val="Table Body Text Right"/>
    <w:basedOn w:val="TableBodyText"/>
    <w:rsid w:val="00111624"/>
    <w:pPr>
      <w:widowControl w:val="0"/>
      <w:autoSpaceDE w:val="0"/>
      <w:autoSpaceDN w:val="0"/>
      <w:adjustRightInd w:val="0"/>
      <w:jc w:val="right"/>
    </w:pPr>
    <w:rPr>
      <w:rFonts w:cs="Arial"/>
      <w:szCs w:val="18"/>
    </w:rPr>
  </w:style>
  <w:style w:type="paragraph" w:customStyle="1" w:styleId="CopyrightText">
    <w:name w:val="Copyright Text"/>
    <w:basedOn w:val="BodyText"/>
    <w:rsid w:val="00111624"/>
    <w:rPr>
      <w:sz w:val="18"/>
    </w:rPr>
  </w:style>
  <w:style w:type="paragraph" w:customStyle="1" w:styleId="BodySmallRight">
    <w:name w:val="Body Small Right"/>
    <w:basedOn w:val="BodyTextRight"/>
    <w:rsid w:val="00111624"/>
    <w:rPr>
      <w:sz w:val="18"/>
      <w:szCs w:val="18"/>
    </w:rPr>
  </w:style>
  <w:style w:type="paragraph" w:customStyle="1" w:styleId="MarginEdition">
    <w:name w:val="Margin Edition"/>
    <w:basedOn w:val="MarginNote"/>
    <w:rsid w:val="00111624"/>
    <w:pPr>
      <w:spacing w:before="0" w:after="0"/>
    </w:pPr>
    <w:rPr>
      <w:rFonts w:ascii="Times New Roman" w:hAnsi="Times New Roman"/>
      <w:color w:val="999999"/>
    </w:rPr>
  </w:style>
  <w:style w:type="paragraph" w:customStyle="1" w:styleId="Spacer">
    <w:name w:val="Spacer"/>
    <w:basedOn w:val="Normal"/>
    <w:rsid w:val="00111624"/>
    <w:rPr>
      <w:sz w:val="2"/>
      <w:szCs w:val="2"/>
    </w:rPr>
  </w:style>
  <w:style w:type="character" w:customStyle="1" w:styleId="Small">
    <w:name w:val="Small"/>
    <w:basedOn w:val="DefaultParagraphFont"/>
    <w:rsid w:val="00111624"/>
    <w:rPr>
      <w:sz w:val="16"/>
    </w:rPr>
  </w:style>
  <w:style w:type="paragraph" w:customStyle="1" w:styleId="WideTable">
    <w:name w:val="Wide Table"/>
    <w:basedOn w:val="Normal"/>
    <w:rsid w:val="00111624"/>
    <w:pPr>
      <w:ind w:left="-1418"/>
    </w:pPr>
    <w:rPr>
      <w:sz w:val="2"/>
      <w:szCs w:val="2"/>
    </w:rPr>
  </w:style>
  <w:style w:type="character" w:styleId="PageNumber">
    <w:name w:val="page number"/>
    <w:basedOn w:val="DefaultParagraphFont"/>
    <w:rsid w:val="00111624"/>
  </w:style>
  <w:style w:type="paragraph" w:styleId="Quote">
    <w:name w:val="Quote"/>
    <w:basedOn w:val="Heading1"/>
    <w:link w:val="QuoteChar"/>
    <w:qFormat/>
    <w:rsid w:val="00111624"/>
    <w:rPr>
      <w:b w:val="0"/>
      <w:sz w:val="72"/>
      <w:szCs w:val="72"/>
      <w:lang w:val="en-NZ"/>
    </w:rPr>
  </w:style>
  <w:style w:type="character" w:customStyle="1" w:styleId="QuoteChar">
    <w:name w:val="Quote Char"/>
    <w:basedOn w:val="DefaultParagraphFont"/>
    <w:link w:val="Quote"/>
    <w:rsid w:val="00111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624"/>
    <w:pPr>
      <w:pageBreakBefore/>
    </w:pPr>
  </w:style>
  <w:style w:type="paragraph" w:customStyle="1" w:styleId="Border">
    <w:name w:val="Border"/>
    <w:basedOn w:val="Normal"/>
    <w:qFormat/>
    <w:rsid w:val="00111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624"/>
    <w:rPr>
      <w:b/>
      <w:bCs/>
      <w:i/>
      <w:iCs/>
      <w:color w:val="auto"/>
    </w:rPr>
  </w:style>
  <w:style w:type="paragraph" w:styleId="IntenseQuote">
    <w:name w:val="Intense Quote"/>
    <w:basedOn w:val="Normal"/>
    <w:next w:val="Normal"/>
    <w:link w:val="IntenseQuoteChar"/>
    <w:uiPriority w:val="30"/>
    <w:qFormat/>
    <w:rsid w:val="00111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6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1624"/>
    <w:rPr>
      <w:smallCaps/>
      <w:color w:val="auto"/>
      <w:u w:val="single"/>
    </w:rPr>
  </w:style>
  <w:style w:type="character" w:styleId="IntenseReference">
    <w:name w:val="Intense Reference"/>
    <w:basedOn w:val="DefaultParagraphFont"/>
    <w:uiPriority w:val="32"/>
    <w:qFormat/>
    <w:rsid w:val="00111624"/>
    <w:rPr>
      <w:b/>
      <w:bCs/>
      <w:smallCaps/>
      <w:color w:val="auto"/>
      <w:spacing w:val="5"/>
      <w:u w:val="single"/>
    </w:rPr>
  </w:style>
  <w:style w:type="paragraph" w:customStyle="1" w:styleId="2ColumnHeading">
    <w:name w:val="2Column Heading"/>
    <w:basedOn w:val="BodyText"/>
    <w:qFormat/>
    <w:rsid w:val="00111624"/>
    <w:pPr>
      <w:spacing w:after="60"/>
      <w:ind w:left="-2268"/>
    </w:pPr>
    <w:rPr>
      <w:b/>
    </w:rPr>
  </w:style>
  <w:style w:type="paragraph" w:customStyle="1" w:styleId="Heading1TOC">
    <w:name w:val="Heading1 TOC"/>
    <w:basedOn w:val="Normal"/>
    <w:qFormat/>
    <w:rsid w:val="00111624"/>
    <w:pPr>
      <w:spacing w:before="240" w:after="120"/>
    </w:pPr>
    <w:rPr>
      <w:rFonts w:ascii="Times New Roman" w:hAnsi="Times New Roman"/>
      <w:b/>
      <w:sz w:val="32"/>
    </w:rPr>
  </w:style>
  <w:style w:type="paragraph" w:customStyle="1" w:styleId="Heading2TOC">
    <w:name w:val="Heading2 TOC"/>
    <w:basedOn w:val="Normal"/>
    <w:qFormat/>
    <w:rsid w:val="00111624"/>
    <w:pPr>
      <w:spacing w:before="240" w:after="60"/>
    </w:pPr>
    <w:rPr>
      <w:rFonts w:ascii="Times New Roman" w:hAnsi="Times New Roman"/>
      <w:b/>
      <w:sz w:val="28"/>
    </w:rPr>
  </w:style>
  <w:style w:type="character" w:customStyle="1" w:styleId="Underline">
    <w:name w:val="Underline"/>
    <w:basedOn w:val="DefaultParagraphFont"/>
    <w:qFormat/>
    <w:rsid w:val="00111624"/>
    <w:rPr>
      <w:u w:val="single"/>
    </w:rPr>
  </w:style>
  <w:style w:type="character" w:customStyle="1" w:styleId="BoldandItalics">
    <w:name w:val="Bold and Italics"/>
    <w:qFormat/>
    <w:rsid w:val="00111624"/>
    <w:rPr>
      <w:b/>
      <w:i/>
      <w:u w:val="none"/>
    </w:rPr>
  </w:style>
  <w:style w:type="paragraph" w:styleId="BalloonText">
    <w:name w:val="Balloon Text"/>
    <w:basedOn w:val="Normal"/>
    <w:link w:val="BalloonTextChar"/>
    <w:rsid w:val="00111624"/>
    <w:rPr>
      <w:rFonts w:ascii="Tahoma" w:hAnsi="Tahoma" w:cs="Tahoma"/>
      <w:sz w:val="16"/>
      <w:szCs w:val="16"/>
    </w:rPr>
  </w:style>
  <w:style w:type="character" w:customStyle="1" w:styleId="BalloonTextChar">
    <w:name w:val="Balloon Text Char"/>
    <w:basedOn w:val="DefaultParagraphFont"/>
    <w:link w:val="BalloonText"/>
    <w:rsid w:val="001116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16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16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2890</Words>
  <Characters>18694</Characters>
  <Application>Microsoft Office Word</Application>
  <DocSecurity>0</DocSecurity>
  <Lines>780</Lines>
  <Paragraphs>321</Paragraphs>
  <ScaleCrop>false</ScaleCrop>
  <Company>Author-it Software Corporation Ltd.</Company>
  <LinksUpToDate>false</LinksUpToDate>
  <CharactersWithSpaces>21339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UETTDRIS42A Maintain network infrastructure electrical equipment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2012-05-26T12:12:00Z</dcterms:created>
  <dcterms:modified xsi:type="dcterms:W3CDTF">2012-05-26T12:12:00Z</dcterms:modified>
</cp:coreProperties>
</file>