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6914" w:rsidP="00A16914">
      <w:pPr>
        <w:pStyle w:val="Title"/>
      </w:pPr>
      <w:r>
        <w:fldChar w:fldCharType="begin"/>
      </w:r>
      <w:r>
        <w:instrText xml:space="preserve"> TITLE   \* MERGEFORMAT </w:instrText>
      </w:r>
      <w:r>
        <w:fldChar w:fldCharType="separate"/>
      </w:r>
      <w:r>
        <w:t>UETTDRIS38A Install and maintain public lighting systems in remote communities</w:t>
      </w:r>
      <w:r>
        <w:fldChar w:fldCharType="end"/>
      </w:r>
    </w:p>
    <w:p w:rsidR="00A16914" w:rsidP="00A16914">
      <w:pPr>
        <w:pStyle w:val="Version"/>
        <w:sectPr w:rsidSect="00CE10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10C6" w:rsidP="00CE10C6">
      <w:pPr>
        <w:pStyle w:val="SuperHeading"/>
      </w:pPr>
      <w:r w:rsidRPr="00CE10C6">
        <w:t>UETTDRIS38A Install and maintain public lighting systems in remote communities</w:t>
      </w:r>
    </w:p>
    <w:p w:rsidR="00000000" w:rsidRPr="00CE10C6" w:rsidP="00CE10C6">
      <w:pPr>
        <w:pStyle w:val="Heading1"/>
      </w:pPr>
      <w:bookmarkStart w:id="1" w:name="O_462424"/>
      <w:bookmarkEnd w:id="1"/>
      <w:r w:rsidRPr="00CE10C6">
        <w:t>Modification History</w:t>
      </w:r>
    </w:p>
    <w:p w:rsidR="00000000" w:rsidRPr="00CE10C6" w:rsidP="00CE10C6">
      <w:pPr>
        <w:pStyle w:val="BodyText"/>
      </w:pPr>
      <w:r w:rsidRPr="00CE10C6">
        <w:t>Not applicable.</w:t>
      </w:r>
    </w:p>
    <w:p w:rsidR="00000000" w:rsidRPr="00CE10C6" w:rsidP="00CE10C6">
      <w:pPr>
        <w:pStyle w:val="AllowPageBreak"/>
      </w:pPr>
    </w:p>
    <w:p w:rsidR="00000000" w:rsidRPr="00CE10C6" w:rsidP="00CE10C6">
      <w:pPr>
        <w:pStyle w:val="Heading1"/>
      </w:pPr>
      <w:bookmarkStart w:id="2" w:name="O_462422"/>
      <w:bookmarkEnd w:id="2"/>
      <w:r w:rsidRPr="00CE10C6">
        <w:t>Unit Descriptor</w:t>
      </w:r>
    </w:p>
    <w:tbl>
      <w:tblPr>
        <w:tblW w:w="0" w:type="auto"/>
        <w:tblLayout w:type="fixed"/>
        <w:tblCellMar>
          <w:left w:w="62" w:type="dxa"/>
          <w:right w:w="62" w:type="dxa"/>
        </w:tblCellMar>
        <w:tblLook w:val="0000"/>
      </w:tblPr>
      <w:tblGrid>
        <w:gridCol w:w="2700"/>
        <w:gridCol w:w="5760"/>
      </w:tblGrid>
      <w:tr w:rsidTr="00A169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E10C6" w:rsidP="00CE10C6">
            <w:pPr>
              <w:pStyle w:val="BodyText"/>
            </w:pPr>
            <w:r w:rsidRPr="00CE10C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rPr>
                <w:rStyle w:val="SpecialBold"/>
              </w:rPr>
              <w:t>1)</w:t>
            </w:r>
            <w:r w:rsidRPr="00CE10C6">
              <w:t xml:space="preserve"> </w:t>
            </w:r>
            <w:r w:rsidRPr="00CE10C6">
              <w:rPr>
                <w:rStyle w:val="SpecialBold"/>
              </w:rPr>
              <w:t>Scope:</w:t>
            </w:r>
          </w:p>
        </w:tc>
      </w:tr>
      <w:tr w:rsidTr="00A169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E10C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rPr>
                <w:rStyle w:val="SpecialBold"/>
              </w:rPr>
              <w:t>1.1) Descriptor</w:t>
            </w:r>
          </w:p>
        </w:tc>
      </w:tr>
      <w:tr w:rsidTr="00A169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E10C6" w:rsidP="00CE10C6">
            <w:pPr>
              <w:pStyle w:val="BodyText"/>
            </w:pPr>
            <w:r w:rsidRPr="00CE10C6">
              <w:t>This Competency Standard Unit covers the installation, maintenance and repair of public lighting systems. This also includes the inspection, testing and commissioning of the system associated with the street lighting circuit, the associated hardware and th</w:t>
            </w:r>
            <w:r w:rsidRPr="00CE10C6">
              <w:t>e earthing system. Installation will include the installation of, the associated hardware and components and, the wiring and earthing system. Maintenance may also include work on energised LV overhead or underground public lighting systems including the di</w:t>
            </w:r>
            <w:r w:rsidRPr="00CE10C6">
              <w:t>agnosis of faults and the updating of relevant system data and or public lighting maintenance records.</w:t>
            </w:r>
          </w:p>
        </w:tc>
      </w:tr>
    </w:tbl>
    <w:p w:rsidR="00000000" w:rsidRPr="00CE10C6" w:rsidP="00CE10C6">
      <w:pPr>
        <w:pStyle w:val="BodyText"/>
      </w:pPr>
    </w:p>
    <w:p w:rsidR="00000000" w:rsidRPr="00CE10C6" w:rsidP="00CE10C6">
      <w:pPr>
        <w:pStyle w:val="AllowPageBreak"/>
      </w:pPr>
    </w:p>
    <w:p w:rsidR="00000000" w:rsidRPr="00CE10C6" w:rsidP="00CE10C6">
      <w:pPr>
        <w:pStyle w:val="Heading1"/>
      </w:pPr>
      <w:bookmarkStart w:id="3" w:name="O_462411"/>
      <w:bookmarkEnd w:id="3"/>
      <w:r w:rsidRPr="00CE10C6">
        <w:t>Application of the Unit</w:t>
      </w:r>
    </w:p>
    <w:tbl>
      <w:tblPr>
        <w:tblW w:w="0" w:type="auto"/>
        <w:tblLayout w:type="fixed"/>
        <w:tblCellMar>
          <w:left w:w="62" w:type="dxa"/>
          <w:right w:w="62" w:type="dxa"/>
        </w:tblCellMar>
        <w:tblLook w:val="0000"/>
      </w:tblPr>
      <w:tblGrid>
        <w:gridCol w:w="2672"/>
        <w:gridCol w:w="5699"/>
      </w:tblGrid>
      <w:tr w:rsidTr="00A1691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E10C6" w:rsidP="00CE10C6">
            <w:pPr>
              <w:pStyle w:val="BodyText"/>
            </w:pPr>
            <w:r w:rsidRPr="00CE10C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rPr>
                <w:rStyle w:val="SpecialBold"/>
              </w:rPr>
              <w:t>2)</w:t>
            </w:r>
          </w:p>
        </w:tc>
      </w:tr>
      <w:tr w:rsidTr="00A1691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E10C6" w:rsidP="00CE10C6">
            <w:pPr>
              <w:pStyle w:val="BodyText"/>
            </w:pPr>
            <w:r w:rsidRPr="00CE10C6">
              <w:t>This Competency Standard Unit is intended to augment formally acquired competencies. It is suitable for employment-based programs under an approved contract of training.</w:t>
            </w:r>
          </w:p>
        </w:tc>
      </w:tr>
    </w:tbl>
    <w:p w:rsidR="00000000" w:rsidRPr="00CE10C6" w:rsidP="00CE10C6">
      <w:pPr>
        <w:pStyle w:val="BodyText"/>
      </w:pPr>
    </w:p>
    <w:p w:rsidR="00000000" w:rsidRPr="00CE10C6" w:rsidP="00CE10C6">
      <w:pPr>
        <w:pStyle w:val="AllowPageBreak"/>
      </w:pPr>
    </w:p>
    <w:p w:rsidR="00000000" w:rsidRPr="00CE10C6" w:rsidP="00CE10C6">
      <w:pPr>
        <w:pStyle w:val="Heading1"/>
      </w:pPr>
      <w:bookmarkStart w:id="4" w:name="O_462418"/>
      <w:bookmarkEnd w:id="4"/>
      <w:r w:rsidRPr="00CE10C6">
        <w:t>Licensing/Regulatory Information</w:t>
      </w:r>
    </w:p>
    <w:tbl>
      <w:tblPr>
        <w:tblW w:w="0" w:type="auto"/>
        <w:tblLayout w:type="fixed"/>
        <w:tblCellMar>
          <w:left w:w="62" w:type="dxa"/>
          <w:right w:w="62" w:type="dxa"/>
        </w:tblCellMar>
        <w:tblLook w:val="0000"/>
      </w:tblPr>
      <w:tblGrid>
        <w:gridCol w:w="2700"/>
        <w:gridCol w:w="5760"/>
      </w:tblGrid>
      <w:tr w:rsidTr="00A169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E10C6" w:rsidP="00CE10C6">
            <w:pPr>
              <w:pStyle w:val="BodyText"/>
            </w:pPr>
            <w:r w:rsidRPr="00CE10C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rPr>
                <w:rStyle w:val="SpecialBold"/>
              </w:rPr>
              <w:t xml:space="preserve">3) </w:t>
            </w:r>
          </w:p>
        </w:tc>
      </w:tr>
      <w:tr w:rsidTr="00A169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E10C6" w:rsidP="00CE10C6">
            <w:pPr>
              <w:pStyle w:val="BodyText"/>
            </w:pPr>
            <w:r w:rsidRPr="00CE10C6">
              <w:t>The skil</w:t>
            </w:r>
            <w:r w:rsidRPr="00CE10C6">
              <w:t xml:space="preserve">ls and knowledge described in this unit may require a licence/registration to practice in the work place </w:t>
            </w:r>
            <w:r w:rsidRPr="00CE10C6">
              <w:t>subject to regulations for undertaking of electrical work. Practice in workplace and during training is also subject to regulations directly related to</w:t>
            </w:r>
            <w:r w:rsidRPr="00CE10C6">
              <w:t xml:space="preserve"> Occupational Health and Safety, electricity/telecommunications/gas/water industry safety and compliance, industrial relations, environmental protection, anti discrimination and training. Commonwealth, State/Territory or Local Government legislation and re</w:t>
            </w:r>
            <w:r w:rsidRPr="00CE10C6">
              <w:t>gulations may exist that limits the age of operating certain equipment.</w:t>
            </w:r>
          </w:p>
        </w:tc>
      </w:tr>
    </w:tbl>
    <w:p w:rsidR="00000000" w:rsidRPr="00CE10C6" w:rsidP="00CE10C6">
      <w:pPr>
        <w:pStyle w:val="BodyText"/>
      </w:pPr>
    </w:p>
    <w:p w:rsidR="00000000" w:rsidRPr="00CE10C6" w:rsidP="00CE10C6">
      <w:pPr>
        <w:pStyle w:val="AllowPageBreak"/>
      </w:pPr>
    </w:p>
    <w:p w:rsidR="00000000" w:rsidRPr="00CE10C6" w:rsidP="00CE10C6">
      <w:pPr>
        <w:pStyle w:val="Heading1"/>
      </w:pPr>
      <w:bookmarkStart w:id="5" w:name="O_462419"/>
      <w:bookmarkEnd w:id="5"/>
      <w:r w:rsidRPr="00CE10C6">
        <w:t>Pre-Requisites</w:t>
      </w:r>
    </w:p>
    <w:tbl>
      <w:tblPr>
        <w:tblW w:w="0" w:type="auto"/>
        <w:tblLayout w:type="fixed"/>
        <w:tblCellMar>
          <w:left w:w="62" w:type="dxa"/>
          <w:right w:w="62" w:type="dxa"/>
        </w:tblCellMar>
        <w:tblLook w:val="0000"/>
      </w:tblPr>
      <w:tblGrid>
        <w:gridCol w:w="2700"/>
        <w:gridCol w:w="1980"/>
        <w:gridCol w:w="3780"/>
      </w:tblGrid>
      <w:tr w:rsidTr="00A169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E10C6" w:rsidP="00CE10C6">
            <w:pPr>
              <w:pStyle w:val="BodyText"/>
            </w:pPr>
            <w:r w:rsidRPr="00CE10C6">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rPr>
                <w:rStyle w:val="SpecialBold"/>
              </w:rPr>
              <w:t xml:space="preserve">4) </w:t>
            </w:r>
          </w:p>
        </w:tc>
      </w:tr>
      <w:tr w:rsidTr="00A169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E10C6" w:rsidP="00CE10C6">
            <w:pPr>
              <w:pStyle w:val="BodyText"/>
            </w:pPr>
            <w:r w:rsidRPr="00CE10C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RPr="00CE10C6" w:rsidP="00CE10C6">
            <w:pPr>
              <w:pStyle w:val="BodyText"/>
            </w:pPr>
            <w:r w:rsidRPr="00CE10C6">
              <w:rPr>
                <w:rStyle w:val="SpecialBold"/>
              </w:rPr>
              <w:t>4.1)</w:t>
            </w:r>
          </w:p>
          <w:p w:rsidR="00000000" w:rsidRPr="00CE10C6" w:rsidP="00CE10C6">
            <w:pPr>
              <w:pStyle w:val="BodyText"/>
            </w:pPr>
            <w:r w:rsidRPr="00CE10C6">
              <w:t>Granting of competency in this unit shall be made only after competency in the following unit(s) has/have been confirmed.</w:t>
            </w:r>
          </w:p>
          <w:p w:rsidR="00000000" w:rsidRPr="00CE10C6" w:rsidP="00CE10C6">
            <w:pPr>
              <w:pStyle w:val="BodyText"/>
            </w:pPr>
            <w:r w:rsidRPr="00CE10C6">
              <w:t>Where pre-requisite pathways have been identified. All competencies in the Common Unit Group must be have been completed.</w:t>
            </w:r>
          </w:p>
          <w:p w:rsidR="00000000" w:rsidP="00CE10C6">
            <w:pPr>
              <w:pStyle w:val="BodyText"/>
              <w:rPr>
                <w:lang w:val="en-NZ"/>
              </w:rPr>
            </w:pPr>
            <w:r w:rsidRPr="00CE10C6">
              <w:t xml:space="preserve">Common Unit </w:t>
            </w:r>
            <w:r w:rsidRPr="00CE10C6">
              <w:t>Group</w:t>
            </w:r>
          </w:p>
        </w:tc>
      </w:tr>
      <w:tr w:rsidTr="00A169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Unit Code</w:t>
            </w:r>
            <w:r w:rsidRPr="00CE10C6">
              <w:tab/>
            </w:r>
          </w:p>
        </w:tc>
        <w:tc>
          <w:tcPr>
            <w:tcW w:w="3780" w:type="dxa"/>
            <w:tcBorders>
              <w:top w:val="nil"/>
              <w:left w:val="nil"/>
              <w:bottom w:val="nil"/>
              <w:right w:val="nil"/>
            </w:tcBorders>
            <w:tcMar>
              <w:top w:w="0" w:type="dxa"/>
              <w:left w:w="62" w:type="dxa"/>
              <w:bottom w:w="0" w:type="dxa"/>
              <w:right w:w="62" w:type="dxa"/>
            </w:tcMar>
            <w:vAlign w:val="bottom"/>
          </w:tcPr>
          <w:p w:rsidR="00000000" w:rsidP="00CE10C6">
            <w:pPr>
              <w:pStyle w:val="BodyText"/>
              <w:rPr>
                <w:lang w:val="en-NZ"/>
              </w:rPr>
            </w:pPr>
            <w:r w:rsidRPr="00CE10C6">
              <w:t>Unit Title</w:t>
            </w:r>
          </w:p>
        </w:tc>
      </w:tr>
      <w:tr w:rsidTr="00A169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UEENEEE101A</w:t>
            </w:r>
          </w:p>
        </w:tc>
        <w:tc>
          <w:tcPr>
            <w:tcW w:w="3780" w:type="dxa"/>
            <w:tcBorders>
              <w:top w:val="nil"/>
              <w:left w:val="nil"/>
              <w:bottom w:val="nil"/>
              <w:right w:val="nil"/>
            </w:tcBorders>
            <w:tcMar>
              <w:top w:w="0" w:type="dxa"/>
              <w:left w:w="62" w:type="dxa"/>
              <w:bottom w:w="0" w:type="dxa"/>
              <w:right w:w="62" w:type="dxa"/>
            </w:tcMar>
            <w:vAlign w:val="bottom"/>
          </w:tcPr>
          <w:p w:rsidR="00000000" w:rsidP="00CE10C6">
            <w:pPr>
              <w:pStyle w:val="BodyText"/>
              <w:rPr>
                <w:lang w:val="en-NZ"/>
              </w:rPr>
            </w:pPr>
            <w:r w:rsidRPr="00CE10C6">
              <w:t>Apply Occupational Health and Safety regulations, codes and practices in the workplace</w:t>
            </w:r>
          </w:p>
        </w:tc>
      </w:tr>
      <w:tr w:rsidTr="00A169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UEENEEE102A</w:t>
            </w:r>
          </w:p>
        </w:tc>
        <w:tc>
          <w:tcPr>
            <w:tcW w:w="3780" w:type="dxa"/>
            <w:tcBorders>
              <w:top w:val="nil"/>
              <w:left w:val="nil"/>
              <w:bottom w:val="nil"/>
              <w:right w:val="nil"/>
            </w:tcBorders>
            <w:tcMar>
              <w:top w:w="0" w:type="dxa"/>
              <w:left w:w="62" w:type="dxa"/>
              <w:bottom w:w="0" w:type="dxa"/>
              <w:right w:w="62" w:type="dxa"/>
            </w:tcMar>
            <w:vAlign w:val="bottom"/>
          </w:tcPr>
          <w:p w:rsidR="00000000" w:rsidP="00CE10C6">
            <w:pPr>
              <w:pStyle w:val="BodyText"/>
              <w:rPr>
                <w:lang w:val="en-NZ"/>
              </w:rPr>
            </w:pPr>
            <w:r w:rsidRPr="00CE10C6">
              <w:t>Fabricate, assemble and dismantle utilities industry components</w:t>
            </w:r>
          </w:p>
        </w:tc>
      </w:tr>
      <w:tr w:rsidTr="00A169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UEENEEE103A</w:t>
            </w:r>
          </w:p>
        </w:tc>
        <w:tc>
          <w:tcPr>
            <w:tcW w:w="3780" w:type="dxa"/>
            <w:tcBorders>
              <w:top w:val="nil"/>
              <w:left w:val="nil"/>
              <w:bottom w:val="nil"/>
              <w:right w:val="nil"/>
            </w:tcBorders>
            <w:tcMar>
              <w:top w:w="0" w:type="dxa"/>
              <w:left w:w="62" w:type="dxa"/>
              <w:bottom w:w="0" w:type="dxa"/>
              <w:right w:w="62" w:type="dxa"/>
            </w:tcMar>
            <w:vAlign w:val="bottom"/>
          </w:tcPr>
          <w:p w:rsidR="00000000" w:rsidP="00CE10C6">
            <w:pPr>
              <w:pStyle w:val="BodyText"/>
              <w:rPr>
                <w:lang w:val="en-NZ"/>
              </w:rPr>
            </w:pPr>
            <w:r w:rsidRPr="00CE10C6">
              <w:t>Solve problems in extra-low voltage, single path circuits</w:t>
            </w:r>
          </w:p>
        </w:tc>
      </w:tr>
      <w:tr w:rsidTr="00A169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UEENEEE105A</w:t>
            </w:r>
          </w:p>
        </w:tc>
        <w:tc>
          <w:tcPr>
            <w:tcW w:w="3780" w:type="dxa"/>
            <w:tcBorders>
              <w:top w:val="nil"/>
              <w:left w:val="nil"/>
              <w:bottom w:val="nil"/>
              <w:right w:val="nil"/>
            </w:tcBorders>
            <w:tcMar>
              <w:top w:w="0" w:type="dxa"/>
              <w:left w:w="62" w:type="dxa"/>
              <w:bottom w:w="0" w:type="dxa"/>
              <w:right w:w="62" w:type="dxa"/>
            </w:tcMar>
            <w:vAlign w:val="bottom"/>
          </w:tcPr>
          <w:p w:rsidR="00000000" w:rsidP="00CE10C6">
            <w:pPr>
              <w:pStyle w:val="BodyText"/>
              <w:rPr>
                <w:lang w:val="en-NZ"/>
              </w:rPr>
            </w:pPr>
            <w:r w:rsidRPr="00CE10C6">
              <w:t>Fix and secure electrotechnology equipment</w:t>
            </w:r>
          </w:p>
        </w:tc>
      </w:tr>
      <w:tr w:rsidTr="00A169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UEENEEE107A</w:t>
            </w:r>
          </w:p>
        </w:tc>
        <w:tc>
          <w:tcPr>
            <w:tcW w:w="3780" w:type="dxa"/>
            <w:tcBorders>
              <w:top w:val="nil"/>
              <w:left w:val="nil"/>
              <w:bottom w:val="nil"/>
              <w:right w:val="nil"/>
            </w:tcBorders>
            <w:tcMar>
              <w:top w:w="0" w:type="dxa"/>
              <w:left w:w="62" w:type="dxa"/>
              <w:bottom w:w="0" w:type="dxa"/>
              <w:right w:w="62" w:type="dxa"/>
            </w:tcMar>
            <w:vAlign w:val="bottom"/>
          </w:tcPr>
          <w:p w:rsidR="00000000" w:rsidP="00CE10C6">
            <w:pPr>
              <w:pStyle w:val="BodyText"/>
              <w:rPr>
                <w:lang w:val="en-NZ"/>
              </w:rPr>
            </w:pPr>
            <w:r w:rsidRPr="00CE10C6">
              <w:t>Use drawings, diagrams, schedules, standards, codes and specifications</w:t>
            </w:r>
          </w:p>
        </w:tc>
      </w:tr>
      <w:tr w:rsidTr="00A169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UEENEEE137A</w:t>
            </w:r>
          </w:p>
        </w:tc>
        <w:tc>
          <w:tcPr>
            <w:tcW w:w="3780" w:type="dxa"/>
            <w:tcBorders>
              <w:top w:val="nil"/>
              <w:left w:val="nil"/>
              <w:bottom w:val="nil"/>
              <w:right w:val="nil"/>
            </w:tcBorders>
            <w:tcMar>
              <w:top w:w="0" w:type="dxa"/>
              <w:left w:w="62" w:type="dxa"/>
              <w:bottom w:w="0" w:type="dxa"/>
              <w:right w:w="62" w:type="dxa"/>
            </w:tcMar>
            <w:vAlign w:val="bottom"/>
          </w:tcPr>
          <w:p w:rsidR="00000000" w:rsidP="00CE10C6">
            <w:pPr>
              <w:pStyle w:val="BodyText"/>
              <w:rPr>
                <w:lang w:val="en-NZ"/>
              </w:rPr>
            </w:pPr>
            <w:r w:rsidRPr="00CE10C6">
              <w:t>Document and apply measures to control OHS risks associated with electrotechnology work</w:t>
            </w:r>
          </w:p>
        </w:tc>
      </w:tr>
      <w:tr w:rsidTr="00A169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UEENEEK101A</w:t>
            </w:r>
          </w:p>
        </w:tc>
        <w:tc>
          <w:tcPr>
            <w:tcW w:w="3780" w:type="dxa"/>
            <w:tcBorders>
              <w:top w:val="nil"/>
              <w:left w:val="nil"/>
              <w:bottom w:val="nil"/>
              <w:right w:val="nil"/>
            </w:tcBorders>
            <w:tcMar>
              <w:top w:w="0" w:type="dxa"/>
              <w:left w:w="62" w:type="dxa"/>
              <w:bottom w:w="0" w:type="dxa"/>
              <w:right w:w="62" w:type="dxa"/>
            </w:tcMar>
            <w:vAlign w:val="bottom"/>
          </w:tcPr>
          <w:p w:rsidR="00000000" w:rsidP="00CE10C6">
            <w:pPr>
              <w:pStyle w:val="BodyText"/>
              <w:rPr>
                <w:lang w:val="en-NZ"/>
              </w:rPr>
            </w:pPr>
            <w:r w:rsidRPr="00CE10C6">
              <w:t>Maintain safety and tidiness of remote area power supply systems</w:t>
            </w:r>
          </w:p>
        </w:tc>
      </w:tr>
      <w:tr w:rsidTr="00A169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UEENEEK102A</w:t>
            </w:r>
          </w:p>
        </w:tc>
        <w:tc>
          <w:tcPr>
            <w:tcW w:w="3780" w:type="dxa"/>
            <w:tcBorders>
              <w:top w:val="nil"/>
              <w:left w:val="nil"/>
              <w:bottom w:val="nil"/>
              <w:right w:val="nil"/>
            </w:tcBorders>
            <w:tcMar>
              <w:top w:w="0" w:type="dxa"/>
              <w:left w:w="62" w:type="dxa"/>
              <w:bottom w:w="0" w:type="dxa"/>
              <w:right w:w="62" w:type="dxa"/>
            </w:tcMar>
            <w:vAlign w:val="bottom"/>
          </w:tcPr>
          <w:p w:rsidR="00000000" w:rsidP="00CE10C6">
            <w:pPr>
              <w:pStyle w:val="BodyText"/>
              <w:rPr>
                <w:lang w:val="en-NZ"/>
              </w:rPr>
            </w:pPr>
            <w:r w:rsidRPr="00CE10C6">
              <w:t>Work safely with remote area power supply systems</w:t>
            </w:r>
          </w:p>
        </w:tc>
      </w:tr>
      <w:tr w:rsidTr="00A169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UEENEEK116A</w:t>
            </w:r>
          </w:p>
        </w:tc>
        <w:tc>
          <w:tcPr>
            <w:tcW w:w="3780" w:type="dxa"/>
            <w:tcBorders>
              <w:top w:val="nil"/>
              <w:left w:val="nil"/>
              <w:bottom w:val="nil"/>
              <w:right w:val="nil"/>
            </w:tcBorders>
            <w:tcMar>
              <w:top w:w="0" w:type="dxa"/>
              <w:left w:w="62" w:type="dxa"/>
              <w:bottom w:w="0" w:type="dxa"/>
              <w:right w:w="62" w:type="dxa"/>
            </w:tcMar>
            <w:vAlign w:val="bottom"/>
          </w:tcPr>
          <w:p w:rsidR="00000000" w:rsidP="00CE10C6">
            <w:pPr>
              <w:pStyle w:val="BodyText"/>
              <w:rPr>
                <w:lang w:val="en-NZ"/>
              </w:rPr>
            </w:pPr>
            <w:r w:rsidRPr="00CE10C6">
              <w:t>Maintain and repair remote area power generation facilities</w:t>
            </w:r>
          </w:p>
        </w:tc>
      </w:tr>
      <w:tr w:rsidTr="00A169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UEENEEK120A</w:t>
            </w:r>
          </w:p>
        </w:tc>
        <w:tc>
          <w:tcPr>
            <w:tcW w:w="3780" w:type="dxa"/>
            <w:tcBorders>
              <w:top w:val="nil"/>
              <w:left w:val="nil"/>
              <w:bottom w:val="nil"/>
              <w:right w:val="nil"/>
            </w:tcBorders>
            <w:tcMar>
              <w:top w:w="0" w:type="dxa"/>
              <w:left w:w="62" w:type="dxa"/>
              <w:bottom w:w="0" w:type="dxa"/>
              <w:right w:w="62" w:type="dxa"/>
            </w:tcMar>
            <w:vAlign w:val="bottom"/>
          </w:tcPr>
          <w:p w:rsidR="00000000" w:rsidP="00CE10C6">
            <w:pPr>
              <w:pStyle w:val="BodyText"/>
              <w:rPr>
                <w:lang w:val="en-NZ"/>
              </w:rPr>
            </w:pPr>
            <w:r w:rsidRPr="00CE10C6">
              <w:t>Maintain operation remote area power plant</w:t>
            </w:r>
          </w:p>
        </w:tc>
      </w:tr>
      <w:tr w:rsidTr="00A169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UETTDREL11A</w:t>
            </w:r>
          </w:p>
        </w:tc>
        <w:tc>
          <w:tcPr>
            <w:tcW w:w="3780" w:type="dxa"/>
            <w:tcBorders>
              <w:top w:val="nil"/>
              <w:left w:val="nil"/>
              <w:bottom w:val="nil"/>
              <w:right w:val="nil"/>
            </w:tcBorders>
            <w:tcMar>
              <w:top w:w="0" w:type="dxa"/>
              <w:left w:w="62" w:type="dxa"/>
              <w:bottom w:w="0" w:type="dxa"/>
              <w:right w:w="62" w:type="dxa"/>
            </w:tcMar>
            <w:vAlign w:val="bottom"/>
          </w:tcPr>
          <w:p w:rsidR="00000000" w:rsidP="00CE10C6">
            <w:pPr>
              <w:pStyle w:val="BodyText"/>
              <w:rPr>
                <w:lang w:val="en-NZ"/>
              </w:rPr>
            </w:pPr>
            <w:r w:rsidRPr="00CE10C6">
              <w:t>Apply sustainable energy and environmental procedures</w:t>
            </w:r>
          </w:p>
        </w:tc>
      </w:tr>
      <w:tr w:rsidTr="00A169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UETTDREL16A</w:t>
            </w:r>
          </w:p>
        </w:tc>
        <w:tc>
          <w:tcPr>
            <w:tcW w:w="3780" w:type="dxa"/>
            <w:tcBorders>
              <w:top w:val="nil"/>
              <w:left w:val="nil"/>
              <w:bottom w:val="nil"/>
              <w:right w:val="nil"/>
            </w:tcBorders>
            <w:tcMar>
              <w:top w:w="0" w:type="dxa"/>
              <w:left w:w="62" w:type="dxa"/>
              <w:bottom w:w="0" w:type="dxa"/>
              <w:right w:w="62" w:type="dxa"/>
            </w:tcMar>
            <w:vAlign w:val="bottom"/>
          </w:tcPr>
          <w:p w:rsidR="00000000" w:rsidP="00CE10C6">
            <w:pPr>
              <w:pStyle w:val="BodyText"/>
              <w:rPr>
                <w:lang w:val="en-NZ"/>
              </w:rPr>
            </w:pPr>
            <w:r w:rsidRPr="00CE10C6">
              <w:t>Working safely near live electrical apparatus</w:t>
            </w:r>
          </w:p>
        </w:tc>
      </w:tr>
      <w:tr w:rsidTr="00A169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UETTDRIS3</w:t>
            </w:r>
            <w:r w:rsidRPr="00CE10C6">
              <w:t>2A</w:t>
            </w:r>
          </w:p>
        </w:tc>
        <w:tc>
          <w:tcPr>
            <w:tcW w:w="3780" w:type="dxa"/>
            <w:tcBorders>
              <w:top w:val="nil"/>
              <w:left w:val="nil"/>
              <w:bottom w:val="nil"/>
              <w:right w:val="nil"/>
            </w:tcBorders>
            <w:tcMar>
              <w:top w:w="0" w:type="dxa"/>
              <w:left w:w="62" w:type="dxa"/>
              <w:bottom w:w="0" w:type="dxa"/>
              <w:right w:w="62" w:type="dxa"/>
            </w:tcMar>
            <w:vAlign w:val="bottom"/>
          </w:tcPr>
          <w:p w:rsidR="00000000" w:rsidP="00CE10C6">
            <w:pPr>
              <w:pStyle w:val="BodyText"/>
              <w:rPr>
                <w:lang w:val="en-NZ"/>
              </w:rPr>
            </w:pPr>
            <w:r w:rsidRPr="00CE10C6">
              <w:t>Solve electrical problems in remote community network apparatus</w:t>
            </w:r>
          </w:p>
        </w:tc>
      </w:tr>
      <w:tr w:rsidTr="00A169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UETTDRIS33A</w:t>
            </w:r>
          </w:p>
        </w:tc>
        <w:tc>
          <w:tcPr>
            <w:tcW w:w="3780" w:type="dxa"/>
            <w:tcBorders>
              <w:top w:val="nil"/>
              <w:left w:val="nil"/>
              <w:bottom w:val="nil"/>
              <w:right w:val="nil"/>
            </w:tcBorders>
            <w:tcMar>
              <w:top w:w="0" w:type="dxa"/>
              <w:left w:w="62" w:type="dxa"/>
              <w:bottom w:w="0" w:type="dxa"/>
              <w:right w:w="62" w:type="dxa"/>
            </w:tcMar>
            <w:vAlign w:val="bottom"/>
          </w:tcPr>
          <w:p w:rsidR="00000000" w:rsidP="00CE10C6">
            <w:pPr>
              <w:pStyle w:val="BodyText"/>
              <w:rPr>
                <w:lang w:val="en-NZ"/>
              </w:rPr>
            </w:pPr>
            <w:r w:rsidRPr="00CE10C6">
              <w:t>Solve electrical problems in remote community network systems</w:t>
            </w:r>
          </w:p>
        </w:tc>
      </w:tr>
      <w:tr w:rsidTr="00A16914">
        <w:tblPrEx>
          <w:tblW w:w="0" w:type="auto"/>
          <w:tblLayout w:type="fixed"/>
          <w:tblCellMar>
            <w:left w:w="62" w:type="dxa"/>
            <w:right w:w="62" w:type="dxa"/>
          </w:tblCellMar>
          <w:tblLook w:val="0000"/>
        </w:tblPrEx>
        <w:trPr>
          <w:trHeight w:val="55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UETTDRIS99A</w:t>
            </w:r>
          </w:p>
        </w:tc>
        <w:tc>
          <w:tcPr>
            <w:tcW w:w="3780" w:type="dxa"/>
            <w:tcBorders>
              <w:top w:val="nil"/>
              <w:left w:val="nil"/>
              <w:bottom w:val="nil"/>
              <w:right w:val="nil"/>
            </w:tcBorders>
            <w:tcMar>
              <w:top w:w="0" w:type="dxa"/>
              <w:left w:w="62" w:type="dxa"/>
              <w:bottom w:w="0" w:type="dxa"/>
              <w:right w:w="62" w:type="dxa"/>
            </w:tcMar>
            <w:vAlign w:val="bottom"/>
          </w:tcPr>
          <w:p w:rsidR="00000000" w:rsidRPr="00CE10C6" w:rsidP="00CE10C6">
            <w:pPr>
              <w:pStyle w:val="BodyText"/>
            </w:pPr>
            <w:r w:rsidRPr="00CE10C6">
              <w:t>Test and Verify Distribution Remote Area Installations</w:t>
            </w:r>
          </w:p>
        </w:tc>
      </w:tr>
    </w:tbl>
    <w:p w:rsidR="00000000" w:rsidRPr="00CE10C6" w:rsidP="00CE10C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1691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E10C6" w:rsidP="00CE10C6">
            <w:pPr>
              <w:pStyle w:val="BodyText"/>
            </w:pPr>
            <w:r w:rsidRPr="00CE10C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rPr>
                <w:rStyle w:val="SpecialBold"/>
              </w:rPr>
              <w:t xml:space="preserve">4.2) </w:t>
            </w:r>
          </w:p>
        </w:tc>
      </w:tr>
      <w:tr w:rsidTr="00A169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Participants are best equipped to achieve this unit if they have reading, writing and numeracy skills indicated by the following scales. Description of each scale is given in Volume 2, Part 3 “Literacy and Numeracy”</w:t>
            </w:r>
          </w:p>
        </w:tc>
      </w:tr>
      <w:tr w:rsidTr="00A16914">
        <w:tblPrEx>
          <w:tblW w:w="0" w:type="auto"/>
          <w:tblLayout w:type="fixed"/>
          <w:tblCellMar>
            <w:left w:w="62" w:type="dxa"/>
            <w:right w:w="62" w:type="dxa"/>
          </w:tblCellMar>
          <w:tblLook w:val="0000"/>
        </w:tblPrEx>
        <w:trPr>
          <w:trHeight w:val="33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Reading</w:t>
            </w:r>
          </w:p>
        </w:tc>
        <w:tc>
          <w:tcPr>
            <w:tcW w:w="810"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3</w:t>
            </w:r>
          </w:p>
        </w:tc>
        <w:tc>
          <w:tcPr>
            <w:tcW w:w="990"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Writing</w:t>
            </w:r>
          </w:p>
        </w:tc>
        <w:tc>
          <w:tcPr>
            <w:tcW w:w="900"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3</w:t>
            </w:r>
          </w:p>
        </w:tc>
        <w:tc>
          <w:tcPr>
            <w:tcW w:w="1260"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Numeracy</w:t>
            </w:r>
          </w:p>
        </w:tc>
        <w:tc>
          <w:tcPr>
            <w:tcW w:w="720" w:type="dxa"/>
            <w:tcBorders>
              <w:top w:val="nil"/>
              <w:left w:val="nil"/>
              <w:bottom w:val="nil"/>
              <w:right w:val="nil"/>
            </w:tcBorders>
            <w:tcMar>
              <w:top w:w="0" w:type="dxa"/>
              <w:left w:w="62" w:type="dxa"/>
              <w:bottom w:w="0" w:type="dxa"/>
              <w:right w:w="62" w:type="dxa"/>
            </w:tcMar>
          </w:tcPr>
          <w:p w:rsidR="00000000" w:rsidRPr="00CE10C6" w:rsidP="00CE10C6">
            <w:pPr>
              <w:pStyle w:val="BodyText"/>
            </w:pPr>
            <w:r w:rsidRPr="00CE10C6">
              <w:t>3</w:t>
            </w:r>
          </w:p>
        </w:tc>
      </w:tr>
    </w:tbl>
    <w:p w:rsidR="00000000" w:rsidRPr="00CE10C6" w:rsidP="00CE10C6">
      <w:pPr>
        <w:pStyle w:val="BodyText"/>
      </w:pPr>
    </w:p>
    <w:p w:rsidR="00000000" w:rsidRPr="00CE10C6" w:rsidP="00CE10C6">
      <w:pPr>
        <w:pStyle w:val="AllowPageBreak"/>
      </w:pPr>
    </w:p>
    <w:p w:rsidR="00000000" w:rsidRPr="00CE10C6" w:rsidP="00CE10C6">
      <w:pPr>
        <w:pStyle w:val="Heading1"/>
      </w:pPr>
      <w:bookmarkStart w:id="6" w:name="O_462415"/>
      <w:bookmarkEnd w:id="6"/>
      <w:r w:rsidRPr="00CE10C6">
        <w:t>Employability Skills Information</w:t>
      </w:r>
    </w:p>
    <w:tbl>
      <w:tblPr>
        <w:tblW w:w="0" w:type="auto"/>
        <w:tblLayout w:type="fixed"/>
        <w:tblCellMar>
          <w:left w:w="62" w:type="dxa"/>
          <w:right w:w="62" w:type="dxa"/>
        </w:tblCellMar>
        <w:tblLook w:val="0000"/>
      </w:tblPr>
      <w:tblGrid>
        <w:gridCol w:w="2700"/>
        <w:gridCol w:w="5760"/>
      </w:tblGrid>
      <w:tr w:rsidTr="00A169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E10C6" w:rsidP="00CE10C6">
            <w:pPr>
              <w:pStyle w:val="BodyText"/>
            </w:pPr>
            <w:r w:rsidRPr="00CE10C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rPr>
                <w:rStyle w:val="SpecialBold"/>
              </w:rPr>
              <w:t xml:space="preserve">5) </w:t>
            </w:r>
          </w:p>
        </w:tc>
      </w:tr>
      <w:tr w:rsidTr="00A169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E10C6" w:rsidP="00CE10C6">
            <w:pPr>
              <w:pStyle w:val="BodyText"/>
            </w:pPr>
            <w:r w:rsidRPr="00CE10C6">
              <w:t>The required outcomes described in this unit of competency contain applicable facets of Employability Skills. The Employability Skills Summary of the qualification in which this u</w:t>
            </w:r>
            <w:r w:rsidRPr="00CE10C6">
              <w:t>nit of competency is packaged will assist in identifying Employability Skill requirements.</w:t>
            </w:r>
          </w:p>
        </w:tc>
      </w:tr>
    </w:tbl>
    <w:p w:rsidR="00000000" w:rsidRPr="00CE10C6" w:rsidP="00CE10C6">
      <w:pPr>
        <w:pStyle w:val="BodyText"/>
      </w:pPr>
    </w:p>
    <w:p w:rsidR="00000000" w:rsidRPr="00CE10C6" w:rsidP="00CE10C6">
      <w:pPr>
        <w:pStyle w:val="AllowPageBreak"/>
      </w:pPr>
    </w:p>
    <w:p w:rsidR="00000000" w:rsidRPr="00CE10C6" w:rsidP="00CE10C6">
      <w:pPr>
        <w:pStyle w:val="Heading1"/>
      </w:pPr>
      <w:bookmarkStart w:id="7" w:name="O_462414"/>
      <w:bookmarkEnd w:id="7"/>
      <w:r w:rsidRPr="00CE10C6">
        <w:t>Elements and Performance Criteria Pre-Content</w:t>
      </w:r>
    </w:p>
    <w:tbl>
      <w:tblPr>
        <w:tblW w:w="0" w:type="auto"/>
        <w:tblLayout w:type="fixed"/>
        <w:tblCellMar>
          <w:left w:w="62" w:type="dxa"/>
          <w:right w:w="62" w:type="dxa"/>
        </w:tblCellMar>
        <w:tblLook w:val="0000"/>
      </w:tblPr>
      <w:tblGrid>
        <w:gridCol w:w="2700"/>
        <w:gridCol w:w="5760"/>
      </w:tblGrid>
      <w:tr w:rsidTr="00A169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rPr>
                <w:rStyle w:val="SpecialBold"/>
              </w:rPr>
              <w:t>6)</w:t>
            </w:r>
            <w:r w:rsidRPr="00CE10C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E10C6" w:rsidP="00CE10C6">
            <w:pPr>
              <w:pStyle w:val="BodyText"/>
            </w:pPr>
            <w:r w:rsidRPr="00CE10C6">
              <w:t>Performance Criteria describe the required performance needed to demonstrate achievement of the element. Assessment of performance is to be consistent with the Evidence Guide.</w:t>
            </w:r>
          </w:p>
        </w:tc>
      </w:tr>
    </w:tbl>
    <w:p w:rsidR="00000000" w:rsidRPr="00CE10C6" w:rsidP="00CE10C6">
      <w:pPr>
        <w:pStyle w:val="BodyText"/>
      </w:pPr>
    </w:p>
    <w:p w:rsidR="00000000" w:rsidRPr="00CE10C6" w:rsidP="00CE10C6">
      <w:pPr>
        <w:pStyle w:val="AllowPageBreak"/>
      </w:pPr>
    </w:p>
    <w:p w:rsidR="00000000" w:rsidRPr="00CE10C6" w:rsidP="00CE10C6">
      <w:pPr>
        <w:pStyle w:val="Heading1"/>
      </w:pPr>
      <w:bookmarkStart w:id="8" w:name="O_462413"/>
      <w:bookmarkEnd w:id="8"/>
      <w:r w:rsidRPr="00CE10C6">
        <w:t>Elements and Performance Criteria</w:t>
      </w:r>
    </w:p>
    <w:tbl>
      <w:tblPr>
        <w:tblW w:w="0" w:type="auto"/>
        <w:tblLayout w:type="fixed"/>
        <w:tblCellMar>
          <w:left w:w="62" w:type="dxa"/>
          <w:right w:w="62" w:type="dxa"/>
        </w:tblCellMar>
        <w:tblLook w:val="0000"/>
      </w:tblPr>
      <w:tblGrid>
        <w:gridCol w:w="409"/>
        <w:gridCol w:w="2291"/>
        <w:gridCol w:w="855"/>
        <w:gridCol w:w="4905"/>
      </w:tblGrid>
      <w:tr w:rsidTr="00A1691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E10C6" w:rsidP="00CE10C6">
            <w:pPr>
              <w:pStyle w:val="BodyText"/>
            </w:pPr>
            <w:r w:rsidRPr="00CE10C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rPr>
                <w:rStyle w:val="SpecialBold"/>
              </w:rPr>
              <w:t>PERFORMANCE CRITER</w:t>
            </w:r>
            <w:r w:rsidRPr="00CE10C6">
              <w:rPr>
                <w:rStyle w:val="SpecialBold"/>
              </w:rPr>
              <w:t>IA</w:t>
            </w:r>
          </w:p>
        </w:tc>
      </w:tr>
      <w:tr w:rsidTr="00A1691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1</w:t>
            </w:r>
          </w:p>
        </w:tc>
        <w:tc>
          <w:tcPr>
            <w:tcW w:w="2291"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Prepare for the installation and maintenance of public lighting systems</w:t>
            </w:r>
          </w:p>
        </w:tc>
        <w:tc>
          <w:tcPr>
            <w:tcW w:w="85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1.1</w:t>
            </w:r>
          </w:p>
        </w:tc>
        <w:tc>
          <w:tcPr>
            <w:tcW w:w="490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 xml:space="preserve">Works schedule(s), including drawings, plans, requirements, established procedures, and material lists, are received, analysed and confirmed, </w:t>
            </w:r>
            <w:r w:rsidRPr="00CE10C6">
              <w:t>if necessary, by site inspection.</w:t>
            </w:r>
          </w:p>
        </w:tc>
      </w:tr>
      <w:tr w:rsidTr="00A1691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1.2</w:t>
            </w:r>
          </w:p>
        </w:tc>
        <w:tc>
          <w:tcPr>
            <w:tcW w:w="490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Relevant requirements and established procedures for the work are communicated to all personnel and identified for all work sites.</w:t>
            </w:r>
          </w:p>
        </w:tc>
      </w:tr>
      <w:tr w:rsidTr="00A1691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1.3</w:t>
            </w:r>
          </w:p>
        </w:tc>
        <w:tc>
          <w:tcPr>
            <w:tcW w:w="490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OHS policies and procedures related to requirements and established procedure</w:t>
            </w:r>
            <w:r w:rsidRPr="00CE10C6">
              <w:t>s for the installation and maintenance of public lighting systems are obtained and confirmed for the purposes of the work to be performed and communicated.</w:t>
            </w:r>
          </w:p>
        </w:tc>
      </w:tr>
      <w:tr w:rsidTr="00A16914">
        <w:tblPrEx>
          <w:tblW w:w="0" w:type="auto"/>
          <w:tblLayout w:type="fixed"/>
          <w:tblCellMar>
            <w:left w:w="62" w:type="dxa"/>
            <w:right w:w="62" w:type="dxa"/>
          </w:tblCellMar>
          <w:tblLook w:val="0000"/>
        </w:tblPrEx>
        <w:trPr>
          <w:trHeight w:val="1084"/>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1.4</w:t>
            </w:r>
          </w:p>
        </w:tc>
        <w:tc>
          <w:tcPr>
            <w:tcW w:w="490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Work is prioritised and sequenced following consultation with others for completion within acceptable timeframes and in accordance with established procedures.</w:t>
            </w:r>
          </w:p>
        </w:tc>
      </w:tr>
      <w:tr w:rsidTr="00A1691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1.5</w:t>
            </w:r>
          </w:p>
        </w:tc>
        <w:tc>
          <w:tcPr>
            <w:tcW w:w="490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Hazards are identified, OHS risks assessed and control measures are prioritised, implemen</w:t>
            </w:r>
            <w:r w:rsidRPr="00CE10C6">
              <w:t>ted and monitored including emergency exits kept clear according to established procedures.</w:t>
            </w:r>
          </w:p>
        </w:tc>
      </w:tr>
      <w:tr w:rsidTr="00A1691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1.6</w:t>
            </w:r>
          </w:p>
        </w:tc>
        <w:tc>
          <w:tcPr>
            <w:tcW w:w="490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Relevant work permits are obtained to access and perform work according to requirements and/or established procedures.</w:t>
            </w:r>
          </w:p>
        </w:tc>
      </w:tr>
      <w:tr w:rsidTr="00A1691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1.7</w:t>
            </w:r>
          </w:p>
        </w:tc>
        <w:tc>
          <w:tcPr>
            <w:tcW w:w="490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Resources including personnel, equipment, tools and personal protective equipment required for the job are obtained and confirmed in working order.</w:t>
            </w:r>
          </w:p>
        </w:tc>
      </w:tr>
      <w:tr w:rsidTr="00A1691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1.8</w:t>
            </w:r>
          </w:p>
        </w:tc>
        <w:tc>
          <w:tcPr>
            <w:tcW w:w="490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 xml:space="preserve">Relevant personnel at worksite are confirmed current in First Aid, Pole Top Rescue and other related </w:t>
            </w:r>
            <w:r w:rsidRPr="00CE10C6">
              <w:t>work procedures according to requirements.</w:t>
            </w:r>
          </w:p>
        </w:tc>
      </w:tr>
      <w:tr w:rsidTr="00A1691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1.9</w:t>
            </w:r>
          </w:p>
        </w:tc>
        <w:tc>
          <w:tcPr>
            <w:tcW w:w="490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Liaison and communication issues with other/authorised personnel, authorities, clients and land owners are resolved to carry out work where necessary.</w:t>
            </w:r>
          </w:p>
        </w:tc>
      </w:tr>
      <w:tr w:rsidTr="00A1691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1.10</w:t>
            </w:r>
          </w:p>
        </w:tc>
        <w:tc>
          <w:tcPr>
            <w:tcW w:w="490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Site is prepared according to the work schedule</w:t>
            </w:r>
            <w:r w:rsidRPr="00CE10C6">
              <w:t xml:space="preserve"> and to minimise risk and damage to property, commerce, and individuals in accordance with established procedures.</w:t>
            </w:r>
          </w:p>
        </w:tc>
      </w:tr>
      <w:tr w:rsidTr="00A1691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1.11</w:t>
            </w:r>
          </w:p>
        </w:tc>
        <w:tc>
          <w:tcPr>
            <w:tcW w:w="490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Personnel participating in the work, including plant operators and contractors, are fully briefed and respective responsibilities confirmed where applicable in accordance with established procedures.</w:t>
            </w:r>
          </w:p>
        </w:tc>
      </w:tr>
      <w:tr w:rsidTr="00A1691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1.12</w:t>
            </w:r>
          </w:p>
        </w:tc>
        <w:tc>
          <w:tcPr>
            <w:tcW w:w="490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Traffic management plan is identified and implem</w:t>
            </w:r>
            <w:r w:rsidRPr="00CE10C6">
              <w:t>ented.</w:t>
            </w:r>
          </w:p>
        </w:tc>
      </w:tr>
      <w:tr w:rsidTr="00A1691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2</w:t>
            </w:r>
          </w:p>
        </w:tc>
        <w:tc>
          <w:tcPr>
            <w:tcW w:w="2291"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Carry out installation and maintenance of public lighting systems</w:t>
            </w:r>
          </w:p>
        </w:tc>
        <w:tc>
          <w:tcPr>
            <w:tcW w:w="85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2.1</w:t>
            </w:r>
          </w:p>
        </w:tc>
        <w:tc>
          <w:tcPr>
            <w:tcW w:w="490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OHS, sustainable energy and environmental principles and practices to reduce the incidents of accidents and minimise waste are monitored and followed in accordance with require</w:t>
            </w:r>
            <w:r w:rsidRPr="00CE10C6">
              <w:t>ments and/or established procedures.</w:t>
            </w:r>
          </w:p>
        </w:tc>
      </w:tr>
      <w:tr w:rsidTr="00A1691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2.2</w:t>
            </w:r>
          </w:p>
        </w:tc>
        <w:tc>
          <w:tcPr>
            <w:tcW w:w="490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Lifting, climbing, working in confined spaces and aloft, and use of power tools/equipment, techniques and practices are safely followed and, currency according to requirements confirmed.</w:t>
            </w:r>
          </w:p>
        </w:tc>
      </w:tr>
      <w:tr w:rsidTr="00A1691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2.3</w:t>
            </w:r>
          </w:p>
        </w:tc>
        <w:tc>
          <w:tcPr>
            <w:tcW w:w="490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Essential knowledge and associated skills are applied in the safe installation and maintenance of public lighting systems to ensure completion in an agreed timeframe and, to quality standards with a minimum of waste according to requirements.</w:t>
            </w:r>
          </w:p>
        </w:tc>
      </w:tr>
      <w:tr w:rsidTr="00A1691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2.4</w:t>
            </w:r>
          </w:p>
        </w:tc>
        <w:tc>
          <w:tcPr>
            <w:tcW w:w="490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Excava</w:t>
            </w:r>
            <w:r w:rsidRPr="00CE10C6">
              <w:t>tion/foundation construction is inspected, and confirmed as being in accordance with established procedures.</w:t>
            </w:r>
          </w:p>
        </w:tc>
      </w:tr>
      <w:tr w:rsidTr="00A1691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2.5</w:t>
            </w:r>
          </w:p>
        </w:tc>
        <w:tc>
          <w:tcPr>
            <w:tcW w:w="490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Associated hardware, fittings and control gear are installed as per established procedures.</w:t>
            </w:r>
          </w:p>
        </w:tc>
      </w:tr>
      <w:tr w:rsidTr="00A1691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2.6</w:t>
            </w:r>
          </w:p>
        </w:tc>
        <w:tc>
          <w:tcPr>
            <w:tcW w:w="490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Earthing system and street lighting circu</w:t>
            </w:r>
            <w:r w:rsidRPr="00CE10C6">
              <w:t>it is installed as per established procedures.</w:t>
            </w:r>
          </w:p>
        </w:tc>
      </w:tr>
      <w:tr w:rsidTr="00A1691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2.7</w:t>
            </w:r>
          </w:p>
        </w:tc>
        <w:tc>
          <w:tcPr>
            <w:tcW w:w="490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Inspection of public lighting and associated hardware is conducted to ascertain that it conforms to requirements/established procedures.</w:t>
            </w:r>
          </w:p>
        </w:tc>
      </w:tr>
      <w:tr w:rsidTr="00A1691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2.8</w:t>
            </w:r>
          </w:p>
        </w:tc>
        <w:tc>
          <w:tcPr>
            <w:tcW w:w="490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Maintenance, including repair and/or replacement of the public lighting system is carried out, in accordance with the work schedule and requirements/established procedures.</w:t>
            </w:r>
          </w:p>
        </w:tc>
      </w:tr>
      <w:tr w:rsidTr="00A1691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2.9</w:t>
            </w:r>
          </w:p>
        </w:tc>
        <w:tc>
          <w:tcPr>
            <w:tcW w:w="490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Hazard warnings and safety signs are recognised and hazards and assessed OHS</w:t>
            </w:r>
            <w:r w:rsidRPr="00CE10C6">
              <w:t xml:space="preserve"> risks are reported to the immediate authorised persons for directions according to established procedures.</w:t>
            </w:r>
          </w:p>
        </w:tc>
      </w:tr>
      <w:tr w:rsidTr="00A1691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2.10</w:t>
            </w:r>
          </w:p>
        </w:tc>
        <w:tc>
          <w:tcPr>
            <w:tcW w:w="490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Unplanned events in the installation and maintenance of public lighting systems are undertaken within the scope of established procedures.</w:t>
            </w:r>
          </w:p>
        </w:tc>
      </w:tr>
      <w:tr w:rsidTr="00A1691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2.11</w:t>
            </w:r>
          </w:p>
        </w:tc>
        <w:tc>
          <w:tcPr>
            <w:tcW w:w="490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Known solutions to a variety of problems are applied using acquired essential knowledge and associated skills.</w:t>
            </w:r>
          </w:p>
        </w:tc>
      </w:tr>
      <w:tr w:rsidTr="00A1691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2.12</w:t>
            </w:r>
          </w:p>
        </w:tc>
        <w:tc>
          <w:tcPr>
            <w:tcW w:w="490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Ongoing checks of quality of the work are undertaken in accordance with instructions and established procedures.</w:t>
            </w:r>
          </w:p>
        </w:tc>
      </w:tr>
      <w:tr w:rsidTr="00A1691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3</w:t>
            </w:r>
          </w:p>
        </w:tc>
        <w:tc>
          <w:tcPr>
            <w:tcW w:w="2291" w:type="dxa"/>
            <w:vMerge w:val="restart"/>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Complete the installation and maintenance of public lighting systems</w:t>
            </w:r>
          </w:p>
        </w:tc>
        <w:tc>
          <w:tcPr>
            <w:tcW w:w="85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3.1</w:t>
            </w:r>
          </w:p>
        </w:tc>
        <w:tc>
          <w:tcPr>
            <w:tcW w:w="490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Work undertaken is checked against works schedule for conformance with requirements and anomalies reported in accordance with established procedures</w:t>
            </w:r>
          </w:p>
        </w:tc>
      </w:tr>
      <w:tr w:rsidTr="00A1691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3.2</w:t>
            </w:r>
          </w:p>
        </w:tc>
        <w:tc>
          <w:tcPr>
            <w:tcW w:w="490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Accidents and/or injuries a</w:t>
            </w:r>
            <w:r w:rsidRPr="00CE10C6">
              <w:t>re reported in accordance with requirements/established procedures, where applicable.</w:t>
            </w:r>
          </w:p>
        </w:tc>
      </w:tr>
      <w:tr w:rsidTr="00A1691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3.3</w:t>
            </w:r>
          </w:p>
        </w:tc>
        <w:tc>
          <w:tcPr>
            <w:tcW w:w="490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Work site is rehabilitated, cleaned up and made safe in accordance with established procedures.</w:t>
            </w:r>
          </w:p>
        </w:tc>
      </w:tr>
      <w:tr w:rsidTr="00A1691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3.4</w:t>
            </w:r>
          </w:p>
        </w:tc>
        <w:tc>
          <w:tcPr>
            <w:tcW w:w="490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Tools, equipment and any surplus resources and materials are, where appropriate, cleaned, checked and returned to storage or disposed of in accordance with established procedures.</w:t>
            </w:r>
          </w:p>
        </w:tc>
      </w:tr>
      <w:tr w:rsidTr="00A1691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3.5</w:t>
            </w:r>
          </w:p>
        </w:tc>
        <w:tc>
          <w:tcPr>
            <w:tcW w:w="490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Relevant work permit(s) are signed off and, the public lighting syste</w:t>
            </w:r>
            <w:r w:rsidRPr="00CE10C6">
              <w:t>m is returned to service in accordance with requirements.</w:t>
            </w:r>
          </w:p>
        </w:tc>
      </w:tr>
      <w:tr w:rsidTr="00A1691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5"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t>3.6</w:t>
            </w:r>
          </w:p>
        </w:tc>
        <w:tc>
          <w:tcPr>
            <w:tcW w:w="4905" w:type="dxa"/>
            <w:tcBorders>
              <w:top w:val="nil"/>
              <w:left w:val="nil"/>
              <w:bottom w:val="nil"/>
              <w:right w:val="nil"/>
            </w:tcBorders>
            <w:tcMar>
              <w:top w:w="0" w:type="dxa"/>
              <w:left w:w="62" w:type="dxa"/>
              <w:bottom w:w="0" w:type="dxa"/>
              <w:right w:w="62" w:type="dxa"/>
            </w:tcMar>
          </w:tcPr>
          <w:p w:rsidR="00000000" w:rsidRPr="00CE10C6" w:rsidP="00CE10C6">
            <w:pPr>
              <w:pStyle w:val="BodyText"/>
            </w:pPr>
            <w:r w:rsidRPr="00CE10C6">
              <w:t>Works completion records, reports, as installed /modified drawing and/or documentation and information are finalised and processed and appropriate personnel notified.</w:t>
            </w:r>
          </w:p>
        </w:tc>
      </w:tr>
    </w:tbl>
    <w:p w:rsidR="00000000" w:rsidRPr="00CE10C6" w:rsidP="00CE10C6">
      <w:pPr>
        <w:pStyle w:val="BodyText"/>
      </w:pPr>
    </w:p>
    <w:p w:rsidR="00000000" w:rsidRPr="00CE10C6" w:rsidP="00CE10C6">
      <w:pPr>
        <w:pStyle w:val="AllowPageBreak"/>
      </w:pPr>
    </w:p>
    <w:p w:rsidR="00000000" w:rsidRPr="00CE10C6" w:rsidP="00CE10C6">
      <w:pPr>
        <w:pStyle w:val="Heading1"/>
      </w:pPr>
      <w:bookmarkStart w:id="9" w:name="O_462421"/>
      <w:bookmarkEnd w:id="9"/>
      <w:r w:rsidRPr="00CE10C6">
        <w:t>Required Skills and Knowledge</w:t>
      </w:r>
    </w:p>
    <w:tbl>
      <w:tblPr>
        <w:tblW w:w="0" w:type="auto"/>
        <w:tblLayout w:type="fixed"/>
        <w:tblCellMar>
          <w:left w:w="62" w:type="dxa"/>
          <w:right w:w="62" w:type="dxa"/>
        </w:tblCellMar>
        <w:tblLook w:val="0000"/>
      </w:tblPr>
      <w:tblGrid>
        <w:gridCol w:w="8460"/>
      </w:tblGrid>
      <w:tr w:rsidTr="00A1691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rPr>
                <w:rStyle w:val="SpecialBold"/>
              </w:rPr>
              <w:t>REQUIRED SKILLS AND KNOWLEDGE</w:t>
            </w:r>
          </w:p>
        </w:tc>
      </w:tr>
      <w:tr w:rsidTr="00A1691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E10C6" w:rsidP="00CE10C6">
            <w:pPr>
              <w:pStyle w:val="BodyText"/>
            </w:pPr>
            <w:r w:rsidRPr="00CE10C6">
              <w:rPr>
                <w:rStyle w:val="SpecialBold"/>
              </w:rPr>
              <w:t>8)</w:t>
            </w:r>
            <w:r w:rsidRPr="00CE10C6">
              <w:t xml:space="preserve"> Essential Knowledge and Associated Skills (EKAS): This describes the essential skills and knowledge and their level, required for this unit.</w:t>
            </w:r>
          </w:p>
          <w:p w:rsidR="00000000" w:rsidRPr="00CE10C6" w:rsidP="00CE10C6">
            <w:pPr>
              <w:pStyle w:val="BodyText"/>
            </w:pPr>
            <w:r w:rsidRPr="00CE10C6">
              <w:t>Evidence shall show that knowledge has been acquire</w:t>
            </w:r>
            <w:r w:rsidRPr="00CE10C6">
              <w:t>d of installing and maintaining public lighting systems.</w:t>
            </w:r>
          </w:p>
          <w:p w:rsidR="00000000" w:rsidRPr="00CE10C6" w:rsidP="00CE10C6">
            <w:pPr>
              <w:pStyle w:val="BodyText"/>
            </w:pPr>
            <w:r w:rsidRPr="00CE10C6">
              <w:t>All knowledge and skills detailed in this unit should be contextualised to current industry practices and technologies.</w:t>
            </w:r>
          </w:p>
          <w:p w:rsidR="00000000" w:rsidRPr="00CE10C6" w:rsidP="00CE10C6">
            <w:pPr>
              <w:pStyle w:val="BodyText"/>
            </w:pPr>
            <w:r w:rsidRPr="00CE10C6">
              <w:t>KS01-TIS38A</w:t>
            </w:r>
            <w:r w:rsidRPr="00CE10C6">
              <w:tab/>
              <w:t>Remote area public lighting and associated equipment</w:t>
            </w:r>
          </w:p>
          <w:p w:rsidR="00000000" w:rsidRPr="00CE10C6" w:rsidP="00CE10C6">
            <w:pPr>
              <w:pStyle w:val="BodyText"/>
            </w:pPr>
            <w:r w:rsidRPr="00CE10C6">
              <w:t>Evidence shall</w:t>
            </w:r>
            <w:r w:rsidRPr="00CE10C6">
              <w:t xml:space="preserve"> show an understanding of the installation and maintenance of public lighting systems and associated equipment in remote communities to an extent indicated by the following aspects:</w:t>
            </w:r>
          </w:p>
          <w:p w:rsidR="00000000" w:rsidRPr="00CE10C6" w:rsidP="00CE10C6">
            <w:pPr>
              <w:pStyle w:val="BodyText"/>
            </w:pPr>
            <w:r w:rsidRPr="00CE10C6">
              <w:t>T1</w:t>
            </w:r>
            <w:r w:rsidRPr="00CE10C6">
              <w:tab/>
            </w:r>
            <w:r w:rsidRPr="00CE10C6">
              <w:t>Standards, codes, legislation, supply authority regulations, local government and or enterprise requirements pertaining to the installation and maintenance of public lighting systems and associated equipment</w:t>
            </w:r>
          </w:p>
          <w:p w:rsidR="00000000" w:rsidRPr="00CE10C6" w:rsidP="00CE10C6">
            <w:pPr>
              <w:pStyle w:val="BodyText"/>
            </w:pPr>
            <w:r w:rsidRPr="00CE10C6">
              <w:t>T2</w:t>
            </w:r>
            <w:r w:rsidRPr="00CE10C6">
              <w:tab/>
              <w:t>Types of lighting systems (Overhead and under</w:t>
            </w:r>
            <w:r w:rsidRPr="00CE10C6">
              <w:t>ground)</w:t>
            </w:r>
          </w:p>
          <w:p w:rsidR="00000000" w:rsidRPr="00CE10C6" w:rsidP="00CE10C6">
            <w:pPr>
              <w:pStyle w:val="BodyText"/>
            </w:pPr>
            <w:r w:rsidRPr="00CE10C6">
              <w:t>T3</w:t>
            </w:r>
            <w:r w:rsidRPr="00CE10C6">
              <w:tab/>
              <w:t>Safety precautions specific to working on street lighting (Safe working practices and procedures, Working at heights, Working in confined spaces, Permit to work systems and isolation procedures)</w:t>
            </w:r>
          </w:p>
          <w:p w:rsidR="00000000" w:rsidRPr="00CE10C6" w:rsidP="00CE10C6">
            <w:pPr>
              <w:pStyle w:val="BodyText"/>
            </w:pPr>
            <w:r w:rsidRPr="00CE10C6">
              <w:t>T4</w:t>
            </w:r>
            <w:r w:rsidRPr="00CE10C6">
              <w:tab/>
              <w:t>Basic public lighting principles (Electromagnet</w:t>
            </w:r>
            <w:r w:rsidRPr="00CE10C6">
              <w:t>ic spectrum, Principles of colour Behaviour of light, Factors that affect illumination)</w:t>
            </w:r>
          </w:p>
          <w:p w:rsidR="00000000" w:rsidRPr="00CE10C6" w:rsidP="00CE10C6">
            <w:pPr>
              <w:pStyle w:val="BodyText"/>
            </w:pPr>
            <w:r w:rsidRPr="00CE10C6">
              <w:t>T5</w:t>
            </w:r>
            <w:r w:rsidRPr="00CE10C6">
              <w:tab/>
              <w:t>Requirements for the use of enterprise construction manuals, system, diagrams/plans and drawings (Constructing streetlight, Street lighting circuits, earthing system</w:t>
            </w:r>
            <w:r w:rsidRPr="00CE10C6">
              <w:t>)</w:t>
            </w:r>
          </w:p>
          <w:p w:rsidR="00000000" w:rsidRPr="00CE10C6" w:rsidP="00CE10C6">
            <w:pPr>
              <w:pStyle w:val="BodyText"/>
            </w:pPr>
            <w:r w:rsidRPr="00CE10C6">
              <w:t>T6</w:t>
            </w:r>
            <w:r w:rsidRPr="00CE10C6">
              <w:tab/>
              <w:t>Types of tools and equipment used for installation and maintenance</w:t>
            </w:r>
          </w:p>
          <w:p w:rsidR="00000000" w:rsidRPr="00CE10C6" w:rsidP="00CE10C6">
            <w:pPr>
              <w:pStyle w:val="BodyText"/>
            </w:pPr>
            <w:r w:rsidRPr="00CE10C6">
              <w:t>T7</w:t>
            </w:r>
            <w:r w:rsidRPr="00CE10C6">
              <w:tab/>
              <w:t xml:space="preserve">Types and function of lanterns/Luminaries/lamps, control equipment, poles and associated hardware used for street lighting (HP mercury vapour, LP and HP sodium vapour, fluorescent, </w:t>
            </w:r>
            <w:r w:rsidRPr="00CE10C6">
              <w:t>quartz-halogen, wood, concrete, steel, composite, choke boxes, photo-electric cells, time switches, contactor boxes, brackets, street lights standards)</w:t>
            </w:r>
          </w:p>
          <w:p w:rsidR="00000000" w:rsidRPr="00CE10C6" w:rsidP="00CE10C6">
            <w:pPr>
              <w:pStyle w:val="BodyText"/>
            </w:pPr>
            <w:r w:rsidRPr="00CE10C6">
              <w:t>T8</w:t>
            </w:r>
            <w:r w:rsidRPr="00CE10C6">
              <w:tab/>
              <w:t>Techniques for the installation of street lighting systems</w:t>
            </w:r>
          </w:p>
          <w:p w:rsidR="00000000" w:rsidRPr="00CE10C6" w:rsidP="00CE10C6">
            <w:pPr>
              <w:pStyle w:val="BodyText"/>
            </w:pPr>
            <w:r w:rsidRPr="00CE10C6">
              <w:t>T9</w:t>
            </w:r>
            <w:r w:rsidRPr="00CE10C6">
              <w:tab/>
              <w:t xml:space="preserve">Techniques for the inspection, testing </w:t>
            </w:r>
            <w:r w:rsidRPr="00CE10C6">
              <w:t>and commissioning of street lighting systems</w:t>
            </w:r>
          </w:p>
          <w:p w:rsidR="00000000" w:rsidRPr="00CE10C6" w:rsidP="00CE10C6">
            <w:pPr>
              <w:pStyle w:val="BodyText"/>
            </w:pPr>
            <w:r w:rsidRPr="00CE10C6">
              <w:t>T10</w:t>
            </w:r>
            <w:r w:rsidRPr="00CE10C6">
              <w:tab/>
              <w:t>Techniques for the maintenance of street lighting systems (diagnosing of faults, removing, repairing, replacement and cleaning of public lighting and associated hardware, controlling and switching of lightin</w:t>
            </w:r>
            <w:r w:rsidRPr="00CE10C6">
              <w:t>g systems)</w:t>
            </w:r>
          </w:p>
        </w:tc>
      </w:tr>
    </w:tbl>
    <w:p w:rsidR="00000000" w:rsidRPr="00CE10C6" w:rsidP="00CE10C6">
      <w:pPr>
        <w:pStyle w:val="BodyText"/>
      </w:pPr>
    </w:p>
    <w:p w:rsidR="00000000" w:rsidRPr="00CE10C6" w:rsidP="00CE10C6">
      <w:pPr>
        <w:pStyle w:val="AllowPageBreak"/>
      </w:pPr>
    </w:p>
    <w:p w:rsidR="00000000" w:rsidRPr="00CE10C6" w:rsidP="00CE10C6">
      <w:pPr>
        <w:pStyle w:val="Heading1"/>
      </w:pPr>
      <w:bookmarkStart w:id="10" w:name="O_462416"/>
      <w:bookmarkEnd w:id="10"/>
      <w:r w:rsidRPr="00CE10C6">
        <w:t>Evidence Guide</w:t>
      </w:r>
    </w:p>
    <w:tbl>
      <w:tblPr>
        <w:tblW w:w="0" w:type="auto"/>
        <w:tblLayout w:type="fixed"/>
        <w:tblCellMar>
          <w:left w:w="62" w:type="dxa"/>
          <w:right w:w="62" w:type="dxa"/>
        </w:tblCellMar>
        <w:tblLook w:val="0000"/>
      </w:tblPr>
      <w:tblGrid>
        <w:gridCol w:w="8460"/>
      </w:tblGrid>
      <w:tr w:rsidTr="00A1691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rPr>
                <w:rStyle w:val="SpecialBold"/>
              </w:rPr>
              <w:t>EVIDENCE GUIDE</w:t>
            </w:r>
          </w:p>
        </w:tc>
      </w:tr>
      <w:tr w:rsidTr="00A1691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E10C6" w:rsidP="00CE10C6">
            <w:pPr>
              <w:pStyle w:val="BodyText"/>
            </w:pPr>
            <w:r w:rsidRPr="00CE10C6">
              <w:rPr>
                <w:rStyle w:val="SpecialBold"/>
              </w:rPr>
              <w:t>9)</w:t>
            </w:r>
            <w:r w:rsidRPr="00CE10C6">
              <w:t xml:space="preserve"> This provides essential advice for assessment of the unit of competency and must be read in conjunction </w:t>
            </w:r>
            <w:r w:rsidRPr="00CE10C6">
              <w:t>with the Performance Criteria and the range statement of the unit of competency and the Training Package Assessment Guidelines.</w:t>
            </w:r>
          </w:p>
          <w:p w:rsidR="00000000" w:rsidRPr="00CE10C6" w:rsidP="00CE10C6">
            <w:pPr>
              <w:pStyle w:val="BodyText"/>
            </w:pPr>
            <w:r w:rsidRPr="00CE10C6">
              <w:t>The Evidence Guide forms an integral part of this Competency Standard Unit and shall be used in conjunction with all component p</w:t>
            </w:r>
            <w:r w:rsidRPr="00CE10C6">
              <w:t>arts of this unit and, performed in accordance with the Assessment Guidelines of this Training Package.</w:t>
            </w:r>
          </w:p>
        </w:tc>
      </w:tr>
    </w:tbl>
    <w:p w:rsidR="00000000" w:rsidRPr="00CE10C6" w:rsidP="00CE10C6">
      <w:pPr>
        <w:pStyle w:val="BodyText"/>
      </w:pPr>
    </w:p>
    <w:tbl>
      <w:tblPr>
        <w:tblW w:w="0" w:type="auto"/>
        <w:tblLayout w:type="fixed"/>
        <w:tblCellMar>
          <w:left w:w="62" w:type="dxa"/>
          <w:right w:w="62" w:type="dxa"/>
        </w:tblCellMar>
        <w:tblLook w:val="0000"/>
      </w:tblPr>
      <w:tblGrid>
        <w:gridCol w:w="1890"/>
        <w:gridCol w:w="6570"/>
      </w:tblGrid>
      <w:tr w:rsidTr="00A16914">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CE10C6" w:rsidP="00CE10C6">
            <w:pPr>
              <w:pStyle w:val="BodyText"/>
            </w:pPr>
            <w:r w:rsidRPr="00CE10C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rPr>
                <w:rStyle w:val="SpecialBold"/>
              </w:rPr>
              <w:t>9.1)</w:t>
            </w:r>
          </w:p>
        </w:tc>
      </w:tr>
      <w:tr w:rsidTr="00A169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E10C6" w:rsidP="00CE10C6">
            <w:pPr>
              <w:pStyle w:val="BodyText"/>
            </w:pPr>
            <w:r w:rsidRPr="00CE10C6">
              <w:t>Longitudinal competency development approaches to assessment, such as Profiling, require data to be reliably gathered in</w:t>
            </w:r>
            <w:r w:rsidRPr="00CE10C6">
              <w:t xml:space="preserve"> a form that can be consistently interpreted over time. This approach is best utilised in Apprenticeship programs and reduces assessment intervention. It is the Industry’s preferred model for apprenticeships. However, where summative (or final) assessment </w:t>
            </w:r>
            <w:r w:rsidRPr="00CE10C6">
              <w:t>is used it is to include the application of the competency in the normal work environment or, at a minimum, the application of the competency in a realistically simulated work environment. It is recognised that, in some circumstances, assessment in part or</w:t>
            </w:r>
            <w:r w:rsidRPr="00CE10C6">
              <w:t xml:space="preserve"> full can occur outside the workplace. However, it must be in accord with Industry and, Regulatory policy in this regard.</w:t>
            </w:r>
          </w:p>
          <w:p w:rsidR="00000000" w:rsidRPr="00CE10C6" w:rsidP="00CE10C6">
            <w:pPr>
              <w:pStyle w:val="BodyText"/>
            </w:pPr>
            <w:r w:rsidRPr="00CE10C6">
              <w:t>Methods chosen for a particular assessment will be influenced by various factors. These include the extent of the assessment, the most</w:t>
            </w:r>
            <w:r w:rsidRPr="00CE10C6">
              <w:t xml:space="preserve"> effective locations for the assessment activities to take place, access to physical resources, additional safety measures that may be required and the critical nature of the competencies being assessed.</w:t>
            </w:r>
          </w:p>
          <w:p w:rsidR="00000000" w:rsidRPr="00CE10C6" w:rsidP="00CE10C6">
            <w:pPr>
              <w:pStyle w:val="BodyText"/>
            </w:pPr>
            <w:r w:rsidRPr="00CE10C6">
              <w:t>The critical safety nature of working with electrici</w:t>
            </w:r>
            <w:r w:rsidRPr="00CE10C6">
              <w:t>ty, electrical equipment, gas or any other hazardous substance/material carries risk in deeming a person competent. Hence, sources of evidence need to be ‘rich’ in nature so as to minimise error in judgment.</w:t>
            </w:r>
          </w:p>
          <w:p w:rsidR="00000000" w:rsidRPr="00CE10C6" w:rsidP="00CE10C6">
            <w:pPr>
              <w:pStyle w:val="BodyText"/>
            </w:pPr>
            <w:r w:rsidRPr="00CE10C6">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CE10C6">
              <w:t xml:space="preserve">may be more or less frequently practiced. These points are raised for the assessors to consider when choosing an assessment method and developing assessment instruments. Sample assessment instruments are included for Assessors in the Assessment Guidelines </w:t>
            </w:r>
            <w:r w:rsidRPr="00CE10C6">
              <w:t>of this Training Package.</w:t>
            </w:r>
          </w:p>
        </w:tc>
      </w:tr>
    </w:tbl>
    <w:p w:rsidR="00000000" w:rsidRPr="00CE10C6" w:rsidP="00CE10C6">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A169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E10C6" w:rsidP="00CE10C6">
            <w:pPr>
              <w:pStyle w:val="BodyText"/>
            </w:pPr>
            <w:r w:rsidRPr="00CE10C6">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rPr>
                <w:rStyle w:val="SpecialBold"/>
              </w:rPr>
              <w:t>9.2)</w:t>
            </w:r>
          </w:p>
        </w:tc>
      </w:tr>
      <w:tr w:rsidTr="00A169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CE10C6" w:rsidP="00CE10C6">
            <w:pPr>
              <w:pStyle w:val="BodyText"/>
            </w:pPr>
            <w:r w:rsidRPr="00CE10C6">
              <w:t>Before the critical aspects of evidence are considered all prerequisites shall be met.</w:t>
            </w:r>
          </w:p>
          <w:p w:rsidR="00000000" w:rsidRPr="00CE10C6" w:rsidP="00CE10C6">
            <w:pPr>
              <w:pStyle w:val="BodyText"/>
            </w:pPr>
            <w:r w:rsidRPr="00CE10C6">
              <w:t>Evidence for competence in this unit shall be consider</w:t>
            </w:r>
            <w:r w:rsidRPr="00CE10C6">
              <w:t>ed holistically. Each element and associated Performance Criteria shall be demonstrated on at least two occasions in accordance with the “Assessment Guidelines – UET12”. Evidence shall also comprise:</w:t>
            </w:r>
          </w:p>
          <w:p w:rsidR="00000000" w:rsidRPr="00CE10C6" w:rsidP="00CE10C6">
            <w:pPr>
              <w:pStyle w:val="ListBullet"/>
            </w:pPr>
            <w:r w:rsidRPr="00CE10C6">
              <w:t>A representative body of Performance Criteria demonstra</w:t>
            </w:r>
            <w:r w:rsidRPr="00CE10C6">
              <w:t>ted within the timeframes typically expected of the discipline, work function and industrial environment. In particular this shall incorporate evidence that shows a candidate is able to:</w:t>
            </w:r>
          </w:p>
          <w:p w:rsidR="00000000" w:rsidRPr="00CE10C6" w:rsidP="00CE10C6">
            <w:pPr>
              <w:pStyle w:val="ListBullet2"/>
            </w:pPr>
            <w:r w:rsidRPr="00CE10C6">
              <w:t>Implement Occupational Health and Safety workplace procedures and practices including the use of risk control measures as specified in the Performance Criteria and range; and</w:t>
            </w:r>
          </w:p>
          <w:p w:rsidR="00000000" w:rsidRPr="00CE10C6" w:rsidP="00CE10C6">
            <w:pPr>
              <w:pStyle w:val="ListBullet2"/>
            </w:pPr>
            <w:r w:rsidRPr="00CE10C6">
              <w:t>Apply sustainable energy principles and practices as specified in the Performance</w:t>
            </w:r>
            <w:r w:rsidRPr="00CE10C6">
              <w:t xml:space="preserve"> Criteria and range; and</w:t>
            </w:r>
          </w:p>
          <w:p w:rsidR="00000000" w:rsidRPr="00CE10C6" w:rsidP="00CE10C6">
            <w:pPr>
              <w:pStyle w:val="ListBullet2"/>
            </w:pPr>
            <w:r w:rsidRPr="00CE10C6">
              <w:t>Demonstrate an understanding of the essential knowledge and associated skills as described in this unit to such an extent that the learner’s performance outcome is reported in accordance with the preferred approach; namely a percen</w:t>
            </w:r>
            <w:r w:rsidRPr="00CE10C6">
              <w:t>tile graded result, where required by the regulated environment; and</w:t>
            </w:r>
          </w:p>
          <w:p w:rsidR="00000000" w:rsidRPr="00CE10C6" w:rsidP="00CE10C6">
            <w:pPr>
              <w:pStyle w:val="ListBullet2"/>
            </w:pPr>
            <w:r w:rsidRPr="00CE10C6">
              <w:t>Demonstrate an appropriate level of employability skills; and</w:t>
            </w:r>
          </w:p>
          <w:p w:rsidR="00000000" w:rsidRPr="00CE10C6" w:rsidP="00CE10C6">
            <w:pPr>
              <w:pStyle w:val="ListBullet"/>
            </w:pPr>
            <w:r w:rsidRPr="00CE10C6">
              <w:t>Conduct work observing the relevant Anti Discrimination legislation, regulations, policies and workplace procedures; and</w:t>
            </w:r>
          </w:p>
          <w:p w:rsidR="00000000" w:rsidP="00CE10C6">
            <w:pPr>
              <w:pStyle w:val="ListBullet2"/>
              <w:rPr>
                <w:lang w:val="en-NZ"/>
              </w:rPr>
            </w:pPr>
            <w:r w:rsidRPr="00CE10C6">
              <w:t>De</w:t>
            </w:r>
            <w:r w:rsidRPr="00CE10C6">
              <w:t>monstrated performance across a representative range of contexts from the prescribed items below:</w:t>
            </w:r>
          </w:p>
        </w:tc>
      </w:tr>
      <w:tr w:rsidTr="00A169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CE10C6">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C6">
            <w:pPr>
              <w:pStyle w:val="BodyText"/>
              <w:rPr>
                <w:lang w:val="en-NZ"/>
              </w:rPr>
            </w:pPr>
            <w:r w:rsidRPr="00CE10C6">
              <w:rPr>
                <w:rStyle w:val="SpecialBold"/>
              </w:rPr>
              <w:t>Range of tools/equipment/materials/procedures/workplaces/other variables</w:t>
            </w:r>
          </w:p>
        </w:tc>
      </w:tr>
      <w:tr w:rsidTr="00A169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CE10C6">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0C6" w:rsidP="00CE10C6">
            <w:pPr>
              <w:pStyle w:val="BodyText"/>
            </w:pPr>
            <w:r w:rsidRPr="00CE10C6">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0C6" w:rsidP="00CE10C6">
            <w:pPr>
              <w:pStyle w:val="BodyText"/>
            </w:pPr>
            <w:r w:rsidRPr="00CE10C6">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C6">
            <w:pPr>
              <w:pStyle w:val="BodyText"/>
              <w:rPr>
                <w:lang w:val="en-NZ"/>
              </w:rPr>
            </w:pPr>
            <w:r w:rsidRPr="00CE10C6">
              <w:rPr>
                <w:rStyle w:val="SpecialBold"/>
              </w:rPr>
              <w:t>Item List</w:t>
            </w:r>
          </w:p>
        </w:tc>
      </w:tr>
      <w:tr w:rsidTr="00A169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C6">
            <w:pPr>
              <w:pStyle w:val="BodyText"/>
              <w:rPr>
                <w:lang w:val="en-NZ"/>
              </w:rPr>
            </w:pPr>
            <w:r w:rsidRPr="00CE10C6">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C6">
            <w:pPr>
              <w:pStyle w:val="BodyText"/>
              <w:rPr>
                <w:lang w:val="en-NZ"/>
              </w:rPr>
            </w:pPr>
            <w:r w:rsidRPr="00CE10C6">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0C6" w:rsidP="00CE10C6">
            <w:pPr>
              <w:pStyle w:val="BodyText"/>
            </w:pPr>
            <w:r w:rsidRPr="00CE10C6">
              <w:t>Wood</w:t>
            </w:r>
          </w:p>
          <w:p w:rsidR="00000000" w:rsidRPr="00CE10C6" w:rsidP="00CE10C6">
            <w:pPr>
              <w:pStyle w:val="BodyText"/>
            </w:pPr>
            <w:r w:rsidRPr="00CE10C6">
              <w:t>Concrete</w:t>
            </w:r>
          </w:p>
          <w:p w:rsidR="00000000" w:rsidRPr="00CE10C6" w:rsidP="00CE10C6">
            <w:pPr>
              <w:pStyle w:val="BodyText"/>
            </w:pPr>
            <w:r w:rsidRPr="00CE10C6">
              <w:t>Steel</w:t>
            </w:r>
          </w:p>
          <w:p w:rsidR="00000000" w:rsidP="00CE10C6">
            <w:pPr>
              <w:pStyle w:val="BodyText"/>
              <w:rPr>
                <w:lang w:val="en-NZ"/>
              </w:rPr>
            </w:pPr>
            <w:r w:rsidRPr="00CE10C6">
              <w:t>Composite</w:t>
            </w:r>
          </w:p>
        </w:tc>
      </w:tr>
      <w:tr w:rsidTr="00A169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C6">
            <w:pPr>
              <w:pStyle w:val="BodyText"/>
              <w:rPr>
                <w:lang w:val="en-NZ"/>
              </w:rPr>
            </w:pPr>
            <w:r w:rsidRPr="00CE10C6">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C6">
            <w:pPr>
              <w:pStyle w:val="BodyText"/>
              <w:rPr>
                <w:lang w:val="en-NZ"/>
              </w:rPr>
            </w:pPr>
            <w:r w:rsidRPr="00CE10C6">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0C6" w:rsidP="00CE10C6">
            <w:pPr>
              <w:pStyle w:val="BodyText"/>
            </w:pPr>
            <w:r w:rsidRPr="00CE10C6">
              <w:t>HP mercury vapour,</w:t>
            </w:r>
          </w:p>
          <w:p w:rsidR="00000000" w:rsidRPr="00CE10C6" w:rsidP="00CE10C6">
            <w:pPr>
              <w:pStyle w:val="BodyText"/>
            </w:pPr>
            <w:r w:rsidRPr="00CE10C6">
              <w:t>LP and HP sodium vapour</w:t>
            </w:r>
          </w:p>
          <w:p w:rsidR="00000000" w:rsidRPr="00CE10C6" w:rsidP="00CE10C6">
            <w:pPr>
              <w:pStyle w:val="BodyText"/>
            </w:pPr>
            <w:r w:rsidRPr="00CE10C6">
              <w:t>Fluorescent</w:t>
            </w:r>
          </w:p>
          <w:p w:rsidR="00000000" w:rsidP="00CE10C6">
            <w:pPr>
              <w:pStyle w:val="BodyText"/>
              <w:rPr>
                <w:lang w:val="en-NZ"/>
              </w:rPr>
            </w:pPr>
            <w:r w:rsidRPr="00CE10C6">
              <w:t>Quartz-halogen</w:t>
            </w:r>
          </w:p>
        </w:tc>
      </w:tr>
      <w:tr w:rsidTr="00A169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C6">
            <w:pPr>
              <w:pStyle w:val="BodyText"/>
              <w:rPr>
                <w:lang w:val="en-NZ"/>
              </w:rPr>
            </w:pPr>
            <w:r w:rsidRPr="00CE10C6">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C6">
            <w:pPr>
              <w:pStyle w:val="BodyText"/>
              <w:rPr>
                <w:lang w:val="en-NZ"/>
              </w:rPr>
            </w:pPr>
            <w:r w:rsidRPr="00CE10C6">
              <w:t>At least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0C6" w:rsidP="00CE10C6">
            <w:pPr>
              <w:pStyle w:val="BodyText"/>
            </w:pPr>
            <w:r w:rsidRPr="00CE10C6">
              <w:t>Voltage detectors*</w:t>
            </w:r>
          </w:p>
          <w:p w:rsidR="00000000" w:rsidRPr="00CE10C6" w:rsidP="00CE10C6">
            <w:pPr>
              <w:pStyle w:val="BodyText"/>
            </w:pPr>
            <w:r w:rsidRPr="00CE10C6">
              <w:t>Insulation resistance testers</w:t>
            </w:r>
          </w:p>
          <w:p w:rsidR="00000000" w:rsidRPr="00CE10C6" w:rsidP="00CE10C6">
            <w:pPr>
              <w:pStyle w:val="BodyText"/>
            </w:pPr>
            <w:r w:rsidRPr="00CE10C6">
              <w:t>Clamp-on ammeters</w:t>
            </w:r>
          </w:p>
          <w:p w:rsidR="00000000" w:rsidRPr="00CE10C6" w:rsidP="00CE10C6">
            <w:pPr>
              <w:pStyle w:val="BodyText"/>
            </w:pPr>
            <w:r w:rsidRPr="00CE10C6">
              <w:t>Continuity testers</w:t>
            </w:r>
          </w:p>
          <w:p w:rsidR="00000000" w:rsidRPr="00CE10C6" w:rsidP="00CE10C6">
            <w:pPr>
              <w:pStyle w:val="BodyText"/>
            </w:pPr>
            <w:r w:rsidRPr="00CE10C6">
              <w:t xml:space="preserve">Fault indicators </w:t>
            </w:r>
          </w:p>
          <w:p w:rsidR="00000000" w:rsidP="00CE10C6">
            <w:pPr>
              <w:pStyle w:val="BodyText"/>
              <w:rPr>
                <w:lang w:val="en-NZ"/>
              </w:rPr>
            </w:pPr>
            <w:r w:rsidRPr="00CE10C6">
              <w:t>(* must use)</w:t>
            </w:r>
          </w:p>
        </w:tc>
      </w:tr>
      <w:tr w:rsidTr="00A169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C6">
            <w:pPr>
              <w:pStyle w:val="BodyText"/>
              <w:rPr>
                <w:lang w:val="en-NZ"/>
              </w:rPr>
            </w:pPr>
            <w:r w:rsidRPr="00CE10C6">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C6">
            <w:pPr>
              <w:pStyle w:val="BodyText"/>
              <w:rPr>
                <w:lang w:val="en-NZ"/>
              </w:rPr>
            </w:pPr>
            <w:r w:rsidRPr="00CE10C6">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0C6" w:rsidP="00CE10C6">
            <w:pPr>
              <w:pStyle w:val="BodyText"/>
            </w:pPr>
            <w:r w:rsidRPr="00CE10C6">
              <w:t>Dealing with an unplanned event by drawing on essential knowledge and associated skills to provide appropriate solutions incorporat</w:t>
            </w:r>
            <w:r w:rsidRPr="00CE10C6">
              <w:t>ed in the holistic assessment with the above listed items.</w:t>
            </w:r>
          </w:p>
        </w:tc>
      </w:tr>
    </w:tbl>
    <w:p w:rsidR="00000000" w:rsidRPr="00CE10C6" w:rsidP="00CE10C6">
      <w:pPr>
        <w:pStyle w:val="BodyText"/>
      </w:pPr>
    </w:p>
    <w:tbl>
      <w:tblPr>
        <w:tblW w:w="0" w:type="auto"/>
        <w:tblLayout w:type="fixed"/>
        <w:tblCellMar>
          <w:left w:w="62" w:type="dxa"/>
          <w:right w:w="62" w:type="dxa"/>
        </w:tblCellMar>
        <w:tblLook w:val="0000"/>
      </w:tblPr>
      <w:tblGrid>
        <w:gridCol w:w="1890"/>
        <w:gridCol w:w="6570"/>
      </w:tblGrid>
      <w:tr w:rsidTr="00A1691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E10C6" w:rsidP="00CE10C6">
            <w:pPr>
              <w:pStyle w:val="BodyText"/>
            </w:pPr>
            <w:r w:rsidRPr="00CE10C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rPr>
                <w:rStyle w:val="SpecialBold"/>
              </w:rPr>
              <w:t>9.3)</w:t>
            </w:r>
          </w:p>
        </w:tc>
      </w:tr>
      <w:tr w:rsidTr="00A1691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E10C6" w:rsidP="00CE10C6">
            <w:pPr>
              <w:pStyle w:val="BodyText"/>
            </w:pPr>
            <w:r w:rsidRPr="00CE10C6">
              <w:t>This unit should be assessed as it relates to normal work practice using procedures, information and resources typical of a workplace. This should include:</w:t>
            </w:r>
          </w:p>
          <w:p w:rsidR="00000000" w:rsidRPr="00CE10C6" w:rsidP="00CE10C6">
            <w:pPr>
              <w:pStyle w:val="ListBullet"/>
            </w:pPr>
            <w:r w:rsidRPr="00CE10C6">
              <w:t>OHS policy and work procedures and instructions.</w:t>
            </w:r>
          </w:p>
          <w:p w:rsidR="00000000" w:rsidRPr="00CE10C6" w:rsidP="00CE10C6">
            <w:pPr>
              <w:pStyle w:val="ListBullet"/>
            </w:pPr>
            <w:r w:rsidRPr="00CE10C6">
              <w:t>Suitable work environment, facilities, equipment a</w:t>
            </w:r>
            <w:r w:rsidRPr="00CE10C6">
              <w:t xml:space="preserve">nd materials to undertake actual installation and maintenance of public lighting systems. </w:t>
            </w:r>
          </w:p>
          <w:p w:rsidR="00000000" w:rsidRPr="00CE10C6" w:rsidP="00CE10C6">
            <w:pPr>
              <w:pStyle w:val="BodyText"/>
            </w:pPr>
            <w:r w:rsidRPr="00CE10C6">
              <w:t>In addition to the resources listed above, in Context of and specific resources for assessment, evidence should show demonstrated competency working below ground, in</w:t>
            </w:r>
            <w:r w:rsidRPr="00CE10C6">
              <w:t xml:space="preserve"> limited spaces, with different structural/construction types and method and in a variety of environments.</w:t>
            </w:r>
          </w:p>
        </w:tc>
      </w:tr>
    </w:tbl>
    <w:p w:rsidR="00000000" w:rsidRPr="00CE10C6" w:rsidP="00CE10C6">
      <w:pPr>
        <w:pStyle w:val="BodyText"/>
      </w:pPr>
    </w:p>
    <w:tbl>
      <w:tblPr>
        <w:tblW w:w="0" w:type="auto"/>
        <w:tblLayout w:type="fixed"/>
        <w:tblCellMar>
          <w:left w:w="62" w:type="dxa"/>
          <w:right w:w="62" w:type="dxa"/>
        </w:tblCellMar>
        <w:tblLook w:val="0000"/>
      </w:tblPr>
      <w:tblGrid>
        <w:gridCol w:w="1890"/>
        <w:gridCol w:w="6570"/>
      </w:tblGrid>
      <w:tr w:rsidTr="00A169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E10C6" w:rsidP="00CE10C6">
            <w:pPr>
              <w:pStyle w:val="BodyText"/>
            </w:pPr>
            <w:r w:rsidRPr="00CE10C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rPr>
                <w:rStyle w:val="SpecialBold"/>
              </w:rPr>
              <w:t>9.4)</w:t>
            </w:r>
          </w:p>
        </w:tc>
      </w:tr>
      <w:tr w:rsidTr="00A169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E10C6" w:rsidP="00CE10C6">
            <w:pPr>
              <w:pStyle w:val="BodyText"/>
            </w:pPr>
            <w:r w:rsidRPr="00CE10C6">
              <w:t>This Competency Standard Unit shall be assessed by methods given in Volume 1, Part 3 “Assessment Guidelines”.</w:t>
            </w:r>
          </w:p>
          <w:p w:rsidR="00000000" w:rsidRPr="00CE10C6" w:rsidP="00CE10C6">
            <w:pPr>
              <w:pStyle w:val="BodyText"/>
            </w:pPr>
            <w:r w:rsidRPr="00CE10C6">
              <w:t>Note:</w:t>
            </w:r>
          </w:p>
          <w:p w:rsidR="00000000" w:rsidRPr="00CE10C6" w:rsidP="00CE10C6">
            <w:pPr>
              <w:pStyle w:val="BodyText"/>
            </w:pPr>
            <w:r w:rsidRPr="00CE10C6">
              <w:t>Competent performance with inherent safe working practices is expected in the Industry to which this Competency Standard Unit applies. This requires that the specified essential knowledge and associated skills are assessed in a structured environment which</w:t>
            </w:r>
            <w:r w:rsidRPr="00CE10C6">
              <w:t xml:space="preserve"> is primarily intended for learning/assessment and incorporates all necessary equipment and facilities for learners to develop and demonstrate the essential knowledge and associated skills described in this unit.</w:t>
            </w:r>
          </w:p>
        </w:tc>
      </w:tr>
    </w:tbl>
    <w:p w:rsidR="00000000" w:rsidRPr="00CE10C6" w:rsidP="00CE10C6">
      <w:pPr>
        <w:pStyle w:val="BodyText"/>
      </w:pPr>
    </w:p>
    <w:tbl>
      <w:tblPr>
        <w:tblW w:w="0" w:type="auto"/>
        <w:tblLayout w:type="fixed"/>
        <w:tblCellMar>
          <w:left w:w="62" w:type="dxa"/>
          <w:right w:w="62" w:type="dxa"/>
        </w:tblCellMar>
        <w:tblLook w:val="0000"/>
      </w:tblPr>
      <w:tblGrid>
        <w:gridCol w:w="1890"/>
        <w:gridCol w:w="6570"/>
      </w:tblGrid>
      <w:tr w:rsidTr="00A169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E10C6" w:rsidP="00CE10C6">
            <w:pPr>
              <w:pStyle w:val="BodyText"/>
            </w:pPr>
            <w:r w:rsidRPr="00CE10C6">
              <w:rPr>
                <w:rStyle w:val="SpecialBold"/>
              </w:rPr>
              <w:t>Concurrent assessment and relationship wi</w:t>
            </w:r>
            <w:r w:rsidRPr="00CE10C6">
              <w:rPr>
                <w:rStyle w:val="SpecialBold"/>
              </w:rPr>
              <w:t>th other units</w:t>
            </w:r>
          </w:p>
        </w:tc>
        <w:tc>
          <w:tcPr>
            <w:tcW w:w="6570"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rPr>
                <w:rStyle w:val="SpecialBold"/>
              </w:rPr>
              <w:t>9.5)</w:t>
            </w:r>
          </w:p>
        </w:tc>
      </w:tr>
      <w:tr w:rsidTr="00A169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E10C6" w:rsidP="00CE10C6">
            <w:pPr>
              <w:pStyle w:val="BodyText"/>
            </w:pPr>
            <w:r w:rsidRPr="00CE10C6">
              <w:t>There are no concurrent assessment recommendations for this unit.</w:t>
            </w:r>
          </w:p>
        </w:tc>
      </w:tr>
    </w:tbl>
    <w:p w:rsidR="00000000" w:rsidRPr="00CE10C6" w:rsidP="00CE10C6">
      <w:pPr>
        <w:pStyle w:val="BodyText"/>
      </w:pPr>
    </w:p>
    <w:p w:rsidR="00000000" w:rsidRPr="00CE10C6" w:rsidP="00CE10C6">
      <w:pPr>
        <w:pStyle w:val="AllowPageBreak"/>
      </w:pPr>
    </w:p>
    <w:p w:rsidR="00000000" w:rsidRPr="00CE10C6" w:rsidP="00CE10C6">
      <w:pPr>
        <w:pStyle w:val="Heading1"/>
      </w:pPr>
      <w:bookmarkStart w:id="11" w:name="O_462420"/>
      <w:bookmarkEnd w:id="11"/>
      <w:r w:rsidRPr="00CE10C6">
        <w:t>Range Statement</w:t>
      </w:r>
    </w:p>
    <w:tbl>
      <w:tblPr>
        <w:tblW w:w="0" w:type="auto"/>
        <w:tblLayout w:type="fixed"/>
        <w:tblCellMar>
          <w:left w:w="62" w:type="dxa"/>
          <w:right w:w="62" w:type="dxa"/>
        </w:tblCellMar>
        <w:tblLook w:val="0000"/>
      </w:tblPr>
      <w:tblGrid>
        <w:gridCol w:w="8460"/>
      </w:tblGrid>
      <w:tr w:rsidTr="00A1691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rPr>
                <w:rStyle w:val="SpecialBold"/>
              </w:rPr>
              <w:t>RANGE STATEMENT</w:t>
            </w:r>
          </w:p>
        </w:tc>
      </w:tr>
      <w:tr w:rsidTr="00A1691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E10C6" w:rsidP="00CE10C6">
            <w:pPr>
              <w:pStyle w:val="BodyText"/>
            </w:pPr>
            <w:r w:rsidRPr="00CE10C6">
              <w:rPr>
                <w:rStyle w:val="SpecialBold"/>
              </w:rPr>
              <w:t>10)</w:t>
            </w:r>
            <w:r w:rsidRPr="00CE10C6">
              <w:t xml:space="preserve"> This relates to the unit of competency as a whole providing the range of contexts and conditions </w:t>
            </w:r>
            <w:r w:rsidRPr="00CE10C6">
              <w:t>to which the Performance Criteria apply. It allows for different work environments and situations that will affect performance.</w:t>
            </w:r>
          </w:p>
          <w:p w:rsidR="00000000" w:rsidRPr="00CE10C6" w:rsidP="00CE10C6">
            <w:pPr>
              <w:pStyle w:val="BodyText"/>
            </w:pPr>
            <w:r w:rsidRPr="00CE10C6">
              <w:t>Competency shall be demonstrated in relation to the installation, maintenance and repair of public lighting systems, including t</w:t>
            </w:r>
            <w:r w:rsidRPr="00CE10C6">
              <w:t xml:space="preserve">he inspection, testing and commissioning of the system associated with the street lighting circuit, the associated hardware and the earthing system. </w:t>
            </w:r>
          </w:p>
          <w:p w:rsidR="00000000" w:rsidRPr="00CE10C6" w:rsidP="00CE10C6">
            <w:pPr>
              <w:pStyle w:val="BodyText"/>
            </w:pPr>
            <w:r w:rsidRPr="00CE10C6">
              <w:t>Maintenance may include the removal, repair, replacement and cleaning of public lighting and associated ha</w:t>
            </w:r>
            <w:r w:rsidRPr="00CE10C6">
              <w:t>rdware.</w:t>
            </w:r>
          </w:p>
          <w:p w:rsidR="00000000" w:rsidRPr="00CE10C6" w:rsidP="00CE10C6">
            <w:pPr>
              <w:pStyle w:val="BodyText"/>
            </w:pPr>
            <w:r w:rsidRPr="00CE10C6">
              <w:t>Public lighting system may include lanterns/luminaires, lamps or control equipment in overhead and underground reticulated areas, poles and columns.</w:t>
            </w:r>
          </w:p>
          <w:p w:rsidR="00000000" w:rsidRPr="00CE10C6" w:rsidP="00CE10C6">
            <w:pPr>
              <w:pStyle w:val="BodyText"/>
            </w:pPr>
            <w:r w:rsidRPr="00CE10C6">
              <w:t>Associated hardware may include brackets, choke boxes, photo-electric cells, time switches, contact</w:t>
            </w:r>
            <w:r w:rsidRPr="00CE10C6">
              <w:t>or boxes and appropriate nuts and bolts.</w:t>
            </w:r>
          </w:p>
          <w:p w:rsidR="00000000" w:rsidRPr="00CE10C6" w:rsidP="00CE10C6">
            <w:pPr>
              <w:pStyle w:val="BodyText"/>
            </w:pPr>
            <w:r w:rsidRPr="00CE10C6">
              <w:t>Testing equipment may include LV detectors and fault indicators.</w:t>
            </w:r>
          </w:p>
          <w:p w:rsidR="00000000" w:rsidRPr="00CE10C6" w:rsidP="00CE10C6">
            <w:pPr>
              <w:pStyle w:val="BodyText"/>
            </w:pPr>
            <w:r w:rsidRPr="00CE10C6">
              <w:t>The following constants and variables included in the element/Performance Criteria in this unit are fully described in the Definitions Section 1 of th</w:t>
            </w:r>
            <w:r w:rsidRPr="00CE10C6">
              <w:t>is volume and form an integral part of the Range Statement of this unit:</w:t>
            </w:r>
          </w:p>
          <w:p w:rsidR="00000000" w:rsidRPr="00CE10C6" w:rsidP="00CE10C6">
            <w:pPr>
              <w:pStyle w:val="ListBullet3"/>
            </w:pPr>
            <w:r w:rsidRPr="00CE10C6">
              <w:t>Appropriate and relevant persons (see Personnel)</w:t>
            </w:r>
          </w:p>
          <w:p w:rsidR="00000000" w:rsidRPr="00CE10C6" w:rsidP="00CE10C6">
            <w:pPr>
              <w:pStyle w:val="ListBullet3"/>
            </w:pPr>
            <w:r w:rsidRPr="00CE10C6">
              <w:t xml:space="preserve">Appropriate authorities </w:t>
            </w:r>
          </w:p>
          <w:p w:rsidR="00000000" w:rsidRPr="00CE10C6" w:rsidP="00CE10C6">
            <w:pPr>
              <w:pStyle w:val="ListBullet3"/>
            </w:pPr>
            <w:r w:rsidRPr="00CE10C6">
              <w:t>Appropriate work platform.</w:t>
            </w:r>
          </w:p>
          <w:p w:rsidR="00000000" w:rsidRPr="00CE10C6" w:rsidP="00CE10C6">
            <w:pPr>
              <w:pStyle w:val="ListBullet3"/>
            </w:pPr>
            <w:r w:rsidRPr="00CE10C6">
              <w:t>Assessing risk</w:t>
            </w:r>
          </w:p>
          <w:p w:rsidR="00000000" w:rsidRPr="00CE10C6" w:rsidP="00CE10C6">
            <w:pPr>
              <w:pStyle w:val="ListBullet3"/>
            </w:pPr>
            <w:r w:rsidRPr="00CE10C6">
              <w:t>Assessment</w:t>
            </w:r>
          </w:p>
          <w:p w:rsidR="00000000" w:rsidRPr="00CE10C6" w:rsidP="00CE10C6">
            <w:pPr>
              <w:pStyle w:val="ListBullet3"/>
            </w:pPr>
            <w:r w:rsidRPr="00CE10C6">
              <w:t>Authorisation</w:t>
            </w:r>
          </w:p>
          <w:p w:rsidR="00000000" w:rsidRPr="00CE10C6" w:rsidP="00CE10C6">
            <w:pPr>
              <w:pStyle w:val="ListBullet3"/>
            </w:pPr>
            <w:r w:rsidRPr="00CE10C6">
              <w:t>Confined space</w:t>
            </w:r>
          </w:p>
          <w:p w:rsidR="00000000" w:rsidRPr="00CE10C6" w:rsidP="00CE10C6">
            <w:pPr>
              <w:pStyle w:val="ListBullet3"/>
            </w:pPr>
            <w:r w:rsidRPr="00CE10C6">
              <w:t>Diagnostic, testing and restoration</w:t>
            </w:r>
          </w:p>
          <w:p w:rsidR="00000000" w:rsidRPr="00CE10C6" w:rsidP="00CE10C6">
            <w:pPr>
              <w:pStyle w:val="ListBullet3"/>
            </w:pPr>
            <w:r w:rsidRPr="00CE10C6">
              <w:t>Documenting detail work events, record keeping and or storage of information</w:t>
            </w:r>
          </w:p>
          <w:p w:rsidR="00000000" w:rsidRPr="00CE10C6" w:rsidP="00CE10C6">
            <w:pPr>
              <w:pStyle w:val="ListBullet3"/>
            </w:pPr>
            <w:r w:rsidRPr="00CE10C6">
              <w:t>Drawings and specifications</w:t>
            </w:r>
          </w:p>
          <w:p w:rsidR="00000000" w:rsidRPr="00CE10C6" w:rsidP="00CE10C6">
            <w:pPr>
              <w:pStyle w:val="ListBullet3"/>
            </w:pPr>
            <w:r w:rsidRPr="00CE10C6">
              <w:t>Emergency</w:t>
            </w:r>
          </w:p>
          <w:p w:rsidR="00000000" w:rsidRPr="00CE10C6" w:rsidP="00CE10C6">
            <w:pPr>
              <w:pStyle w:val="ListBullet3"/>
            </w:pPr>
            <w:r w:rsidRPr="00CE10C6">
              <w:t>Environmental and sustainable energy procedures</w:t>
            </w:r>
          </w:p>
          <w:p w:rsidR="00000000" w:rsidRPr="00CE10C6" w:rsidP="00CE10C6">
            <w:pPr>
              <w:pStyle w:val="ListBullet3"/>
            </w:pPr>
            <w:r w:rsidRPr="00CE10C6">
              <w:t>Environmental legislation</w:t>
            </w:r>
          </w:p>
          <w:p w:rsidR="00000000" w:rsidRPr="00CE10C6" w:rsidP="00CE10C6">
            <w:pPr>
              <w:pStyle w:val="ListBullet3"/>
            </w:pPr>
            <w:r w:rsidRPr="00CE10C6">
              <w:t>Environmental management docume</w:t>
            </w:r>
            <w:r w:rsidRPr="00CE10C6">
              <w:t>ntation</w:t>
            </w:r>
          </w:p>
          <w:p w:rsidR="00000000" w:rsidRPr="00CE10C6" w:rsidP="00CE10C6">
            <w:pPr>
              <w:pStyle w:val="ListBullet3"/>
            </w:pPr>
            <w:r w:rsidRPr="00CE10C6">
              <w:t>Established procedures</w:t>
            </w:r>
          </w:p>
          <w:p w:rsidR="00000000" w:rsidRPr="00CE10C6" w:rsidP="00CE10C6">
            <w:pPr>
              <w:pStyle w:val="ListBullet3"/>
            </w:pPr>
            <w:r w:rsidRPr="00CE10C6">
              <w:t>Fall prevention</w:t>
            </w:r>
          </w:p>
          <w:p w:rsidR="00000000" w:rsidRPr="00CE10C6" w:rsidP="00CE10C6">
            <w:pPr>
              <w:pStyle w:val="ListBullet3"/>
            </w:pPr>
            <w:r w:rsidRPr="00CE10C6">
              <w:t>Hazards</w:t>
            </w:r>
          </w:p>
          <w:p w:rsidR="00000000" w:rsidRPr="00CE10C6" w:rsidP="00CE10C6">
            <w:pPr>
              <w:pStyle w:val="ListBullet3"/>
            </w:pPr>
            <w:r w:rsidRPr="00CE10C6">
              <w:t>Identifying hazards</w:t>
            </w:r>
          </w:p>
          <w:p w:rsidR="00000000" w:rsidRPr="00CE10C6" w:rsidP="00CE10C6">
            <w:pPr>
              <w:pStyle w:val="ListBullet3"/>
            </w:pPr>
            <w:r w:rsidRPr="00CE10C6">
              <w:t>Inspect</w:t>
            </w:r>
          </w:p>
          <w:p w:rsidR="00000000" w:rsidRPr="00CE10C6" w:rsidP="00CE10C6">
            <w:pPr>
              <w:pStyle w:val="ListBullet3"/>
            </w:pPr>
            <w:r w:rsidRPr="00CE10C6">
              <w:t>Legislation</w:t>
            </w:r>
          </w:p>
          <w:p w:rsidR="00000000" w:rsidRPr="00CE10C6" w:rsidP="00CE10C6">
            <w:pPr>
              <w:pStyle w:val="ListBullet3"/>
            </w:pPr>
            <w:r w:rsidRPr="00CE10C6">
              <w:t>MSDS</w:t>
            </w:r>
          </w:p>
          <w:p w:rsidR="00000000" w:rsidRPr="00CE10C6" w:rsidP="00CE10C6">
            <w:pPr>
              <w:pStyle w:val="ListBullet3"/>
            </w:pPr>
            <w:r w:rsidRPr="00CE10C6">
              <w:t>Notification.</w:t>
            </w:r>
          </w:p>
          <w:p w:rsidR="00000000" w:rsidRPr="00CE10C6" w:rsidP="00CE10C6">
            <w:pPr>
              <w:pStyle w:val="ListBullet3"/>
            </w:pPr>
            <w:r w:rsidRPr="00CE10C6">
              <w:t>OHS practices</w:t>
            </w:r>
          </w:p>
          <w:p w:rsidR="00000000" w:rsidRPr="00CE10C6" w:rsidP="00CE10C6">
            <w:pPr>
              <w:pStyle w:val="ListBullet3"/>
            </w:pPr>
            <w:r w:rsidRPr="00CE10C6">
              <w:t>OHS issues</w:t>
            </w:r>
          </w:p>
          <w:p w:rsidR="00000000" w:rsidRPr="00CE10C6" w:rsidP="00CE10C6">
            <w:pPr>
              <w:pStyle w:val="ListBullet3"/>
            </w:pPr>
            <w:r w:rsidRPr="00CE10C6">
              <w:t>Permits and/or permits to work</w:t>
            </w:r>
          </w:p>
          <w:p w:rsidR="00000000" w:rsidRPr="00CE10C6" w:rsidP="00CE10C6">
            <w:pPr>
              <w:pStyle w:val="ListBullet3"/>
            </w:pPr>
            <w:r w:rsidRPr="00CE10C6">
              <w:t>Personnel</w:t>
            </w:r>
          </w:p>
          <w:p w:rsidR="00000000" w:rsidRPr="00CE10C6" w:rsidP="00CE10C6">
            <w:pPr>
              <w:pStyle w:val="ListBullet3"/>
            </w:pPr>
            <w:r w:rsidRPr="00CE10C6">
              <w:t>Quality assurance systems</w:t>
            </w:r>
          </w:p>
          <w:p w:rsidR="00000000" w:rsidRPr="00CE10C6" w:rsidP="00CE10C6">
            <w:pPr>
              <w:pStyle w:val="ListBullet3"/>
            </w:pPr>
            <w:r w:rsidRPr="00CE10C6">
              <w:t>Requirements</w:t>
            </w:r>
          </w:p>
          <w:p w:rsidR="00000000" w:rsidRPr="00CE10C6" w:rsidP="00CE10C6">
            <w:pPr>
              <w:pStyle w:val="ListBullet3"/>
            </w:pPr>
            <w:r w:rsidRPr="00CE10C6">
              <w:t>Testing procedures</w:t>
            </w:r>
          </w:p>
          <w:p w:rsidR="00000000" w:rsidRPr="00CE10C6" w:rsidP="00CE10C6">
            <w:pPr>
              <w:pStyle w:val="ListBullet3"/>
            </w:pPr>
            <w:r w:rsidRPr="00CE10C6">
              <w:t>Work clearance systems</w:t>
            </w:r>
          </w:p>
        </w:tc>
      </w:tr>
    </w:tbl>
    <w:p w:rsidR="00000000" w:rsidRPr="00CE10C6" w:rsidP="00CE10C6">
      <w:pPr>
        <w:pStyle w:val="BodyText"/>
      </w:pPr>
    </w:p>
    <w:p w:rsidR="00000000" w:rsidRPr="00CE10C6" w:rsidP="00CE10C6">
      <w:pPr>
        <w:pStyle w:val="AllowPageBreak"/>
      </w:pPr>
    </w:p>
    <w:p w:rsidR="00000000" w:rsidRPr="00CE10C6" w:rsidP="00CE10C6">
      <w:pPr>
        <w:pStyle w:val="Heading1"/>
      </w:pPr>
      <w:bookmarkStart w:id="12" w:name="O_462423"/>
      <w:bookmarkEnd w:id="12"/>
      <w:r w:rsidRPr="00CE10C6">
        <w:t>Unit Sector(s)</w:t>
      </w:r>
    </w:p>
    <w:p w:rsidR="00000000" w:rsidRPr="00CE10C6" w:rsidP="00CE10C6">
      <w:pPr>
        <w:pStyle w:val="BodyText"/>
      </w:pPr>
      <w:r w:rsidRPr="00CE10C6">
        <w:t>Not applicable.</w:t>
      </w:r>
    </w:p>
    <w:p w:rsidR="00000000" w:rsidRPr="00CE10C6" w:rsidP="00CE10C6">
      <w:pPr>
        <w:pStyle w:val="AllowPageBreak"/>
      </w:pPr>
    </w:p>
    <w:p w:rsidR="00000000" w:rsidRPr="00CE10C6" w:rsidP="00CE10C6">
      <w:pPr>
        <w:pStyle w:val="Heading1"/>
      </w:pPr>
      <w:bookmarkStart w:id="13" w:name="O_462412"/>
      <w:bookmarkEnd w:id="13"/>
      <w:r w:rsidRPr="00CE10C6">
        <w:t>Competency Field</w:t>
      </w:r>
    </w:p>
    <w:tbl>
      <w:tblPr>
        <w:tblW w:w="0" w:type="auto"/>
        <w:tblLayout w:type="fixed"/>
        <w:tblCellMar>
          <w:left w:w="62" w:type="dxa"/>
          <w:right w:w="62" w:type="dxa"/>
        </w:tblCellMar>
        <w:tblLook w:val="0000"/>
      </w:tblPr>
      <w:tblGrid>
        <w:gridCol w:w="2700"/>
        <w:gridCol w:w="5760"/>
      </w:tblGrid>
      <w:tr w:rsidTr="00A169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E10C6" w:rsidP="00CE10C6">
            <w:pPr>
              <w:pStyle w:val="BodyText"/>
            </w:pPr>
            <w:r w:rsidRPr="00CE10C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E10C6">
            <w:pPr>
              <w:pStyle w:val="BodyText"/>
              <w:rPr>
                <w:lang w:val="en-NZ"/>
              </w:rPr>
            </w:pPr>
            <w:r w:rsidRPr="00CE10C6">
              <w:rPr>
                <w:rStyle w:val="SpecialBold"/>
              </w:rPr>
              <w:t xml:space="preserve">11) </w:t>
            </w:r>
          </w:p>
        </w:tc>
      </w:tr>
      <w:tr w:rsidTr="00A169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E10C6" w:rsidP="00CE10C6">
            <w:pPr>
              <w:pStyle w:val="BodyText"/>
            </w:pPr>
            <w:r w:rsidRPr="00CE10C6">
              <w:t>Industry Specific Cross-Discipline Units</w:t>
            </w:r>
          </w:p>
        </w:tc>
      </w:tr>
    </w:tbl>
    <w:p w:rsidR="00000000" w:rsidRPr="00CE10C6" w:rsidP="00CE10C6">
      <w:pPr>
        <w:pStyle w:val="BodyText"/>
      </w:pPr>
    </w:p>
    <w:p w:rsidR="00000000" w:rsidRPr="00CE10C6" w:rsidP="00CE10C6"/>
    <w:sectPr w:rsidSect="00CE10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0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6914" w:rsidP="00A169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0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914" w:rsidP="00CE10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16914" w:rsidP="00CE10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16914" w:rsidP="00CE10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0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6914" w:rsidP="00A169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0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914" w:rsidP="00CE10C6">
    <w:pPr>
      <w:pStyle w:val="Header"/>
      <w:framePr w:wrap="around"/>
    </w:pPr>
    <w:r>
      <w:fldChar w:fldCharType="begin"/>
    </w:r>
    <w:r>
      <w:instrText xml:space="preserve"> TITLE   \* MERGEFORMAT </w:instrText>
    </w:r>
    <w:r>
      <w:fldChar w:fldCharType="separate"/>
    </w:r>
    <w:r>
      <w:t>UETTDRIS38A Install and maintain public lighting systems in remote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16914" w:rsidP="00CE10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1EDF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3ACC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9CA8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10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10C6"/>
    <w:pPr>
      <w:spacing w:before="360" w:after="60"/>
      <w:outlineLvl w:val="0"/>
    </w:pPr>
    <w:rPr>
      <w:sz w:val="32"/>
    </w:rPr>
  </w:style>
  <w:style w:type="paragraph" w:styleId="Heading2">
    <w:name w:val="heading 2"/>
    <w:basedOn w:val="HeadingBase"/>
    <w:next w:val="BodyText"/>
    <w:link w:val="Heading2Char"/>
    <w:qFormat/>
    <w:rsid w:val="00CE10C6"/>
    <w:pPr>
      <w:keepLines/>
      <w:spacing w:before="240" w:after="120"/>
      <w:outlineLvl w:val="1"/>
    </w:pPr>
    <w:rPr>
      <w:sz w:val="28"/>
      <w:szCs w:val="40"/>
    </w:rPr>
  </w:style>
  <w:style w:type="paragraph" w:styleId="Heading3">
    <w:name w:val="heading 3"/>
    <w:basedOn w:val="HeadingBase"/>
    <w:next w:val="BodyText"/>
    <w:link w:val="Heading3Char"/>
    <w:qFormat/>
    <w:rsid w:val="00CE10C6"/>
    <w:pPr>
      <w:spacing w:before="180" w:after="120"/>
      <w:outlineLvl w:val="2"/>
    </w:pPr>
    <w:rPr>
      <w:spacing w:val="-10"/>
      <w:kern w:val="32"/>
    </w:rPr>
  </w:style>
  <w:style w:type="paragraph" w:styleId="Heading4">
    <w:name w:val="heading 4"/>
    <w:basedOn w:val="HeadingBase"/>
    <w:next w:val="BodyText"/>
    <w:link w:val="Heading4Char"/>
    <w:qFormat/>
    <w:rsid w:val="00CE10C6"/>
    <w:pPr>
      <w:spacing w:before="160" w:after="120"/>
      <w:outlineLvl w:val="3"/>
    </w:pPr>
    <w:rPr>
      <w:sz w:val="22"/>
    </w:rPr>
  </w:style>
  <w:style w:type="paragraph" w:styleId="Heading5">
    <w:name w:val="heading 5"/>
    <w:basedOn w:val="HeadingBase"/>
    <w:next w:val="Normal"/>
    <w:link w:val="Heading5Char"/>
    <w:qFormat/>
    <w:rsid w:val="00CE10C6"/>
    <w:pPr>
      <w:spacing w:before="80"/>
      <w:outlineLvl w:val="4"/>
    </w:pPr>
    <w:rPr>
      <w:color w:val="918585"/>
      <w:sz w:val="20"/>
    </w:rPr>
  </w:style>
  <w:style w:type="paragraph" w:styleId="Heading6">
    <w:name w:val="heading 6"/>
    <w:basedOn w:val="HeadingBase"/>
    <w:next w:val="Normal"/>
    <w:link w:val="Heading6Char"/>
    <w:qFormat/>
    <w:rsid w:val="00CE10C6"/>
    <w:pPr>
      <w:spacing w:before="60"/>
      <w:outlineLvl w:val="5"/>
    </w:pPr>
    <w:rPr>
      <w:color w:val="918585"/>
      <w:sz w:val="20"/>
    </w:rPr>
  </w:style>
  <w:style w:type="paragraph" w:styleId="Heading7">
    <w:name w:val="heading 7"/>
    <w:basedOn w:val="Normal"/>
    <w:next w:val="Normal"/>
    <w:link w:val="Heading7Char"/>
    <w:qFormat/>
    <w:rsid w:val="00CE10C6"/>
    <w:pPr>
      <w:ind w:left="720"/>
      <w:outlineLvl w:val="6"/>
    </w:pPr>
    <w:rPr>
      <w:i/>
    </w:rPr>
  </w:style>
  <w:style w:type="paragraph" w:styleId="Heading8">
    <w:name w:val="heading 8"/>
    <w:basedOn w:val="Normal"/>
    <w:next w:val="Normal"/>
    <w:link w:val="Heading8Char"/>
    <w:qFormat/>
    <w:rsid w:val="00CE10C6"/>
    <w:pPr>
      <w:ind w:left="720"/>
      <w:outlineLvl w:val="7"/>
    </w:pPr>
    <w:rPr>
      <w:i/>
    </w:rPr>
  </w:style>
  <w:style w:type="paragraph" w:styleId="Heading9">
    <w:name w:val="heading 9"/>
    <w:basedOn w:val="Normal"/>
    <w:next w:val="Normal"/>
    <w:link w:val="Heading9Char"/>
    <w:qFormat/>
    <w:rsid w:val="00CE10C6"/>
    <w:pPr>
      <w:ind w:left="720"/>
      <w:outlineLvl w:val="8"/>
    </w:pPr>
    <w:rPr>
      <w:i/>
    </w:rPr>
  </w:style>
  <w:style w:type="character" w:default="1" w:styleId="DefaultParagraphFont">
    <w:name w:val="Default Paragraph Font"/>
    <w:uiPriority w:val="1"/>
    <w:unhideWhenUsed/>
    <w:rsid w:val="00CE10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10C6"/>
  </w:style>
  <w:style w:type="character" w:customStyle="1" w:styleId="Heading1Char">
    <w:name w:val="Heading 1 Char"/>
    <w:basedOn w:val="DefaultParagraphFont"/>
    <w:link w:val="Heading1"/>
    <w:rsid w:val="00CE10C6"/>
    <w:rPr>
      <w:rFonts w:ascii="Times New Roman" w:eastAsia="Times New Roman" w:hAnsi="Times New Roman" w:cs="Times New Roman"/>
      <w:b/>
      <w:sz w:val="32"/>
      <w:szCs w:val="20"/>
      <w:lang w:eastAsia="en-US"/>
    </w:rPr>
  </w:style>
  <w:style w:type="paragraph" w:styleId="BodyText">
    <w:name w:val="Body Text"/>
    <w:basedOn w:val="Normal"/>
    <w:link w:val="BodyTextChar"/>
    <w:rsid w:val="00CE10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10C6"/>
    <w:rPr>
      <w:rFonts w:ascii="Times New Roman" w:eastAsia="Times New Roman" w:hAnsi="Times New Roman" w:cs="Times New Roman"/>
      <w:sz w:val="24"/>
      <w:lang w:val="en-US" w:eastAsia="en-US"/>
    </w:rPr>
  </w:style>
  <w:style w:type="paragraph" w:styleId="Footer">
    <w:name w:val="footer"/>
    <w:basedOn w:val="Normal"/>
    <w:link w:val="FooterChar"/>
    <w:rsid w:val="00CE10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10C6"/>
    <w:rPr>
      <w:rFonts w:ascii="Times New Roman" w:eastAsia="Times New Roman" w:hAnsi="Times New Roman" w:cs="Times New Roman"/>
      <w:sz w:val="16"/>
      <w:lang w:val="en-US" w:eastAsia="en-US"/>
    </w:rPr>
  </w:style>
  <w:style w:type="paragraph" w:styleId="ListBullet">
    <w:name w:val="List Bullet"/>
    <w:basedOn w:val="List"/>
    <w:rsid w:val="00CE10C6"/>
    <w:pPr>
      <w:numPr>
        <w:numId w:val="14"/>
      </w:numPr>
      <w:tabs>
        <w:tab w:val="clear" w:pos="340"/>
      </w:tabs>
      <w:spacing w:before="40" w:after="40"/>
    </w:pPr>
  </w:style>
  <w:style w:type="character" w:customStyle="1" w:styleId="SpecialBold">
    <w:name w:val="Special Bold"/>
    <w:basedOn w:val="DefaultParagraphFont"/>
    <w:rsid w:val="00CE10C6"/>
    <w:rPr>
      <w:b/>
      <w:spacing w:val="0"/>
    </w:rPr>
  </w:style>
  <w:style w:type="paragraph" w:styleId="ListBullet2">
    <w:name w:val="List Bullet 2"/>
    <w:basedOn w:val="List2"/>
    <w:rsid w:val="00CE10C6"/>
    <w:pPr>
      <w:numPr>
        <w:numId w:val="15"/>
      </w:numPr>
      <w:tabs>
        <w:tab w:val="clear" w:pos="680"/>
      </w:tabs>
    </w:pPr>
  </w:style>
  <w:style w:type="paragraph" w:styleId="Header">
    <w:name w:val="header"/>
    <w:basedOn w:val="Normal"/>
    <w:link w:val="HeaderChar"/>
    <w:rsid w:val="00CE10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10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E10C6"/>
    <w:pPr>
      <w:spacing w:before="240" w:after="120"/>
      <w:outlineLvl w:val="0"/>
    </w:pPr>
    <w:rPr>
      <w:rFonts w:ascii="Times New Roman" w:hAnsi="Times New Roman"/>
      <w:b/>
      <w:sz w:val="28"/>
    </w:rPr>
  </w:style>
  <w:style w:type="paragraph" w:customStyle="1" w:styleId="AllowPageBreak">
    <w:name w:val="AllowPageBreak"/>
    <w:rsid w:val="00CE10C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E10C6"/>
    <w:pPr>
      <w:numPr>
        <w:numId w:val="3"/>
      </w:numPr>
      <w:tabs>
        <w:tab w:val="clear" w:pos="1021"/>
      </w:tabs>
      <w:ind w:left="1037" w:hanging="357"/>
    </w:pPr>
  </w:style>
  <w:style w:type="character" w:customStyle="1" w:styleId="Heading2Char">
    <w:name w:val="Heading 2 Char"/>
    <w:basedOn w:val="DefaultParagraphFont"/>
    <w:link w:val="Heading2"/>
    <w:rsid w:val="00CE10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10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10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10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10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10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10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10C6"/>
    <w:rPr>
      <w:rFonts w:ascii="Courier New" w:eastAsia="Times New Roman" w:hAnsi="Courier New" w:cs="Times New Roman"/>
      <w:i/>
      <w:szCs w:val="20"/>
      <w:lang w:val="en-US" w:eastAsia="en-US"/>
    </w:rPr>
  </w:style>
  <w:style w:type="paragraph" w:customStyle="1" w:styleId="HeadingBase">
    <w:name w:val="Heading Base"/>
    <w:rsid w:val="00CE10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10C6"/>
    <w:pPr>
      <w:tabs>
        <w:tab w:val="right" w:leader="dot" w:pos="9072"/>
      </w:tabs>
      <w:ind w:left="567"/>
    </w:pPr>
    <w:rPr>
      <w:szCs w:val="22"/>
    </w:rPr>
  </w:style>
  <w:style w:type="paragraph" w:customStyle="1" w:styleId="TOCBase">
    <w:name w:val="TOC Base"/>
    <w:rsid w:val="00CE10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10C6"/>
    <w:pPr>
      <w:tabs>
        <w:tab w:val="right" w:leader="dot" w:pos="9072"/>
      </w:tabs>
      <w:spacing w:before="40" w:after="40"/>
      <w:ind w:left="284"/>
    </w:pPr>
    <w:rPr>
      <w:rFonts w:ascii="Times New Roman" w:hAnsi="Times New Roman"/>
    </w:rPr>
  </w:style>
  <w:style w:type="paragraph" w:styleId="TOC1">
    <w:name w:val="toc 1"/>
    <w:basedOn w:val="TOCBase"/>
    <w:next w:val="Normal"/>
    <w:rsid w:val="00CE10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10C6"/>
    <w:pPr>
      <w:spacing w:before="5040"/>
      <w:jc w:val="center"/>
    </w:pPr>
    <w:rPr>
      <w:sz w:val="48"/>
      <w:szCs w:val="72"/>
      <w:lang w:val="en-US"/>
    </w:rPr>
  </w:style>
  <w:style w:type="character" w:customStyle="1" w:styleId="TitleChar">
    <w:name w:val="Title Char"/>
    <w:basedOn w:val="DefaultParagraphFont"/>
    <w:link w:val="Title"/>
    <w:rsid w:val="00CE10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10C6"/>
    <w:pPr>
      <w:tabs>
        <w:tab w:val="left" w:pos="3600"/>
        <w:tab w:val="left" w:pos="3958"/>
      </w:tabs>
    </w:pPr>
  </w:style>
  <w:style w:type="paragraph" w:styleId="List">
    <w:name w:val="List"/>
    <w:basedOn w:val="BodyText"/>
    <w:next w:val="BodyText"/>
    <w:rsid w:val="00CE10C6"/>
    <w:pPr>
      <w:tabs>
        <w:tab w:val="left" w:pos="340"/>
      </w:tabs>
      <w:spacing w:before="60" w:after="60"/>
      <w:ind w:left="340" w:hanging="340"/>
    </w:pPr>
  </w:style>
  <w:style w:type="paragraph" w:customStyle="1" w:styleId="Note">
    <w:name w:val="Note"/>
    <w:basedOn w:val="BodyText"/>
    <w:rsid w:val="00CE10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10C6"/>
    <w:pPr>
      <w:framePr w:wrap="auto" w:hAnchor="text" w:y="6049"/>
    </w:pPr>
    <w:rPr>
      <w:color w:val="000000"/>
      <w:sz w:val="40"/>
    </w:rPr>
  </w:style>
  <w:style w:type="paragraph" w:customStyle="1" w:styleId="TOCTitle">
    <w:name w:val="TOCTitle"/>
    <w:basedOn w:val="Heading1"/>
    <w:rsid w:val="00CE10C6"/>
    <w:pPr>
      <w:spacing w:after="240"/>
      <w:jc w:val="center"/>
      <w:outlineLvl w:val="9"/>
    </w:pPr>
    <w:rPr>
      <w:caps/>
    </w:rPr>
  </w:style>
  <w:style w:type="paragraph" w:customStyle="1" w:styleId="Version">
    <w:name w:val="Version"/>
    <w:rsid w:val="00CE10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10C6"/>
    <w:pPr>
      <w:keepNext w:val="0"/>
      <w:tabs>
        <w:tab w:val="right" w:pos="4176"/>
      </w:tabs>
      <w:ind w:left="198" w:hanging="198"/>
    </w:pPr>
    <w:rPr>
      <w:rFonts w:ascii="Garamond" w:hAnsi="Garamond"/>
    </w:rPr>
  </w:style>
  <w:style w:type="paragraph" w:styleId="IndexHeading">
    <w:name w:val="index heading"/>
    <w:basedOn w:val="Normal"/>
    <w:next w:val="Index1"/>
    <w:semiHidden/>
    <w:rsid w:val="00CE10C6"/>
    <w:pPr>
      <w:spacing w:before="120" w:after="120"/>
    </w:pPr>
    <w:rPr>
      <w:rFonts w:ascii="Arial" w:hAnsi="Arial"/>
      <w:b/>
      <w:color w:val="918585"/>
      <w:sz w:val="24"/>
    </w:rPr>
  </w:style>
  <w:style w:type="paragraph" w:customStyle="1" w:styleId="Chapter">
    <w:name w:val="Chapter"/>
    <w:basedOn w:val="Normal"/>
    <w:rsid w:val="00CE10C6"/>
    <w:pPr>
      <w:spacing w:before="240"/>
    </w:pPr>
    <w:rPr>
      <w:rFonts w:ascii="Times New Roman" w:hAnsi="Times New Roman"/>
      <w:smallCaps/>
      <w:spacing w:val="80"/>
      <w:sz w:val="28"/>
    </w:rPr>
  </w:style>
  <w:style w:type="paragraph" w:customStyle="1" w:styleId="InChapter">
    <w:name w:val="InChapter"/>
    <w:basedOn w:val="Heading3"/>
    <w:rsid w:val="00CE10C6"/>
    <w:pPr>
      <w:spacing w:after="240"/>
      <w:outlineLvl w:val="9"/>
    </w:pPr>
    <w:rPr>
      <w:noProof/>
    </w:rPr>
  </w:style>
  <w:style w:type="paragraph" w:styleId="Index2">
    <w:name w:val="index 2"/>
    <w:basedOn w:val="Normal"/>
    <w:next w:val="Normal"/>
    <w:semiHidden/>
    <w:rsid w:val="00CE10C6"/>
    <w:pPr>
      <w:tabs>
        <w:tab w:val="right" w:pos="4176"/>
      </w:tabs>
      <w:ind w:left="568" w:hanging="284"/>
    </w:pPr>
    <w:rPr>
      <w:rFonts w:ascii="Garamond" w:hAnsi="Garamond"/>
    </w:rPr>
  </w:style>
  <w:style w:type="paragraph" w:customStyle="1" w:styleId="Byline">
    <w:name w:val="Byline"/>
    <w:rsid w:val="00CE10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10C6"/>
    <w:pPr>
      <w:tabs>
        <w:tab w:val="clear" w:pos="3600"/>
        <w:tab w:val="clear" w:pos="3958"/>
      </w:tabs>
      <w:jc w:val="right"/>
    </w:pPr>
  </w:style>
  <w:style w:type="character" w:styleId="Emphasis">
    <w:name w:val="Emphasis"/>
    <w:basedOn w:val="DefaultParagraphFont"/>
    <w:qFormat/>
    <w:rsid w:val="00CE10C6"/>
    <w:rPr>
      <w:i/>
    </w:rPr>
  </w:style>
  <w:style w:type="paragraph" w:styleId="Caption">
    <w:name w:val="caption"/>
    <w:basedOn w:val="BodyText"/>
    <w:next w:val="Normal"/>
    <w:qFormat/>
    <w:rsid w:val="00CE10C6"/>
    <w:pPr>
      <w:framePr w:w="2268" w:hSpace="181" w:vSpace="181" w:wrap="around" w:vAnchor="text" w:hAnchor="page" w:x="1135" w:y="285" w:anchorLock="1"/>
    </w:pPr>
    <w:rPr>
      <w:i/>
    </w:rPr>
  </w:style>
  <w:style w:type="paragraph" w:customStyle="1" w:styleId="MiniTOCTitle">
    <w:name w:val="MiniTOCTitle"/>
    <w:basedOn w:val="Heading4"/>
    <w:rsid w:val="00CE10C6"/>
    <w:pPr>
      <w:spacing w:before="240"/>
      <w:outlineLvl w:val="9"/>
    </w:pPr>
    <w:rPr>
      <w:noProof/>
      <w:sz w:val="24"/>
    </w:rPr>
  </w:style>
  <w:style w:type="paragraph" w:customStyle="1" w:styleId="MiniTOCItem">
    <w:name w:val="MiniTOCItem"/>
    <w:basedOn w:val="ListBullet"/>
    <w:rsid w:val="00CE10C6"/>
    <w:pPr>
      <w:numPr>
        <w:numId w:val="0"/>
      </w:numPr>
      <w:tabs>
        <w:tab w:val="right" w:leader="dot" w:pos="6521"/>
      </w:tabs>
      <w:spacing w:before="0" w:after="0"/>
    </w:pPr>
  </w:style>
  <w:style w:type="paragraph" w:customStyle="1" w:styleId="TOFTitle">
    <w:name w:val="TOFTitle"/>
    <w:basedOn w:val="TOCTitle"/>
    <w:rsid w:val="00CE10C6"/>
  </w:style>
  <w:style w:type="paragraph" w:styleId="TableofFigures">
    <w:name w:val="table of figures"/>
    <w:basedOn w:val="Normal"/>
    <w:next w:val="Normal"/>
    <w:semiHidden/>
    <w:rsid w:val="00CE10C6"/>
    <w:pPr>
      <w:tabs>
        <w:tab w:val="right" w:leader="dot" w:pos="9072"/>
      </w:tabs>
      <w:ind w:left="970" w:hanging="403"/>
    </w:pPr>
    <w:rPr>
      <w:rFonts w:ascii="Times New Roman" w:hAnsi="Times New Roman"/>
      <w:b/>
    </w:rPr>
  </w:style>
  <w:style w:type="paragraph" w:styleId="ListNumber">
    <w:name w:val="List Number"/>
    <w:basedOn w:val="List"/>
    <w:rsid w:val="00CE10C6"/>
    <w:pPr>
      <w:numPr>
        <w:numId w:val="12"/>
      </w:numPr>
    </w:pPr>
  </w:style>
  <w:style w:type="character" w:customStyle="1" w:styleId="WingdingSymbols">
    <w:name w:val="Wingding Symbols"/>
    <w:rsid w:val="00CE10C6"/>
    <w:rPr>
      <w:rFonts w:ascii="Wingdings" w:hAnsi="Wingdings"/>
    </w:rPr>
  </w:style>
  <w:style w:type="paragraph" w:customStyle="1" w:styleId="TableHeading">
    <w:name w:val="Table Heading"/>
    <w:basedOn w:val="HeadingBase"/>
    <w:rsid w:val="00CE10C6"/>
    <w:pPr>
      <w:keepLines/>
      <w:pBdr>
        <w:bottom w:val="single" w:sz="6" w:space="1" w:color="918585"/>
      </w:pBdr>
      <w:spacing w:before="240"/>
    </w:pPr>
  </w:style>
  <w:style w:type="character" w:customStyle="1" w:styleId="HotSpot">
    <w:name w:val="HotSpot"/>
    <w:rsid w:val="00CE10C6"/>
    <w:rPr>
      <w:color w:val="0033CC"/>
      <w:u w:val="none"/>
    </w:rPr>
  </w:style>
  <w:style w:type="paragraph" w:customStyle="1" w:styleId="BodyTextRight">
    <w:name w:val="Body Text Right"/>
    <w:basedOn w:val="BodyText"/>
    <w:rsid w:val="00CE10C6"/>
    <w:pPr>
      <w:spacing w:before="0" w:after="0"/>
      <w:jc w:val="right"/>
    </w:pPr>
  </w:style>
  <w:style w:type="paragraph" w:styleId="Index3">
    <w:name w:val="index 3"/>
    <w:basedOn w:val="ListNumber2"/>
    <w:next w:val="Normal"/>
    <w:semiHidden/>
    <w:rsid w:val="00CE10C6"/>
    <w:pPr>
      <w:numPr>
        <w:numId w:val="0"/>
      </w:numPr>
      <w:tabs>
        <w:tab w:val="right" w:leader="dot" w:pos="4176"/>
      </w:tabs>
    </w:pPr>
  </w:style>
  <w:style w:type="paragraph" w:styleId="ListNumber2">
    <w:name w:val="List Number 2"/>
    <w:basedOn w:val="List2"/>
    <w:rsid w:val="00CE10C6"/>
    <w:pPr>
      <w:numPr>
        <w:numId w:val="11"/>
      </w:numPr>
      <w:tabs>
        <w:tab w:val="clear" w:pos="1060"/>
      </w:tabs>
    </w:pPr>
  </w:style>
  <w:style w:type="paragraph" w:customStyle="1" w:styleId="MarginNote">
    <w:name w:val="Margin Note"/>
    <w:basedOn w:val="BodyText"/>
    <w:rsid w:val="00CE10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10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10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10C6"/>
    <w:rPr>
      <w:sz w:val="32"/>
    </w:rPr>
  </w:style>
  <w:style w:type="paragraph" w:customStyle="1" w:styleId="HeadingProcedure">
    <w:name w:val="Heading Procedure"/>
    <w:basedOn w:val="HeadingBase"/>
    <w:next w:val="Normal"/>
    <w:rsid w:val="00CE10C6"/>
    <w:pPr>
      <w:tabs>
        <w:tab w:val="left" w:pos="0"/>
      </w:tabs>
      <w:spacing w:before="120" w:after="60"/>
    </w:pPr>
    <w:rPr>
      <w:i/>
      <w:color w:val="918585"/>
      <w:sz w:val="22"/>
    </w:rPr>
  </w:style>
  <w:style w:type="paragraph" w:customStyle="1" w:styleId="TableBodyText">
    <w:name w:val="Table Body Text"/>
    <w:basedOn w:val="BodyText"/>
    <w:rsid w:val="00CE10C6"/>
    <w:pPr>
      <w:spacing w:before="60" w:after="60"/>
    </w:pPr>
  </w:style>
  <w:style w:type="paragraph" w:styleId="ListContinue">
    <w:name w:val="List Continue"/>
    <w:basedOn w:val="List"/>
    <w:rsid w:val="00CE10C6"/>
    <w:pPr>
      <w:ind w:firstLine="0"/>
    </w:pPr>
  </w:style>
  <w:style w:type="paragraph" w:customStyle="1" w:styleId="ListNote">
    <w:name w:val="List Note"/>
    <w:basedOn w:val="List"/>
    <w:rsid w:val="00CE10C6"/>
    <w:pPr>
      <w:pBdr>
        <w:top w:val="single" w:sz="6" w:space="2" w:color="918585"/>
        <w:bottom w:val="single" w:sz="6" w:space="2" w:color="918585"/>
      </w:pBdr>
      <w:tabs>
        <w:tab w:val="left" w:pos="1021"/>
      </w:tabs>
      <w:ind w:firstLine="0"/>
    </w:pPr>
  </w:style>
  <w:style w:type="paragraph" w:customStyle="1" w:styleId="Warning">
    <w:name w:val="Warning"/>
    <w:basedOn w:val="BodyText"/>
    <w:rsid w:val="00CE10C6"/>
    <w:pPr>
      <w:shd w:val="clear" w:color="auto" w:fill="D9D9D9"/>
      <w:tabs>
        <w:tab w:val="left" w:pos="992"/>
      </w:tabs>
      <w:ind w:left="119" w:right="119"/>
    </w:pPr>
    <w:rPr>
      <w:sz w:val="20"/>
    </w:rPr>
  </w:style>
  <w:style w:type="paragraph" w:customStyle="1" w:styleId="MarginIcons">
    <w:name w:val="Margin Icons"/>
    <w:basedOn w:val="BodyText"/>
    <w:rsid w:val="00CE10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10C6"/>
    <w:rPr>
      <w:rFonts w:ascii="Courier New" w:hAnsi="Courier New"/>
    </w:rPr>
  </w:style>
  <w:style w:type="paragraph" w:customStyle="1" w:styleId="NoteBullet">
    <w:name w:val="Note Bullet"/>
    <w:basedOn w:val="Note"/>
    <w:rsid w:val="00CE10C6"/>
    <w:pPr>
      <w:tabs>
        <w:tab w:val="clear" w:pos="680"/>
      </w:tabs>
      <w:spacing w:before="60" w:after="60"/>
    </w:pPr>
  </w:style>
  <w:style w:type="paragraph" w:customStyle="1" w:styleId="SubHeading2">
    <w:name w:val="SubHeading2"/>
    <w:basedOn w:val="HeadingBase"/>
    <w:rsid w:val="00CE10C6"/>
    <w:pPr>
      <w:spacing w:before="240" w:after="60"/>
    </w:pPr>
    <w:rPr>
      <w:sz w:val="20"/>
    </w:rPr>
  </w:style>
  <w:style w:type="paragraph" w:customStyle="1" w:styleId="SubHeading1">
    <w:name w:val="SubHeading1"/>
    <w:basedOn w:val="HeadingBase"/>
    <w:rsid w:val="00CE10C6"/>
    <w:pPr>
      <w:spacing w:before="240" w:after="60"/>
    </w:pPr>
    <w:rPr>
      <w:color w:val="918585"/>
      <w:sz w:val="22"/>
    </w:rPr>
  </w:style>
  <w:style w:type="paragraph" w:customStyle="1" w:styleId="SideHeading">
    <w:name w:val="Side Heading"/>
    <w:basedOn w:val="HeadingBase"/>
    <w:rsid w:val="00CE10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10C6"/>
    <w:pPr>
      <w:numPr>
        <w:numId w:val="13"/>
      </w:numPr>
    </w:pPr>
  </w:style>
  <w:style w:type="paragraph" w:styleId="PlainText">
    <w:name w:val="Plain Text"/>
    <w:basedOn w:val="Normal"/>
    <w:link w:val="PlainTextChar"/>
    <w:rsid w:val="00CE10C6"/>
    <w:rPr>
      <w:sz w:val="20"/>
    </w:rPr>
  </w:style>
  <w:style w:type="character" w:customStyle="1" w:styleId="PlainTextChar">
    <w:name w:val="Plain Text Char"/>
    <w:basedOn w:val="DefaultParagraphFont"/>
    <w:link w:val="PlainText"/>
    <w:rsid w:val="00CE10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E10C6"/>
    <w:rPr>
      <w:b/>
      <w:smallCaps/>
    </w:rPr>
  </w:style>
  <w:style w:type="paragraph" w:customStyle="1" w:styleId="TableListNumber">
    <w:name w:val="Table List Number"/>
    <w:basedOn w:val="ListNumber"/>
    <w:rsid w:val="00CE10C6"/>
    <w:pPr>
      <w:numPr>
        <w:numId w:val="0"/>
      </w:numPr>
    </w:pPr>
  </w:style>
  <w:style w:type="paragraph" w:styleId="TOC4">
    <w:name w:val="toc 4"/>
    <w:basedOn w:val="TOCBase"/>
    <w:next w:val="Normal"/>
    <w:semiHidden/>
    <w:rsid w:val="00CE10C6"/>
    <w:pPr>
      <w:tabs>
        <w:tab w:val="right" w:leader="dot" w:pos="9071"/>
      </w:tabs>
      <w:ind w:left="1701"/>
    </w:pPr>
  </w:style>
  <w:style w:type="paragraph" w:customStyle="1" w:styleId="ListAlpha">
    <w:name w:val="List Alpha"/>
    <w:basedOn w:val="List"/>
    <w:rsid w:val="00CE10C6"/>
    <w:pPr>
      <w:numPr>
        <w:numId w:val="10"/>
      </w:numPr>
    </w:pPr>
  </w:style>
  <w:style w:type="paragraph" w:customStyle="1" w:styleId="ListAlpha2">
    <w:name w:val="List Alpha 2"/>
    <w:basedOn w:val="List2"/>
    <w:rsid w:val="00CE10C6"/>
    <w:pPr>
      <w:numPr>
        <w:numId w:val="9"/>
      </w:numPr>
    </w:pPr>
  </w:style>
  <w:style w:type="paragraph" w:styleId="List2">
    <w:name w:val="List 2"/>
    <w:basedOn w:val="BodyText"/>
    <w:rsid w:val="00CE10C6"/>
    <w:pPr>
      <w:tabs>
        <w:tab w:val="left" w:pos="680"/>
      </w:tabs>
      <w:spacing w:before="60" w:after="60"/>
      <w:ind w:left="680" w:hanging="340"/>
    </w:pPr>
  </w:style>
  <w:style w:type="paragraph" w:styleId="List3">
    <w:name w:val="List 3"/>
    <w:basedOn w:val="BodyText"/>
    <w:rsid w:val="00CE10C6"/>
    <w:pPr>
      <w:tabs>
        <w:tab w:val="left" w:pos="1021"/>
      </w:tabs>
      <w:spacing w:before="60" w:after="60"/>
      <w:ind w:left="1020" w:hanging="340"/>
    </w:pPr>
  </w:style>
  <w:style w:type="paragraph" w:styleId="List4">
    <w:name w:val="List 4"/>
    <w:basedOn w:val="BodyText"/>
    <w:rsid w:val="00CE10C6"/>
    <w:pPr>
      <w:tabs>
        <w:tab w:val="left" w:pos="1361"/>
      </w:tabs>
      <w:spacing w:before="60" w:after="60"/>
      <w:ind w:left="1361" w:hanging="340"/>
    </w:pPr>
  </w:style>
  <w:style w:type="paragraph" w:styleId="List5">
    <w:name w:val="List 5"/>
    <w:basedOn w:val="BodyText"/>
    <w:rsid w:val="00CE10C6"/>
    <w:pPr>
      <w:tabs>
        <w:tab w:val="left" w:pos="1701"/>
      </w:tabs>
      <w:spacing w:before="60" w:after="60"/>
      <w:ind w:left="1701" w:hanging="340"/>
    </w:pPr>
  </w:style>
  <w:style w:type="paragraph" w:styleId="ListBullet4">
    <w:name w:val="List Bullet 4"/>
    <w:basedOn w:val="List4"/>
    <w:rsid w:val="00CE10C6"/>
    <w:pPr>
      <w:numPr>
        <w:numId w:val="4"/>
      </w:numPr>
    </w:pPr>
  </w:style>
  <w:style w:type="paragraph" w:styleId="ListBullet5">
    <w:name w:val="List Bullet 5"/>
    <w:basedOn w:val="List5"/>
    <w:rsid w:val="00CE10C6"/>
    <w:pPr>
      <w:numPr>
        <w:numId w:val="5"/>
      </w:numPr>
    </w:pPr>
  </w:style>
  <w:style w:type="paragraph" w:styleId="ListContinue2">
    <w:name w:val="List Continue 2"/>
    <w:basedOn w:val="List2"/>
    <w:rsid w:val="00CE10C6"/>
    <w:pPr>
      <w:ind w:firstLine="0"/>
    </w:pPr>
  </w:style>
  <w:style w:type="paragraph" w:styleId="ListContinue3">
    <w:name w:val="List Continue 3"/>
    <w:basedOn w:val="List3"/>
    <w:rsid w:val="00CE10C6"/>
    <w:pPr>
      <w:ind w:left="1021" w:firstLine="0"/>
    </w:pPr>
  </w:style>
  <w:style w:type="paragraph" w:styleId="ListContinue4">
    <w:name w:val="List Continue 4"/>
    <w:basedOn w:val="List4"/>
    <w:rsid w:val="00CE10C6"/>
    <w:pPr>
      <w:ind w:firstLine="0"/>
    </w:pPr>
  </w:style>
  <w:style w:type="paragraph" w:styleId="ListContinue5">
    <w:name w:val="List Continue 5"/>
    <w:basedOn w:val="List5"/>
    <w:rsid w:val="00CE10C6"/>
    <w:pPr>
      <w:ind w:firstLine="0"/>
    </w:pPr>
  </w:style>
  <w:style w:type="paragraph" w:styleId="ListNumber3">
    <w:name w:val="List Number 3"/>
    <w:basedOn w:val="List3"/>
    <w:rsid w:val="00CE10C6"/>
    <w:pPr>
      <w:numPr>
        <w:numId w:val="6"/>
      </w:numPr>
    </w:pPr>
  </w:style>
  <w:style w:type="paragraph" w:styleId="ListNumber4">
    <w:name w:val="List Number 4"/>
    <w:basedOn w:val="List4"/>
    <w:rsid w:val="00CE10C6"/>
    <w:pPr>
      <w:numPr>
        <w:numId w:val="7"/>
      </w:numPr>
    </w:pPr>
  </w:style>
  <w:style w:type="paragraph" w:styleId="ListNumber5">
    <w:name w:val="List Number 5"/>
    <w:basedOn w:val="List5"/>
    <w:rsid w:val="00CE10C6"/>
    <w:pPr>
      <w:numPr>
        <w:numId w:val="8"/>
      </w:numPr>
    </w:pPr>
  </w:style>
  <w:style w:type="paragraph" w:styleId="BlockText">
    <w:name w:val="Block Text"/>
    <w:basedOn w:val="Normal"/>
    <w:rsid w:val="00CE10C6"/>
    <w:pPr>
      <w:spacing w:after="120"/>
      <w:ind w:left="1440" w:right="1440"/>
    </w:pPr>
  </w:style>
  <w:style w:type="character" w:customStyle="1" w:styleId="Subscript">
    <w:name w:val="Subscript"/>
    <w:basedOn w:val="DefaultParagraphFont"/>
    <w:rsid w:val="00CE10C6"/>
    <w:rPr>
      <w:sz w:val="16"/>
      <w:vertAlign w:val="subscript"/>
    </w:rPr>
  </w:style>
  <w:style w:type="character" w:customStyle="1" w:styleId="Superscript">
    <w:name w:val="Superscript"/>
    <w:basedOn w:val="DefaultParagraphFont"/>
    <w:rsid w:val="00CE10C6"/>
    <w:rPr>
      <w:sz w:val="16"/>
      <w:vertAlign w:val="superscript"/>
    </w:rPr>
  </w:style>
  <w:style w:type="character" w:customStyle="1" w:styleId="Symbols">
    <w:name w:val="Symbols"/>
    <w:basedOn w:val="DefaultParagraphFont"/>
    <w:rsid w:val="00CE10C6"/>
    <w:rPr>
      <w:rFonts w:ascii="Symbol" w:hAnsi="Symbol"/>
    </w:rPr>
  </w:style>
  <w:style w:type="character" w:customStyle="1" w:styleId="MenuOptions">
    <w:name w:val="Menu Options"/>
    <w:basedOn w:val="DefaultParagraphFont"/>
    <w:rsid w:val="00CE10C6"/>
    <w:rPr>
      <w:rFonts w:ascii="Arial Narrow" w:hAnsi="Arial Narrow"/>
      <w:smallCaps/>
    </w:rPr>
  </w:style>
  <w:style w:type="character" w:customStyle="1" w:styleId="Buttons">
    <w:name w:val="Buttons"/>
    <w:basedOn w:val="DefaultParagraphFont"/>
    <w:rsid w:val="00CE10C6"/>
    <w:rPr>
      <w:b/>
    </w:rPr>
  </w:style>
  <w:style w:type="character" w:customStyle="1" w:styleId="Underlined">
    <w:name w:val="Underlined"/>
    <w:basedOn w:val="DefaultParagraphFont"/>
    <w:rsid w:val="00CE10C6"/>
    <w:rPr>
      <w:u w:val="single"/>
    </w:rPr>
  </w:style>
  <w:style w:type="paragraph" w:customStyle="1" w:styleId="TableBodyTextRight">
    <w:name w:val="Table Body Text Right"/>
    <w:basedOn w:val="TableBodyText"/>
    <w:rsid w:val="00CE10C6"/>
    <w:pPr>
      <w:widowControl w:val="0"/>
      <w:autoSpaceDE w:val="0"/>
      <w:autoSpaceDN w:val="0"/>
      <w:adjustRightInd w:val="0"/>
      <w:jc w:val="right"/>
    </w:pPr>
    <w:rPr>
      <w:rFonts w:cs="Arial"/>
      <w:szCs w:val="18"/>
    </w:rPr>
  </w:style>
  <w:style w:type="paragraph" w:customStyle="1" w:styleId="CopyrightText">
    <w:name w:val="Copyright Text"/>
    <w:basedOn w:val="BodyText"/>
    <w:rsid w:val="00CE10C6"/>
    <w:rPr>
      <w:sz w:val="18"/>
    </w:rPr>
  </w:style>
  <w:style w:type="paragraph" w:customStyle="1" w:styleId="BodySmallRight">
    <w:name w:val="Body Small Right"/>
    <w:basedOn w:val="BodyTextRight"/>
    <w:rsid w:val="00CE10C6"/>
    <w:rPr>
      <w:sz w:val="18"/>
      <w:szCs w:val="18"/>
    </w:rPr>
  </w:style>
  <w:style w:type="paragraph" w:customStyle="1" w:styleId="MarginEdition">
    <w:name w:val="Margin Edition"/>
    <w:basedOn w:val="MarginNote"/>
    <w:rsid w:val="00CE10C6"/>
    <w:pPr>
      <w:spacing w:before="0" w:after="0"/>
    </w:pPr>
    <w:rPr>
      <w:rFonts w:ascii="Times New Roman" w:hAnsi="Times New Roman"/>
      <w:color w:val="999999"/>
    </w:rPr>
  </w:style>
  <w:style w:type="paragraph" w:customStyle="1" w:styleId="Spacer">
    <w:name w:val="Spacer"/>
    <w:basedOn w:val="Normal"/>
    <w:rsid w:val="00CE10C6"/>
    <w:rPr>
      <w:sz w:val="2"/>
      <w:szCs w:val="2"/>
    </w:rPr>
  </w:style>
  <w:style w:type="character" w:customStyle="1" w:styleId="Small">
    <w:name w:val="Small"/>
    <w:basedOn w:val="DefaultParagraphFont"/>
    <w:rsid w:val="00CE10C6"/>
    <w:rPr>
      <w:sz w:val="16"/>
    </w:rPr>
  </w:style>
  <w:style w:type="paragraph" w:customStyle="1" w:styleId="WideTable">
    <w:name w:val="Wide Table"/>
    <w:basedOn w:val="Normal"/>
    <w:rsid w:val="00CE10C6"/>
    <w:pPr>
      <w:ind w:left="-1418"/>
    </w:pPr>
    <w:rPr>
      <w:sz w:val="2"/>
      <w:szCs w:val="2"/>
    </w:rPr>
  </w:style>
  <w:style w:type="character" w:styleId="PageNumber">
    <w:name w:val="page number"/>
    <w:basedOn w:val="DefaultParagraphFont"/>
    <w:rsid w:val="00CE10C6"/>
  </w:style>
  <w:style w:type="paragraph" w:styleId="Quote">
    <w:name w:val="Quote"/>
    <w:basedOn w:val="Heading1"/>
    <w:link w:val="QuoteChar"/>
    <w:qFormat/>
    <w:rsid w:val="00CE10C6"/>
    <w:rPr>
      <w:b w:val="0"/>
      <w:sz w:val="72"/>
      <w:szCs w:val="72"/>
      <w:lang w:val="en-NZ"/>
    </w:rPr>
  </w:style>
  <w:style w:type="character" w:customStyle="1" w:styleId="QuoteChar">
    <w:name w:val="Quote Char"/>
    <w:basedOn w:val="DefaultParagraphFont"/>
    <w:link w:val="Quote"/>
    <w:rsid w:val="00CE10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10C6"/>
    <w:pPr>
      <w:pageBreakBefore/>
    </w:pPr>
  </w:style>
  <w:style w:type="paragraph" w:customStyle="1" w:styleId="Border">
    <w:name w:val="Border"/>
    <w:basedOn w:val="Normal"/>
    <w:qFormat/>
    <w:rsid w:val="00CE10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10C6"/>
    <w:rPr>
      <w:b/>
      <w:bCs/>
      <w:i/>
      <w:iCs/>
      <w:color w:val="auto"/>
    </w:rPr>
  </w:style>
  <w:style w:type="paragraph" w:styleId="IntenseQuote">
    <w:name w:val="Intense Quote"/>
    <w:basedOn w:val="Normal"/>
    <w:next w:val="Normal"/>
    <w:link w:val="IntenseQuoteChar"/>
    <w:uiPriority w:val="30"/>
    <w:qFormat/>
    <w:rsid w:val="00CE10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10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E10C6"/>
    <w:rPr>
      <w:smallCaps/>
      <w:color w:val="auto"/>
      <w:u w:val="single"/>
    </w:rPr>
  </w:style>
  <w:style w:type="character" w:styleId="IntenseReference">
    <w:name w:val="Intense Reference"/>
    <w:basedOn w:val="DefaultParagraphFont"/>
    <w:uiPriority w:val="32"/>
    <w:qFormat/>
    <w:rsid w:val="00CE10C6"/>
    <w:rPr>
      <w:b/>
      <w:bCs/>
      <w:smallCaps/>
      <w:color w:val="auto"/>
      <w:spacing w:val="5"/>
      <w:u w:val="single"/>
    </w:rPr>
  </w:style>
  <w:style w:type="paragraph" w:customStyle="1" w:styleId="2ColumnHeading">
    <w:name w:val="2Column Heading"/>
    <w:basedOn w:val="BodyText"/>
    <w:qFormat/>
    <w:rsid w:val="00CE10C6"/>
    <w:pPr>
      <w:spacing w:after="60"/>
      <w:ind w:left="-2268"/>
    </w:pPr>
    <w:rPr>
      <w:b/>
    </w:rPr>
  </w:style>
  <w:style w:type="paragraph" w:customStyle="1" w:styleId="Heading1TOC">
    <w:name w:val="Heading1 TOC"/>
    <w:basedOn w:val="Normal"/>
    <w:qFormat/>
    <w:rsid w:val="00CE10C6"/>
    <w:pPr>
      <w:spacing w:before="240" w:after="120"/>
    </w:pPr>
    <w:rPr>
      <w:rFonts w:ascii="Times New Roman" w:hAnsi="Times New Roman"/>
      <w:b/>
      <w:sz w:val="32"/>
    </w:rPr>
  </w:style>
  <w:style w:type="paragraph" w:customStyle="1" w:styleId="Heading2TOC">
    <w:name w:val="Heading2 TOC"/>
    <w:basedOn w:val="Normal"/>
    <w:qFormat/>
    <w:rsid w:val="00CE10C6"/>
    <w:pPr>
      <w:spacing w:before="240" w:after="60"/>
    </w:pPr>
    <w:rPr>
      <w:rFonts w:ascii="Times New Roman" w:hAnsi="Times New Roman"/>
      <w:b/>
      <w:sz w:val="28"/>
    </w:rPr>
  </w:style>
  <w:style w:type="character" w:customStyle="1" w:styleId="Underline">
    <w:name w:val="Underline"/>
    <w:basedOn w:val="DefaultParagraphFont"/>
    <w:qFormat/>
    <w:rsid w:val="00CE10C6"/>
    <w:rPr>
      <w:u w:val="single"/>
    </w:rPr>
  </w:style>
  <w:style w:type="character" w:customStyle="1" w:styleId="BoldandItalics">
    <w:name w:val="Bold and Italics"/>
    <w:qFormat/>
    <w:rsid w:val="00CE10C6"/>
    <w:rPr>
      <w:b/>
      <w:i/>
      <w:u w:val="none"/>
    </w:rPr>
  </w:style>
  <w:style w:type="paragraph" w:styleId="BalloonText">
    <w:name w:val="Balloon Text"/>
    <w:basedOn w:val="Normal"/>
    <w:link w:val="BalloonTextChar"/>
    <w:rsid w:val="00CE10C6"/>
    <w:rPr>
      <w:rFonts w:ascii="Tahoma" w:hAnsi="Tahoma" w:cs="Tahoma"/>
      <w:sz w:val="16"/>
      <w:szCs w:val="16"/>
    </w:rPr>
  </w:style>
  <w:style w:type="character" w:customStyle="1" w:styleId="BalloonTextChar">
    <w:name w:val="Balloon Text Char"/>
    <w:basedOn w:val="DefaultParagraphFont"/>
    <w:link w:val="BalloonText"/>
    <w:rsid w:val="00CE10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10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10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2655</Words>
  <Characters>16649</Characters>
  <Application>Microsoft Office Word</Application>
  <DocSecurity>0</DocSecurity>
  <Lines>672</Lines>
  <Paragraphs>267</Paragraphs>
  <ScaleCrop>false</ScaleCrop>
  <Company>Author-it Software Corporation Ltd.</Company>
  <LinksUpToDate>false</LinksUpToDate>
  <CharactersWithSpaces>19086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UETTDRIS38A Install and maintain public lighting systems in remote communities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2012-05-26T12:12:00Z</dcterms:created>
  <dcterms:modified xsi:type="dcterms:W3CDTF">2012-05-26T12:12:00Z</dcterms:modified>
</cp:coreProperties>
</file>