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30D" w:rsidP="00FC230D">
      <w:pPr>
        <w:pStyle w:val="Title"/>
      </w:pPr>
      <w:bookmarkStart w:id="0" w:name="_GoBack"/>
      <w:bookmarkEnd w:id="0"/>
      <w:r>
        <w:fldChar w:fldCharType="begin"/>
      </w:r>
      <w:r>
        <w:instrText xml:space="preserve"> TITLE   \* MERGEFORMAT </w:instrText>
      </w:r>
      <w:r>
        <w:fldChar w:fldCharType="separate"/>
      </w:r>
      <w:r>
        <w:t>UETTDRIS36A Install and maintain low voltage services in remote communities (overhead)</w:t>
      </w:r>
      <w:r>
        <w:fldChar w:fldCharType="end"/>
      </w:r>
    </w:p>
    <w:p w:rsidR="00FC230D" w:rsidP="00FC230D">
      <w:pPr>
        <w:pStyle w:val="Version"/>
        <w:sectPr w:rsidSect="007810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09F" w:rsidP="0078109F">
      <w:pPr>
        <w:pStyle w:val="SuperHeading"/>
      </w:pPr>
      <w:r w:rsidRPr="0078109F">
        <w:t>UETTDRIS36A Install and maintain low voltage services in remote communities (overhead)</w:t>
      </w:r>
    </w:p>
    <w:p w:rsidR="00000000" w:rsidRPr="0078109F" w:rsidP="0078109F">
      <w:pPr>
        <w:pStyle w:val="Heading1"/>
      </w:pPr>
      <w:bookmarkStart w:id="1" w:name="O_462394"/>
      <w:bookmarkEnd w:id="1"/>
      <w:r w:rsidRPr="0078109F">
        <w:t>Modification History</w:t>
      </w:r>
    </w:p>
    <w:p w:rsidR="00000000" w:rsidRPr="0078109F" w:rsidP="0078109F">
      <w:pPr>
        <w:pStyle w:val="BodyText"/>
      </w:pPr>
      <w:r w:rsidRPr="0078109F">
        <w:t>Not applicable.</w:t>
      </w:r>
    </w:p>
    <w:p w:rsidR="00000000" w:rsidRPr="0078109F" w:rsidP="0078109F">
      <w:pPr>
        <w:pStyle w:val="AllowPageBreak"/>
      </w:pPr>
    </w:p>
    <w:p w:rsidR="00000000" w:rsidRPr="0078109F" w:rsidP="0078109F">
      <w:pPr>
        <w:pStyle w:val="Heading1"/>
      </w:pPr>
      <w:bookmarkStart w:id="2" w:name="O_462392"/>
      <w:bookmarkEnd w:id="2"/>
      <w:r w:rsidRPr="0078109F">
        <w:t>Unit Desc</w:t>
      </w:r>
      <w:r w:rsidRPr="0078109F">
        <w:t>riptor</w:t>
      </w:r>
    </w:p>
    <w:tbl>
      <w:tblPr>
        <w:tblW w:w="0" w:type="auto"/>
        <w:tblLayout w:type="fixed"/>
        <w:tblCellMar>
          <w:left w:w="62" w:type="dxa"/>
          <w:right w:w="62" w:type="dxa"/>
        </w:tblCellMar>
        <w:tblLook w:val="0000"/>
      </w:tblPr>
      <w:tblGrid>
        <w:gridCol w:w="2700"/>
        <w:gridCol w:w="5760"/>
      </w:tblGrid>
      <w:tr w:rsidTr="00FC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1)</w:t>
            </w:r>
            <w:r w:rsidRPr="0078109F">
              <w:t xml:space="preserve"> </w:t>
            </w:r>
            <w:r w:rsidRPr="0078109F">
              <w:rPr>
                <w:rStyle w:val="SpecialBold"/>
              </w:rPr>
              <w:t>Scope:</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109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1.1) Descriptor</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 xml:space="preserve">This Competency Standard Unit covers the installation, maintenance and connection of low voltage overhead service lines and associated equipment </w:t>
            </w:r>
            <w:r w:rsidRPr="0078109F">
              <w:t xml:space="preserve">(between the connection point and the point of supply - customers’ premises) in remote communities. Maintenance includes the repair and replacement of service cables, service fuses and the replacement and repair of service hardware, the identification and </w:t>
            </w:r>
            <w:r w:rsidRPr="0078109F">
              <w:t>rectification of faults. It also covers insulation, voltage, polarity testing and phase rotation.</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3" w:name="O_462381"/>
      <w:bookmarkEnd w:id="3"/>
      <w:r w:rsidRPr="0078109F">
        <w:t>Application of the Unit</w:t>
      </w:r>
    </w:p>
    <w:tbl>
      <w:tblPr>
        <w:tblW w:w="0" w:type="auto"/>
        <w:tblLayout w:type="fixed"/>
        <w:tblCellMar>
          <w:left w:w="62" w:type="dxa"/>
          <w:right w:w="62" w:type="dxa"/>
        </w:tblCellMar>
        <w:tblLook w:val="0000"/>
      </w:tblPr>
      <w:tblGrid>
        <w:gridCol w:w="2672"/>
        <w:gridCol w:w="5699"/>
      </w:tblGrid>
      <w:tr w:rsidTr="00FC23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2)</w:t>
            </w:r>
          </w:p>
        </w:tc>
      </w:tr>
      <w:tr w:rsidTr="00FC230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This Competency Standard Unit is intended to augment formally acquired competencies. It is suitable for employment-based programs under an approved contract of training.</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4" w:name="O_462388"/>
      <w:bookmarkEnd w:id="4"/>
      <w:r w:rsidRPr="0078109F">
        <w:t>Licensing/Regulatory Information</w:t>
      </w:r>
    </w:p>
    <w:tbl>
      <w:tblPr>
        <w:tblW w:w="0" w:type="auto"/>
        <w:tblLayout w:type="fixed"/>
        <w:tblCellMar>
          <w:left w:w="62" w:type="dxa"/>
          <w:right w:w="62" w:type="dxa"/>
        </w:tblCellMar>
        <w:tblLook w:val="0000"/>
      </w:tblPr>
      <w:tblGrid>
        <w:gridCol w:w="2700"/>
        <w:gridCol w:w="5760"/>
      </w:tblGrid>
      <w:tr w:rsidTr="00FC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 xml:space="preserve">3) </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The skil</w:t>
            </w:r>
            <w:r w:rsidRPr="0078109F">
              <w:t>ls and knowledge described in this unit may require a licence/registration to practice in the work place subject to regulations for undertaking of electrical work. Practice in workplace and during training is also subject to regulations directly related to</w:t>
            </w:r>
            <w:r w:rsidRPr="0078109F">
              <w:t xml:space="preserve"> Occupational Health and Safety, electricity/telecommunications/gas/water industry </w:t>
            </w:r>
            <w:r w:rsidRPr="0078109F">
              <w:t>safety and compliance, industrial relations, environmental protection, anti discrimination and training. Commonwealth, State/Territory or Local Government legislation and re</w:t>
            </w:r>
            <w:r w:rsidRPr="0078109F">
              <w:t>gulations may exist that limits the age of operating certain equipment.</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5" w:name="O_462389"/>
      <w:bookmarkEnd w:id="5"/>
      <w:r w:rsidRPr="0078109F">
        <w:t>Pre-Requisites</w:t>
      </w:r>
    </w:p>
    <w:tbl>
      <w:tblPr>
        <w:tblW w:w="0" w:type="auto"/>
        <w:tblLayout w:type="fixed"/>
        <w:tblCellMar>
          <w:left w:w="62" w:type="dxa"/>
          <w:right w:w="62" w:type="dxa"/>
        </w:tblCellMar>
        <w:tblLook w:val="0000"/>
      </w:tblPr>
      <w:tblGrid>
        <w:gridCol w:w="2700"/>
        <w:gridCol w:w="2070"/>
        <w:gridCol w:w="3690"/>
      </w:tblGrid>
      <w:tr w:rsidTr="00FC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 xml:space="preserve">4) </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4.1)</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Granting of competency in this unit shall be made only after competency in the following unit(s) has/have been confirmed.</w:t>
            </w:r>
          </w:p>
          <w:p w:rsidR="00000000" w:rsidRPr="0078109F" w:rsidP="0078109F">
            <w:pPr>
              <w:pStyle w:val="BodyText"/>
            </w:pPr>
            <w:r w:rsidRPr="0078109F">
              <w:t>Where pre-requisite pathways have been identified. All competencies in the Common Unit Group must be have been completed.</w:t>
            </w:r>
          </w:p>
          <w:p w:rsidR="00000000" w:rsidP="0078109F">
            <w:pPr>
              <w:pStyle w:val="BodyText"/>
              <w:rPr>
                <w:lang w:val="en-NZ"/>
              </w:rPr>
            </w:pPr>
            <w:r w:rsidRPr="0078109F">
              <w:t xml:space="preserve">Common Unit </w:t>
            </w:r>
            <w:r w:rsidRPr="0078109F">
              <w:t>Group</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Unit Code</w:t>
            </w:r>
            <w:r w:rsidRPr="0078109F">
              <w:tab/>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Unit Title</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Apply Occupational Health and Safety regulations, codes and practices in the workplace</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Fabricate, assemble and dismantle utilities industry components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UEENEEE103A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Solve problems in extra-low voltage, single path circuits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Fix and secure electrotechnology equipment</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Use drawings, diagrams, schedules, standards, codes and specifications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Document and apply measures to control OHS</w:t>
            </w:r>
            <w:r w:rsidRPr="0078109F">
              <w:t xml:space="preserve"> risks associated with electrotechnology work</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UEENEEK101A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Maintain safety and tidiness of remote area power supply systems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UEENEEK102A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Work safely with remote area power supply systems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UEENEEK116A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Maintain and repair remote area power generation facilities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UEENEEK120A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Maintain operation remote area power plant</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UETTDREL11A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Apply sustainable energy and environmental procedures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Working safely near live electrical apparatus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UETTDRIS3</w:t>
            </w:r>
            <w:r w:rsidRPr="0078109F">
              <w:t>2A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Solve electrical problems in remote community network apparatus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UETTDRIS33A</w:t>
            </w:r>
          </w:p>
        </w:tc>
        <w:tc>
          <w:tcPr>
            <w:tcW w:w="3690" w:type="dxa"/>
            <w:tcBorders>
              <w:top w:val="nil"/>
              <w:left w:val="nil"/>
              <w:bottom w:val="nil"/>
              <w:right w:val="nil"/>
            </w:tcBorders>
            <w:tcMar>
              <w:top w:w="0" w:type="dxa"/>
              <w:left w:w="62" w:type="dxa"/>
              <w:bottom w:w="0" w:type="dxa"/>
              <w:right w:w="62" w:type="dxa"/>
            </w:tcMar>
            <w:vAlign w:val="bottom"/>
          </w:tcPr>
          <w:p w:rsidR="00000000" w:rsidP="0078109F">
            <w:pPr>
              <w:pStyle w:val="BodyText"/>
              <w:rPr>
                <w:lang w:val="en-NZ"/>
              </w:rPr>
            </w:pPr>
            <w:r w:rsidRPr="0078109F">
              <w:t>Solve electrical problems in remote community network systems</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UETTDRIS99A</w:t>
            </w:r>
          </w:p>
        </w:tc>
        <w:tc>
          <w:tcPr>
            <w:tcW w:w="3690" w:type="dxa"/>
            <w:tcBorders>
              <w:top w:val="nil"/>
              <w:left w:val="nil"/>
              <w:bottom w:val="nil"/>
              <w:right w:val="nil"/>
            </w:tcBorders>
            <w:tcMar>
              <w:top w:w="0" w:type="dxa"/>
              <w:left w:w="62" w:type="dxa"/>
              <w:bottom w:w="0" w:type="dxa"/>
              <w:right w:w="62" w:type="dxa"/>
            </w:tcMar>
            <w:vAlign w:val="bottom"/>
          </w:tcPr>
          <w:p w:rsidR="00000000" w:rsidRPr="0078109F" w:rsidP="0078109F">
            <w:pPr>
              <w:pStyle w:val="BodyText"/>
            </w:pPr>
            <w:r w:rsidRPr="0078109F">
              <w:t>Test and Verify Distribution Remote Area Installations</w:t>
            </w:r>
          </w:p>
        </w:tc>
      </w:tr>
    </w:tbl>
    <w:p w:rsidR="00000000" w:rsidRPr="0078109F" w:rsidP="0078109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C230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 xml:space="preserve">4.2) </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Participants are best equipped to achieve this unit if they have reading, writing and numeracy skills indicated by the following scales. Description of each scale is given in Volume 2, Part 3 “Literacy and Numeracy”</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Reading</w:t>
            </w: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w:t>
            </w:r>
          </w:p>
        </w:tc>
        <w:tc>
          <w:tcPr>
            <w:tcW w:w="99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Writing</w:t>
            </w:r>
          </w:p>
        </w:tc>
        <w:tc>
          <w:tcPr>
            <w:tcW w:w="90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w:t>
            </w:r>
          </w:p>
        </w:tc>
        <w:tc>
          <w:tcPr>
            <w:tcW w:w="12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Numeracy</w:t>
            </w:r>
          </w:p>
        </w:tc>
        <w:tc>
          <w:tcPr>
            <w:tcW w:w="72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3</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6" w:name="O_462385"/>
      <w:bookmarkEnd w:id="6"/>
      <w:r w:rsidRPr="0078109F">
        <w:t>Employability Skills Information</w:t>
      </w:r>
    </w:p>
    <w:tbl>
      <w:tblPr>
        <w:tblW w:w="0" w:type="auto"/>
        <w:tblLayout w:type="fixed"/>
        <w:tblCellMar>
          <w:left w:w="62" w:type="dxa"/>
          <w:right w:w="62" w:type="dxa"/>
        </w:tblCellMar>
        <w:tblLook w:val="0000"/>
      </w:tblPr>
      <w:tblGrid>
        <w:gridCol w:w="2700"/>
        <w:gridCol w:w="5760"/>
      </w:tblGrid>
      <w:tr w:rsidTr="00FC23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 xml:space="preserve">5) </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The required outcomes described in this unit of competency contain applicable facets of Employability Skills. The Employability Skills Summary of the qualification in which this u</w:t>
            </w:r>
            <w:r w:rsidRPr="0078109F">
              <w:t>nit of competency is packaged will assist in identifying Employability Skill requirements.</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7" w:name="O_462384"/>
      <w:bookmarkEnd w:id="7"/>
      <w:r w:rsidRPr="0078109F">
        <w:t>Elements and Performance Criteria Pre-Content</w:t>
      </w:r>
    </w:p>
    <w:tbl>
      <w:tblPr>
        <w:tblW w:w="0" w:type="auto"/>
        <w:tblLayout w:type="fixed"/>
        <w:tblCellMar>
          <w:left w:w="62" w:type="dxa"/>
          <w:right w:w="62" w:type="dxa"/>
        </w:tblCellMar>
        <w:tblLook w:val="0000"/>
      </w:tblPr>
      <w:tblGrid>
        <w:gridCol w:w="2700"/>
        <w:gridCol w:w="5760"/>
      </w:tblGrid>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6)</w:t>
            </w:r>
            <w:r w:rsidRPr="0078109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Performan</w:t>
            </w:r>
            <w:r w:rsidRPr="0078109F">
              <w:t>ce Criteria describe the required performance needed to demonstrate achievement of the element. Assessment of performance is to be consistent with the Evidence Guide.</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8" w:name="O_462383"/>
      <w:bookmarkEnd w:id="8"/>
      <w:r w:rsidRPr="0078109F">
        <w:t>Elements and Performance Criteria</w:t>
      </w:r>
    </w:p>
    <w:tbl>
      <w:tblPr>
        <w:tblW w:w="0" w:type="auto"/>
        <w:tblLayout w:type="fixed"/>
        <w:tblCellMar>
          <w:left w:w="62" w:type="dxa"/>
          <w:right w:w="62" w:type="dxa"/>
        </w:tblCellMar>
        <w:tblLook w:val="0000"/>
      </w:tblPr>
      <w:tblGrid>
        <w:gridCol w:w="408"/>
        <w:gridCol w:w="2292"/>
        <w:gridCol w:w="810"/>
        <w:gridCol w:w="4950"/>
      </w:tblGrid>
      <w:tr w:rsidTr="00FC230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PERFORMANCE CRITERIA</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w:t>
            </w:r>
          </w:p>
        </w:tc>
        <w:tc>
          <w:tcPr>
            <w:tcW w:w="2292" w:type="dxa"/>
            <w:vMerge w:val="restart"/>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Prepare for the installation and maintenance of LV overhead services and associated equipment</w:t>
            </w: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1.1</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Works schedule(s), including drawings, plans, requirements, established procedures, and material lists, are received, analysed and confirmed, if necessary, by</w:t>
            </w:r>
            <w:r w:rsidRPr="0078109F">
              <w:t xml:space="preserve"> site inspection.</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1.2</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Relevant requirements and established procedures for the work are communicated to all personnel and identified for all work sites.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1.3</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OHS policies and procedures related to requirements and established procedures for the installation and maintenance of LV overhead services and associated equipment are obtained and confirmed for the purposes of the work to be performed and communicated.</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1.4</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Work is prioritised and sequenced following consultation with others for completion within acceptable timeframes and in accordance with established procedures.</w:t>
            </w:r>
          </w:p>
        </w:tc>
      </w:tr>
      <w:tr w:rsidTr="00FC230D">
        <w:tblPrEx>
          <w:tblW w:w="0" w:type="auto"/>
          <w:tblLayout w:type="fixed"/>
          <w:tblCellMar>
            <w:left w:w="62" w:type="dxa"/>
            <w:right w:w="62" w:type="dxa"/>
          </w:tblCellMar>
          <w:tblLook w:val="0000"/>
        </w:tblPrEx>
        <w:trPr>
          <w:trHeight w:val="1084"/>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1.5</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Hazards are identified, OHS risks assessed and control measures are prioritised, im</w:t>
            </w:r>
            <w:r w:rsidRPr="0078109F">
              <w:t>plemented and monitored including emergency exits kept clear according to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1.6</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Relevant work permits are obtained to access and perform work according to requirements and/or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1.7</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Resources including personnel, equipment, tools and personal protective equipment required for the job are obtained and confirmed in working order.</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1.8</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 xml:space="preserve">Relevant personnel at worksite are confirmed current in First Aid, Pole Top Rescue and other related </w:t>
            </w:r>
            <w:r w:rsidRPr="0078109F">
              <w:t>work procedures according to requirements.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1.9</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Liaison and communication issues with other/authorised personnel, authorities, clients and land owners are resolved to carry out work where necessary.</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1.10</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Site is prepared according to the wor</w:t>
            </w:r>
            <w:r w:rsidRPr="0078109F">
              <w:t>k schedule and to minimise risk and damage to property, commerce, and individuals in accordance with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1.11</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Personnel participating in the work, including plant operators and contractors, are fully briefed and respective responsibi</w:t>
            </w:r>
            <w:r w:rsidRPr="0078109F">
              <w:t>lities confirmed where applicable in accordance with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1.12</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Road signs, barriers and warning devices are positioned in accordance with requirements.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w:t>
            </w:r>
          </w:p>
        </w:tc>
        <w:tc>
          <w:tcPr>
            <w:tcW w:w="2292"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Carry out installation and maintenance of LV overhead services and associated e</w:t>
            </w:r>
            <w:r w:rsidRPr="0078109F">
              <w:t>quipment</w:t>
            </w: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2.1</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OHS and sustainable energy principles and practices to reduce the incidents of accidents and minimise waste are monitored and followed in accordance with requirements and/or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2.2</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Lifting, climbing, working aloft, and use of power tools/equipment, techniques and practices are safely followed and, currency according to requirements confirmed.</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2.3</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Essential knowledge and associated skills are applied in the safe installation and ma</w:t>
            </w:r>
            <w:r w:rsidRPr="0078109F">
              <w:t>intenance of LV overhead services and associated equipment to ensure completion to quality standards with a minimum of waste according to requirements.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2.4</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LV overhead services and associated equipment are installed according to the work schedule and re</w:t>
            </w:r>
            <w:r w:rsidRPr="0078109F">
              <w:t>quirements/established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2.5</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Maintenance, including repair and/or replacement of LV overhead services and associated equipment is carried out, in accordance with the work schedule and requirements/established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2.6</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Hazard warnings and safety signs are recognised and hazards and assessed OHS risks are reported to the immediate authorised persons for directions according to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2.7</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Unplanned events during the installation and maintenance of LV se</w:t>
            </w:r>
            <w:r w:rsidRPr="0078109F">
              <w:t>rvices and associated equipment are undertaken within the scope of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2.8</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Known solutions to a variety of problems are applied using acquired essential knowledge and associated skills.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2.9</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Ongoing checks of quality of the work ar</w:t>
            </w:r>
            <w:r w:rsidRPr="0078109F">
              <w:t>e undertaken in accordance with instructions and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w:t>
            </w:r>
          </w:p>
        </w:tc>
        <w:tc>
          <w:tcPr>
            <w:tcW w:w="2292" w:type="dxa"/>
            <w:vMerge w:val="restart"/>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Complete the installation and maintenance of LV overhead services and associated equipment</w:t>
            </w: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3.1</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Work undertaken is checked/tested against works schedule for conformance with requirements and anomalies reported in accordance with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3.2</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Accidents and/or injuries are reported in accordance with requirements/established procedure</w:t>
            </w:r>
            <w:r w:rsidRPr="0078109F">
              <w:t>s, where applicable.</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3.3</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Work site is rehabilitated, cleaned up and made safe in accordance with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3.4</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Tools, equipment and any surplus</w:t>
            </w:r>
            <w:r w:rsidRPr="0078109F">
              <w:t xml:space="preserve"> resources and materials are, where appropriate, cleaned, checked and returned to storage in accordance with established procedures.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3.5</w:t>
            </w:r>
          </w:p>
        </w:tc>
        <w:tc>
          <w:tcPr>
            <w:tcW w:w="495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Relevant work permit(s) are signed off and, the LV overhead services and associated equipment are returned to servic</w:t>
            </w:r>
            <w:r w:rsidRPr="0078109F">
              <w:t>e in accordance with requirements.</w:t>
            </w:r>
          </w:p>
        </w:tc>
      </w:tr>
      <w:tr w:rsidTr="00FC230D">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t>3.6</w:t>
            </w:r>
          </w:p>
        </w:tc>
        <w:tc>
          <w:tcPr>
            <w:tcW w:w="495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Works completion records, reports, as installed /modified drawing and/or documentation and information are finalised and processed and appropriate personnel notified.</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9" w:name="O_462391"/>
      <w:bookmarkEnd w:id="9"/>
      <w:r w:rsidRPr="0078109F">
        <w:t>Required Skills and Knowledg</w:t>
      </w:r>
      <w:r w:rsidRPr="0078109F">
        <w:t>e</w:t>
      </w:r>
    </w:p>
    <w:tbl>
      <w:tblPr>
        <w:tblW w:w="0" w:type="auto"/>
        <w:tblLayout w:type="fixed"/>
        <w:tblCellMar>
          <w:left w:w="62" w:type="dxa"/>
          <w:right w:w="62" w:type="dxa"/>
        </w:tblCellMar>
        <w:tblLook w:val="0000"/>
      </w:tblPr>
      <w:tblGrid>
        <w:gridCol w:w="8460"/>
      </w:tblGrid>
      <w:tr w:rsidTr="00FC23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REQUIRED SKILLS AND KNOWLEDGE</w:t>
            </w:r>
          </w:p>
        </w:tc>
      </w:tr>
      <w:tr w:rsidTr="00FC230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8)</w:t>
            </w:r>
            <w:r w:rsidRPr="0078109F">
              <w:t xml:space="preserve"> Essential Knowledge and Associated Skills (EKAS): This describes the essential skills and knowledge and their level, required for this unit.</w:t>
            </w:r>
          </w:p>
          <w:p w:rsidR="00000000" w:rsidRPr="0078109F" w:rsidP="0078109F">
            <w:pPr>
              <w:pStyle w:val="BodyText"/>
            </w:pPr>
            <w:r w:rsidRPr="0078109F">
              <w:t>Evidence shall show that knowledge has been acquired of installing and maintaining low voltage services (overhead).</w:t>
            </w:r>
          </w:p>
          <w:p w:rsidR="00000000" w:rsidRPr="0078109F" w:rsidP="0078109F">
            <w:pPr>
              <w:pStyle w:val="BodyText"/>
            </w:pPr>
            <w:r w:rsidRPr="0078109F">
              <w:t>All knowledge and skills detailed in this unit should be contextualised to current industry practices and technologies.</w:t>
            </w:r>
          </w:p>
          <w:p w:rsidR="00000000" w:rsidRPr="0078109F" w:rsidP="0078109F">
            <w:pPr>
              <w:pStyle w:val="BodyText"/>
            </w:pPr>
            <w:r w:rsidRPr="0078109F">
              <w:t>KS01-TIS36A</w:t>
            </w:r>
            <w:r w:rsidRPr="0078109F">
              <w:tab/>
              <w:t>Remote a</w:t>
            </w:r>
            <w:r w:rsidRPr="0078109F">
              <w:t>rea overhead LV services</w:t>
            </w:r>
          </w:p>
          <w:p w:rsidR="00000000" w:rsidRPr="0078109F" w:rsidP="0078109F">
            <w:pPr>
              <w:pStyle w:val="BodyText"/>
            </w:pPr>
            <w:r w:rsidRPr="0078109F">
              <w:t>Evidence shall show an understanding of the installation, maintenance and connection of low voltage overhead service lines and associated equipment (between the connection point and the point of supply to the customers’ premises) i</w:t>
            </w:r>
            <w:r w:rsidRPr="0078109F">
              <w:t>n remote areas to an extent indicated by the following aspects:</w:t>
            </w:r>
          </w:p>
          <w:p w:rsidR="00000000" w:rsidRPr="0078109F" w:rsidP="0078109F">
            <w:pPr>
              <w:pStyle w:val="BodyText"/>
            </w:pPr>
            <w:r w:rsidRPr="0078109F">
              <w:t>T1</w:t>
            </w:r>
            <w:r w:rsidRPr="0078109F">
              <w:tab/>
              <w:t>Standards, codes, legislation, supply authority regulations and or enterprise requirements pertaining to the installation, maintenance and connection of low voltage overhead service lines a</w:t>
            </w:r>
            <w:r w:rsidRPr="0078109F">
              <w:t>nd associated equipment.</w:t>
            </w:r>
          </w:p>
          <w:p w:rsidR="00000000" w:rsidRPr="0078109F" w:rsidP="0078109F">
            <w:pPr>
              <w:pStyle w:val="BodyText"/>
            </w:pPr>
            <w:r w:rsidRPr="0078109F">
              <w:t>T2</w:t>
            </w:r>
            <w:r w:rsidRPr="0078109F">
              <w:tab/>
              <w:t>Types, sizes and characteristics of low voltage overhead services (Two-core, Three-core, Four-core, Cable cross-sectional area of conductors, current ratings, cable insulation materials)</w:t>
            </w:r>
          </w:p>
          <w:p w:rsidR="00000000" w:rsidRPr="0078109F" w:rsidP="0078109F">
            <w:pPr>
              <w:pStyle w:val="BodyText"/>
            </w:pPr>
            <w:r w:rsidRPr="0078109F">
              <w:t>T3</w:t>
            </w:r>
            <w:r w:rsidRPr="0078109F">
              <w:tab/>
              <w:t>Types and characteristics of low volta</w:t>
            </w:r>
            <w:r w:rsidRPr="0078109F">
              <w:t>ge service associated equipment (Connectors, IPC’s, service termination devices, Fuses holders, fuses, service poles, point-of-attachment brackets, mains connection boxes)</w:t>
            </w:r>
          </w:p>
          <w:p w:rsidR="00000000" w:rsidRPr="0078109F" w:rsidP="0078109F">
            <w:pPr>
              <w:pStyle w:val="BodyText"/>
            </w:pPr>
            <w:r w:rsidRPr="0078109F">
              <w:t>T4</w:t>
            </w:r>
            <w:r w:rsidRPr="0078109F">
              <w:tab/>
              <w:t>Requirements prior to the installation of overhead service (Service documentation</w:t>
            </w:r>
            <w:r w:rsidRPr="0078109F">
              <w:t>, minimum clearances to assets and ground, location of attachments, relevant electrical access permit, maximum span lengths and service cable tension, MEN system, )</w:t>
            </w:r>
          </w:p>
          <w:p w:rsidR="00000000" w:rsidRPr="0078109F" w:rsidP="0078109F">
            <w:pPr>
              <w:pStyle w:val="BodyText"/>
            </w:pPr>
            <w:r w:rsidRPr="0078109F">
              <w:t>T5</w:t>
            </w:r>
            <w:r w:rsidRPr="0078109F">
              <w:tab/>
              <w:t>Types of installation plant, equipment and tools (Elevated work platform, ladders, servi</w:t>
            </w:r>
            <w:r w:rsidRPr="0078109F">
              <w:t>ce cable puller and tension tool, stripping tool, ABC spanner, ABC spreader, spanners, screwdrivers etc)</w:t>
            </w:r>
          </w:p>
          <w:p w:rsidR="00000000" w:rsidRPr="0078109F" w:rsidP="0078109F">
            <w:pPr>
              <w:pStyle w:val="BodyText"/>
            </w:pPr>
            <w:r w:rsidRPr="0078109F">
              <w:t>T6</w:t>
            </w:r>
            <w:r w:rsidRPr="0078109F">
              <w:tab/>
              <w:t>Installation techniques (Methods of stringing, tensioning and terminating, effect of poor connections)</w:t>
            </w:r>
          </w:p>
          <w:p w:rsidR="00000000" w:rsidRPr="0078109F" w:rsidP="0078109F">
            <w:pPr>
              <w:pStyle w:val="BodyText"/>
            </w:pPr>
            <w:r w:rsidRPr="0078109F">
              <w:t>T7</w:t>
            </w:r>
            <w:r w:rsidRPr="0078109F">
              <w:tab/>
              <w:t>Testing and commissioning overhead service</w:t>
            </w:r>
            <w:r w:rsidRPr="0078109F">
              <w:t xml:space="preserve">s (continuity testing, insulation testing, polarity testing, phase sequencing, neutral integrity testing) </w:t>
            </w:r>
          </w:p>
          <w:p w:rsidR="00000000" w:rsidRPr="0078109F" w:rsidP="0078109F">
            <w:pPr>
              <w:pStyle w:val="BodyText"/>
            </w:pPr>
            <w:r w:rsidRPr="0078109F">
              <w:t>T8</w:t>
            </w:r>
            <w:r w:rsidRPr="0078109F">
              <w:tab/>
              <w:t>Completing Enterprise documentation</w:t>
            </w:r>
          </w:p>
          <w:p w:rsidR="00000000" w:rsidRPr="0078109F" w:rsidP="0078109F">
            <w:pPr>
              <w:pStyle w:val="BodyText"/>
            </w:pPr>
            <w:r w:rsidRPr="0078109F">
              <w:t>T9</w:t>
            </w:r>
            <w:r w:rsidRPr="0078109F">
              <w:tab/>
              <w:t>Techniques for the maintenance of overhead services (Inspection, Types of faults, Diagnosis and repair of f</w:t>
            </w:r>
            <w:r w:rsidRPr="0078109F">
              <w:t>aults, removing and replacing services and fuses</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10" w:name="O_462386"/>
      <w:bookmarkEnd w:id="10"/>
      <w:r w:rsidRPr="0078109F">
        <w:t>Evidence Guide</w:t>
      </w:r>
    </w:p>
    <w:tbl>
      <w:tblPr>
        <w:tblW w:w="0" w:type="auto"/>
        <w:tblLayout w:type="fixed"/>
        <w:tblCellMar>
          <w:left w:w="62" w:type="dxa"/>
          <w:right w:w="62" w:type="dxa"/>
        </w:tblCellMar>
        <w:tblLook w:val="0000"/>
      </w:tblPr>
      <w:tblGrid>
        <w:gridCol w:w="8460"/>
      </w:tblGrid>
      <w:tr w:rsidTr="00FC23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EVIDENCE GUIDE</w:t>
            </w:r>
          </w:p>
        </w:tc>
      </w:tr>
      <w:tr w:rsidTr="00FC23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9)</w:t>
            </w:r>
            <w:r w:rsidRPr="0078109F">
              <w:t xml:space="preserve"> This provides essential advice for assessment of the unit of competency and must be read in conjunction </w:t>
            </w:r>
            <w:r w:rsidRPr="0078109F">
              <w:t>with the Performance Criteria and the range statement of the unit of competency and the Training Package Assessment Guidelines.</w:t>
            </w:r>
          </w:p>
          <w:p w:rsidR="00000000" w:rsidRPr="0078109F" w:rsidP="0078109F">
            <w:pPr>
              <w:pStyle w:val="BodyText"/>
            </w:pPr>
            <w:r w:rsidRPr="0078109F">
              <w:t>The Evidence Guide forms an integral part of this Competency Standard Unit and shall be used in conjunction with all component p</w:t>
            </w:r>
            <w:r w:rsidRPr="0078109F">
              <w:t>arts of this unit and, performed in accordance with the Assessment Guidelines of this Training Package.</w:t>
            </w:r>
          </w:p>
        </w:tc>
      </w:tr>
    </w:tbl>
    <w:p w:rsidR="00000000" w:rsidRPr="0078109F" w:rsidP="0078109F">
      <w:pPr>
        <w:pStyle w:val="BodyText"/>
      </w:pPr>
    </w:p>
    <w:tbl>
      <w:tblPr>
        <w:tblW w:w="0" w:type="auto"/>
        <w:tblLayout w:type="fixed"/>
        <w:tblCellMar>
          <w:left w:w="62" w:type="dxa"/>
          <w:right w:w="62" w:type="dxa"/>
        </w:tblCellMar>
        <w:tblLook w:val="0000"/>
      </w:tblPr>
      <w:tblGrid>
        <w:gridCol w:w="1890"/>
        <w:gridCol w:w="6570"/>
      </w:tblGrid>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9.1)</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Longitudinal competency development approaches to assessment, such as Profiling, require data to be reliably gathered in a form that can be consistently interpreted over time. This approach is best utilised in Apprenticeship programs and reduces assessment</w:t>
            </w:r>
            <w:r w:rsidRPr="0078109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8109F">
              <w:t>tency in a realistically simulated work environment. It is recognised that, in some circumstances, assessment in part or full can occur outside the workplace. However, it must be in accord with Industry and, Regulatory policy in this regard.</w:t>
            </w:r>
          </w:p>
          <w:p w:rsidR="00000000" w:rsidRPr="0078109F" w:rsidP="0078109F">
            <w:pPr>
              <w:pStyle w:val="BodyText"/>
            </w:pPr>
            <w:r w:rsidRPr="0078109F">
              <w:t>Methods chosen</w:t>
            </w:r>
            <w:r w:rsidRPr="0078109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8109F">
              <w:t>equired and the critical nature of the competencies being assessed.</w:t>
            </w:r>
          </w:p>
          <w:p w:rsidR="00000000" w:rsidRPr="0078109F" w:rsidP="0078109F">
            <w:pPr>
              <w:pStyle w:val="BodyText"/>
            </w:pPr>
            <w:r w:rsidRPr="0078109F">
              <w:t>The critical safety nature of working with electricity, electrical equipment, gas or any other hazardous substance/material carries risk in deeming a person competent. Hence, sources of ev</w:t>
            </w:r>
            <w:r w:rsidRPr="0078109F">
              <w:t>idence need to be ‘rich’ in nature so as to minimise error in judgment.</w:t>
            </w:r>
          </w:p>
          <w:p w:rsidR="00000000" w:rsidRPr="0078109F" w:rsidP="0078109F">
            <w:pPr>
              <w:pStyle w:val="BodyText"/>
            </w:pPr>
            <w:r w:rsidRPr="0078109F">
              <w:t>Activities associated with normal every day work have a bearing on the decision as to how much and how detailed the data gathered will contribute to its ‘richness’. Some skills are mor</w:t>
            </w:r>
            <w:r w:rsidRPr="0078109F">
              <w:t>e critical to safety and operational requirements while the same skills may be more or less frequently practiced. These points are raised for the assessors to consider when choosing an assessment method and developing assessment instruments. Sample assessm</w:t>
            </w:r>
            <w:r w:rsidRPr="0078109F">
              <w:t>ent instruments are included for Assessors in the Assessment Guidelines of this Training Package.</w:t>
            </w:r>
          </w:p>
        </w:tc>
      </w:tr>
    </w:tbl>
    <w:p w:rsidR="00000000" w:rsidRPr="0078109F" w:rsidP="0078109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9.2)</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Before the critical aspects of evidence are considered all prerequisi</w:t>
            </w:r>
            <w:r w:rsidRPr="0078109F">
              <w:t>tes shall be met.</w:t>
            </w:r>
          </w:p>
          <w:p w:rsidR="00000000" w:rsidRPr="0078109F" w:rsidP="0078109F">
            <w:pPr>
              <w:pStyle w:val="BodyText"/>
            </w:pPr>
            <w:r w:rsidRPr="0078109F">
              <w:t>Evidence for competence in this unit shall be considered holistically. Each element and associated Performance Criteria shall be demonstrated on at least two occasions in accordance with the “Assessment Guidelines – UET12”. Evidence shall</w:t>
            </w:r>
            <w:r w:rsidRPr="0078109F">
              <w:t xml:space="preserve"> also comprise:</w:t>
            </w:r>
          </w:p>
          <w:p w:rsidR="00000000" w:rsidRPr="0078109F" w:rsidP="0078109F">
            <w:pPr>
              <w:pStyle w:val="ListBullet"/>
            </w:pPr>
            <w:r w:rsidRPr="0078109F">
              <w:t xml:space="preserve">A representative body of Performance Criteria demonstrated within the timeframes typically expected of the discipline, work </w:t>
            </w:r>
            <w:r w:rsidRPr="0078109F">
              <w:t>function and industrial environment. In particular this shall incorporate evidence that shows a candidate is able to:</w:t>
            </w:r>
          </w:p>
          <w:p w:rsidR="00000000" w:rsidRPr="0078109F" w:rsidP="0078109F">
            <w:pPr>
              <w:pStyle w:val="ListBullet2"/>
            </w:pPr>
            <w:r w:rsidRPr="0078109F">
              <w:t>Implement Occupational Health and Safety workplace procedures and practices including the use of risk control measures as specified in th</w:t>
            </w:r>
            <w:r w:rsidRPr="0078109F">
              <w:t>e Performance Criteria and range; and</w:t>
            </w:r>
          </w:p>
          <w:p w:rsidR="00000000" w:rsidRPr="0078109F" w:rsidP="0078109F">
            <w:pPr>
              <w:pStyle w:val="ListBullet2"/>
            </w:pPr>
            <w:r w:rsidRPr="0078109F">
              <w:t>Apply sustainable energy principles and practices as specified in the Performance Criteria and range; and</w:t>
            </w:r>
          </w:p>
          <w:p w:rsidR="00000000" w:rsidRPr="0078109F" w:rsidP="0078109F">
            <w:pPr>
              <w:pStyle w:val="ListBullet2"/>
            </w:pPr>
            <w:r w:rsidRPr="0078109F">
              <w:t xml:space="preserve">Demonstrate an understanding of the essential knowledge and associated skills as described in this unit to such </w:t>
            </w:r>
            <w:r w:rsidRPr="0078109F">
              <w:t>an extent that the learner’s performance outcome is reported in accordance with the preferred approach; namely a percentile graded result, where required by the regulated environment; and</w:t>
            </w:r>
          </w:p>
          <w:p w:rsidR="00000000" w:rsidRPr="0078109F" w:rsidP="0078109F">
            <w:pPr>
              <w:pStyle w:val="ListBullet2"/>
            </w:pPr>
            <w:r w:rsidRPr="0078109F">
              <w:t>Demonstrate an appropriate level of employability skills; and</w:t>
            </w:r>
          </w:p>
          <w:p w:rsidR="00000000" w:rsidRPr="0078109F" w:rsidP="0078109F">
            <w:pPr>
              <w:pStyle w:val="ListBullet"/>
            </w:pPr>
            <w:r w:rsidRPr="0078109F">
              <w:t>Conduc</w:t>
            </w:r>
            <w:r w:rsidRPr="0078109F">
              <w:t>t work observing the relevant Anti Discrimination legislation, regulations, policies and workplace procedures; and</w:t>
            </w:r>
          </w:p>
          <w:p w:rsidR="00000000" w:rsidP="0078109F">
            <w:pPr>
              <w:pStyle w:val="ListBullet2"/>
              <w:rPr>
                <w:lang w:val="en-NZ"/>
              </w:rPr>
            </w:pPr>
            <w:r w:rsidRPr="0078109F">
              <w:t>Demonstrated performance across a representative range of contexts from the prescribed items below:</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8109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rPr>
                <w:rStyle w:val="SpecialBold"/>
              </w:rPr>
              <w:t>Range of tools/equipment/materials/procedures/workplaces/other variables</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8109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rPr>
                <w:rStyle w:val="SpecialBold"/>
              </w:rPr>
              <w:t xml:space="preserve">The minimum number of items on which skill is to be </w:t>
            </w:r>
            <w:r w:rsidRPr="0078109F">
              <w:rPr>
                <w:rStyle w:val="SpecialBold"/>
              </w:rPr>
              <w:t>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rPr>
                <w:rStyle w:val="SpecialBold"/>
              </w:rPr>
              <w:t>Item List</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t>Overhead service line (three phase)*</w:t>
            </w:r>
          </w:p>
          <w:p w:rsidR="00000000" w:rsidRPr="0078109F" w:rsidP="0078109F">
            <w:pPr>
              <w:pStyle w:val="BodyText"/>
            </w:pPr>
            <w:r w:rsidRPr="0078109F">
              <w:t>Overhead service line (single phase)</w:t>
            </w:r>
          </w:p>
          <w:p w:rsidR="00000000" w:rsidRPr="0078109F" w:rsidP="0078109F">
            <w:pPr>
              <w:pStyle w:val="BodyText"/>
            </w:pPr>
            <w:r w:rsidRPr="0078109F">
              <w:t xml:space="preserve">Overhead service line (two phase) </w:t>
            </w:r>
          </w:p>
          <w:p w:rsidR="00000000" w:rsidP="0078109F">
            <w:pPr>
              <w:pStyle w:val="BodyText"/>
              <w:rPr>
                <w:lang w:val="en-NZ"/>
              </w:rPr>
            </w:pPr>
            <w:r w:rsidRPr="0078109F">
              <w:t>(* must do)</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t>Service fuse</w:t>
            </w:r>
          </w:p>
          <w:p w:rsidR="00000000" w:rsidRPr="0078109F" w:rsidP="0078109F">
            <w:pPr>
              <w:pStyle w:val="BodyText"/>
            </w:pPr>
            <w:r w:rsidRPr="0078109F">
              <w:t>Circuit breakers (pole)</w:t>
            </w:r>
          </w:p>
          <w:p w:rsidR="00000000" w:rsidP="0078109F">
            <w:pPr>
              <w:pStyle w:val="BodyText"/>
              <w:rPr>
                <w:lang w:val="en-NZ"/>
              </w:rPr>
            </w:pPr>
            <w:r w:rsidRPr="0078109F">
              <w:t>Service link</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t>Polarity test *</w:t>
            </w:r>
          </w:p>
          <w:p w:rsidR="00000000" w:rsidRPr="0078109F" w:rsidP="0078109F">
            <w:pPr>
              <w:pStyle w:val="BodyText"/>
            </w:pPr>
            <w:r w:rsidRPr="0078109F">
              <w:t>Phase rotation test</w:t>
            </w:r>
          </w:p>
          <w:p w:rsidR="00000000" w:rsidRPr="0078109F" w:rsidP="0078109F">
            <w:pPr>
              <w:pStyle w:val="BodyText"/>
            </w:pPr>
            <w:r w:rsidRPr="0078109F">
              <w:t>Continuity test</w:t>
            </w:r>
          </w:p>
          <w:p w:rsidR="00000000" w:rsidRPr="0078109F" w:rsidP="0078109F">
            <w:pPr>
              <w:pStyle w:val="BodyText"/>
            </w:pPr>
            <w:r w:rsidRPr="0078109F">
              <w:t xml:space="preserve">Voltage test </w:t>
            </w:r>
          </w:p>
          <w:p w:rsidR="00000000" w:rsidP="0078109F">
            <w:pPr>
              <w:pStyle w:val="BodyText"/>
              <w:rPr>
                <w:lang w:val="en-NZ"/>
              </w:rPr>
            </w:pPr>
            <w:r w:rsidRPr="0078109F">
              <w:t>(* must do)</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t>Aluminium LV mains</w:t>
            </w:r>
          </w:p>
          <w:p w:rsidR="00000000" w:rsidRPr="0078109F" w:rsidP="0078109F">
            <w:pPr>
              <w:pStyle w:val="BodyText"/>
            </w:pPr>
            <w:r w:rsidRPr="0078109F">
              <w:t>Copper LV mains</w:t>
            </w:r>
          </w:p>
          <w:p w:rsidR="00000000" w:rsidP="0078109F">
            <w:pPr>
              <w:pStyle w:val="BodyText"/>
              <w:rPr>
                <w:lang w:val="en-NZ"/>
              </w:rPr>
            </w:pPr>
            <w:r w:rsidRPr="0078109F">
              <w:t>LV ABC mains</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109F">
            <w:pPr>
              <w:pStyle w:val="BodyText"/>
              <w:rPr>
                <w:lang w:val="en-NZ"/>
              </w:rPr>
            </w:pPr>
            <w:r w:rsidRPr="0078109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109F" w:rsidP="0078109F">
            <w:pPr>
              <w:pStyle w:val="BodyText"/>
            </w:pPr>
            <w:r w:rsidRPr="0078109F">
              <w:t>Dealing with an unplanned event by drawing on essential knowledge and associated skills to provide appropriate solutions incorporated in the holistic assessment with the above listed items.</w:t>
            </w:r>
          </w:p>
        </w:tc>
      </w:tr>
    </w:tbl>
    <w:p w:rsidR="00000000" w:rsidRPr="0078109F" w:rsidP="0078109F">
      <w:pPr>
        <w:pStyle w:val="BodyText"/>
      </w:pPr>
    </w:p>
    <w:tbl>
      <w:tblPr>
        <w:tblW w:w="0" w:type="auto"/>
        <w:tblLayout w:type="fixed"/>
        <w:tblCellMar>
          <w:left w:w="62" w:type="dxa"/>
          <w:right w:w="62" w:type="dxa"/>
        </w:tblCellMar>
        <w:tblLook w:val="0000"/>
      </w:tblPr>
      <w:tblGrid>
        <w:gridCol w:w="1890"/>
        <w:gridCol w:w="6570"/>
      </w:tblGrid>
      <w:tr w:rsidTr="00FC230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9.3)</w:t>
            </w:r>
          </w:p>
        </w:tc>
      </w:tr>
      <w:tr w:rsidTr="00FC230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This uni</w:t>
            </w:r>
            <w:r w:rsidRPr="0078109F">
              <w:t>t should be assessed as it relates to normal work practice using procedures, information and resources typical of a workplace. This should include:</w:t>
            </w:r>
          </w:p>
          <w:p w:rsidR="00000000" w:rsidRPr="0078109F" w:rsidP="0078109F">
            <w:pPr>
              <w:pStyle w:val="ListBullet"/>
            </w:pPr>
            <w:r w:rsidRPr="0078109F">
              <w:t>OHS policy and work procedures and instructions.</w:t>
            </w:r>
          </w:p>
          <w:p w:rsidR="00000000" w:rsidRPr="0078109F" w:rsidP="0078109F">
            <w:pPr>
              <w:pStyle w:val="ListBullet"/>
            </w:pPr>
            <w:r w:rsidRPr="0078109F">
              <w:t xml:space="preserve">Suitable work environment, facilities, equipment and materials to undertake actual installation and maintenance of overhead LV services. </w:t>
            </w:r>
          </w:p>
          <w:p w:rsidR="00000000" w:rsidRPr="0078109F" w:rsidP="0078109F">
            <w:pPr>
              <w:pStyle w:val="BodyText"/>
            </w:pPr>
            <w:r w:rsidRPr="0078109F">
              <w:t>In addition to the resources listed above, in Context of and specific resources for assessment, evidence should show d</w:t>
            </w:r>
            <w:r w:rsidRPr="0078109F">
              <w:t>emonstrated competency working below ground, in limited spaces, with different structural/construction types and method and in a variety of environments.</w:t>
            </w:r>
          </w:p>
        </w:tc>
      </w:tr>
    </w:tbl>
    <w:p w:rsidR="00000000" w:rsidRPr="0078109F" w:rsidP="0078109F">
      <w:pPr>
        <w:pStyle w:val="BodyText"/>
      </w:pPr>
    </w:p>
    <w:tbl>
      <w:tblPr>
        <w:tblW w:w="0" w:type="auto"/>
        <w:tblLayout w:type="fixed"/>
        <w:tblCellMar>
          <w:left w:w="62" w:type="dxa"/>
          <w:right w:w="62" w:type="dxa"/>
        </w:tblCellMar>
        <w:tblLook w:val="0000"/>
      </w:tblPr>
      <w:tblGrid>
        <w:gridCol w:w="1890"/>
        <w:gridCol w:w="6570"/>
      </w:tblGrid>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9.4)</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This Competency Standard Unit shall be assessed by methods given in Volu</w:t>
            </w:r>
            <w:r w:rsidRPr="0078109F">
              <w:t>me 1, Part 3 “Assessment Guidelines”.</w:t>
            </w:r>
          </w:p>
          <w:p w:rsidR="00000000" w:rsidRPr="0078109F" w:rsidP="0078109F">
            <w:pPr>
              <w:pStyle w:val="BodyText"/>
            </w:pPr>
            <w:r w:rsidRPr="0078109F">
              <w:t>Note:</w:t>
            </w:r>
          </w:p>
          <w:p w:rsidR="00000000" w:rsidRPr="0078109F" w:rsidP="0078109F">
            <w:pPr>
              <w:pStyle w:val="BodyText"/>
            </w:pPr>
            <w:r w:rsidRPr="0078109F">
              <w:t>Competent performance with inherent safe working practices is expected in the Industry to which this Competency Standard Unit applies. This requires that the specified essential knowledge and associated skills ar</w:t>
            </w:r>
            <w:r w:rsidRPr="0078109F">
              <w:t>e assessed in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78109F" w:rsidP="0078109F">
      <w:pPr>
        <w:pStyle w:val="BodyText"/>
      </w:pPr>
    </w:p>
    <w:tbl>
      <w:tblPr>
        <w:tblW w:w="0" w:type="auto"/>
        <w:tblLayout w:type="fixed"/>
        <w:tblCellMar>
          <w:left w:w="62" w:type="dxa"/>
          <w:right w:w="62" w:type="dxa"/>
        </w:tblCellMar>
        <w:tblLook w:val="0000"/>
      </w:tblPr>
      <w:tblGrid>
        <w:gridCol w:w="1890"/>
        <w:gridCol w:w="6570"/>
      </w:tblGrid>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9.5)</w:t>
            </w:r>
          </w:p>
        </w:tc>
      </w:tr>
      <w:tr w:rsidTr="00FC230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There are no concurrent assessment recommendations for this unit.</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11" w:name="O_462390"/>
      <w:bookmarkEnd w:id="11"/>
      <w:r w:rsidRPr="0078109F">
        <w:t>Range Statement</w:t>
      </w:r>
    </w:p>
    <w:tbl>
      <w:tblPr>
        <w:tblW w:w="0" w:type="auto"/>
        <w:tblLayout w:type="fixed"/>
        <w:tblCellMar>
          <w:left w:w="62" w:type="dxa"/>
          <w:right w:w="62" w:type="dxa"/>
        </w:tblCellMar>
        <w:tblLook w:val="0000"/>
      </w:tblPr>
      <w:tblGrid>
        <w:gridCol w:w="8460"/>
      </w:tblGrid>
      <w:tr w:rsidTr="00FC23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RANGE STATEMENT</w:t>
            </w:r>
          </w:p>
        </w:tc>
      </w:tr>
      <w:tr w:rsidTr="00FC23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10)</w:t>
            </w:r>
            <w:r w:rsidRPr="0078109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78109F" w:rsidP="0078109F">
            <w:pPr>
              <w:pStyle w:val="BodyText"/>
            </w:pPr>
            <w:r w:rsidRPr="0078109F">
              <w:t xml:space="preserve">This Competency Standard Unit </w:t>
            </w:r>
            <w:r w:rsidRPr="0078109F">
              <w:t>shall be demonstrated in relation to the installation and maintenance of overhead low voltage services as they relate to distribution circuits and associated equipment and includes the identification of faults.</w:t>
            </w:r>
          </w:p>
          <w:p w:rsidR="00000000" w:rsidRPr="0078109F" w:rsidP="0078109F">
            <w:pPr>
              <w:pStyle w:val="BodyText"/>
            </w:pPr>
            <w:r w:rsidRPr="0078109F">
              <w:t>Installation may include, the erection and co</w:t>
            </w:r>
            <w:r w:rsidRPr="0078109F">
              <w:t>nnection of service lines, the fitting and connection of pole fuses or circuit breakers and the testing and commissioning of the service.</w:t>
            </w:r>
          </w:p>
          <w:p w:rsidR="00000000" w:rsidRPr="0078109F" w:rsidP="0078109F">
            <w:pPr>
              <w:pStyle w:val="BodyText"/>
            </w:pPr>
            <w:r w:rsidRPr="0078109F">
              <w:t>Maintenance may include the identification and diagnosis of faults, the removal, replacement or repair of service line</w:t>
            </w:r>
            <w:r w:rsidRPr="0078109F">
              <w:t>s and associated hardware and the temporary installation of services and associated equipment and the testing and commissioning of the service.</w:t>
            </w:r>
          </w:p>
          <w:p w:rsidR="00000000" w:rsidRPr="0078109F" w:rsidP="0078109F">
            <w:pPr>
              <w:pStyle w:val="BodyText"/>
            </w:pPr>
            <w:r w:rsidRPr="0078109F">
              <w:t xml:space="preserve">Testing procedures may include continuity, polarity, phase rotation, insulation resistance and voltage. </w:t>
            </w:r>
          </w:p>
          <w:p w:rsidR="00000000" w:rsidRPr="0078109F" w:rsidP="0078109F">
            <w:pPr>
              <w:pStyle w:val="BodyText"/>
            </w:pPr>
            <w:r w:rsidRPr="0078109F">
              <w:t>Testing equipment may include, digital/analogue voltage testers, multimeters, phase rotation testers, load testers, insulation resistance and continuity testers.</w:t>
            </w:r>
          </w:p>
          <w:p w:rsidR="00000000" w:rsidRPr="0078109F" w:rsidP="0078109F">
            <w:pPr>
              <w:pStyle w:val="BodyText"/>
            </w:pPr>
            <w:r w:rsidRPr="0078109F">
              <w:t>Associated hardware may include pole fuse units, circuit breakers, contactors, mains connectio</w:t>
            </w:r>
            <w:r w:rsidRPr="0078109F">
              <w:t>n boxes.</w:t>
            </w:r>
          </w:p>
          <w:p w:rsidR="00000000" w:rsidRPr="0078109F" w:rsidP="0078109F">
            <w:pPr>
              <w:pStyle w:val="BodyText"/>
            </w:pPr>
            <w:r w:rsidRPr="0078109F">
              <w:t>The following constants and variables included in the element/Performance Criteria in this unit are fully described in the Definitions Section 1 of this volume and form an integral part of the Range Statement of this unit:</w:t>
            </w:r>
          </w:p>
          <w:p w:rsidR="00000000" w:rsidRPr="0078109F" w:rsidP="0078109F">
            <w:pPr>
              <w:pStyle w:val="ListBullet3"/>
            </w:pPr>
            <w:r w:rsidRPr="0078109F">
              <w:t>Appropriate and relevan</w:t>
            </w:r>
            <w:r w:rsidRPr="0078109F">
              <w:t>t persons (see Personnel)</w:t>
            </w:r>
          </w:p>
          <w:p w:rsidR="00000000" w:rsidRPr="0078109F" w:rsidP="0078109F">
            <w:pPr>
              <w:pStyle w:val="ListBullet3"/>
            </w:pPr>
            <w:r w:rsidRPr="0078109F">
              <w:t>Appropriate authorities</w:t>
            </w:r>
          </w:p>
          <w:p w:rsidR="00000000" w:rsidRPr="0078109F" w:rsidP="0078109F">
            <w:pPr>
              <w:pStyle w:val="ListBullet3"/>
            </w:pPr>
            <w:r w:rsidRPr="0078109F">
              <w:t>Appropriate work platform</w:t>
            </w:r>
          </w:p>
          <w:p w:rsidR="00000000" w:rsidRPr="0078109F" w:rsidP="0078109F">
            <w:pPr>
              <w:pStyle w:val="ListBullet3"/>
            </w:pPr>
            <w:r w:rsidRPr="0078109F">
              <w:t>Assessing risk</w:t>
            </w:r>
          </w:p>
          <w:p w:rsidR="00000000" w:rsidRPr="0078109F" w:rsidP="0078109F">
            <w:pPr>
              <w:pStyle w:val="ListBullet3"/>
            </w:pPr>
            <w:r w:rsidRPr="0078109F">
              <w:t>Assessment</w:t>
            </w:r>
          </w:p>
          <w:p w:rsidR="00000000" w:rsidRPr="0078109F" w:rsidP="0078109F">
            <w:pPr>
              <w:pStyle w:val="ListBullet3"/>
            </w:pPr>
            <w:r w:rsidRPr="0078109F">
              <w:t>Authorisation</w:t>
            </w:r>
          </w:p>
          <w:p w:rsidR="00000000" w:rsidRPr="0078109F" w:rsidP="0078109F">
            <w:pPr>
              <w:pStyle w:val="ListBullet3"/>
            </w:pPr>
            <w:r w:rsidRPr="0078109F">
              <w:t>Confined space</w:t>
            </w:r>
          </w:p>
          <w:p w:rsidR="00000000" w:rsidRPr="0078109F" w:rsidP="0078109F">
            <w:pPr>
              <w:pStyle w:val="ListBullet3"/>
            </w:pPr>
            <w:r w:rsidRPr="0078109F">
              <w:t>Diagnostic, testing and restoration</w:t>
            </w:r>
          </w:p>
          <w:p w:rsidR="00000000" w:rsidRPr="0078109F" w:rsidP="0078109F">
            <w:pPr>
              <w:pStyle w:val="ListBullet3"/>
            </w:pPr>
            <w:r w:rsidRPr="0078109F">
              <w:t>Documenting detail work events, record keeping and or storage of information</w:t>
            </w:r>
          </w:p>
          <w:p w:rsidR="00000000" w:rsidRPr="0078109F" w:rsidP="0078109F">
            <w:pPr>
              <w:pStyle w:val="ListBullet3"/>
            </w:pPr>
            <w:r w:rsidRPr="0078109F">
              <w:t>Drawings and</w:t>
            </w:r>
            <w:r w:rsidRPr="0078109F">
              <w:t xml:space="preserve"> specifications</w:t>
            </w:r>
          </w:p>
          <w:p w:rsidR="00000000" w:rsidRPr="0078109F" w:rsidP="0078109F">
            <w:pPr>
              <w:pStyle w:val="ListBullet3"/>
            </w:pPr>
            <w:r w:rsidRPr="0078109F">
              <w:t>Emergency</w:t>
            </w:r>
          </w:p>
          <w:p w:rsidR="00000000" w:rsidRPr="0078109F" w:rsidP="0078109F">
            <w:pPr>
              <w:pStyle w:val="ListBullet3"/>
            </w:pPr>
            <w:r w:rsidRPr="0078109F">
              <w:t>Environmental and sustainable energy procedures</w:t>
            </w:r>
          </w:p>
          <w:p w:rsidR="00000000" w:rsidRPr="0078109F" w:rsidP="0078109F">
            <w:pPr>
              <w:pStyle w:val="ListBullet3"/>
            </w:pPr>
            <w:r w:rsidRPr="0078109F">
              <w:t>Environmental legislation</w:t>
            </w:r>
          </w:p>
          <w:p w:rsidR="00000000" w:rsidRPr="0078109F" w:rsidP="0078109F">
            <w:pPr>
              <w:pStyle w:val="ListBullet3"/>
            </w:pPr>
            <w:r w:rsidRPr="0078109F">
              <w:t>Environmental management documentation</w:t>
            </w:r>
          </w:p>
          <w:p w:rsidR="00000000" w:rsidRPr="0078109F" w:rsidP="0078109F">
            <w:pPr>
              <w:pStyle w:val="ListBullet3"/>
            </w:pPr>
            <w:r w:rsidRPr="0078109F">
              <w:t>Established procedures</w:t>
            </w:r>
          </w:p>
          <w:p w:rsidR="00000000" w:rsidRPr="0078109F" w:rsidP="0078109F">
            <w:pPr>
              <w:pStyle w:val="ListBullet3"/>
            </w:pPr>
            <w:r w:rsidRPr="0078109F">
              <w:t>Fall prevention</w:t>
            </w:r>
          </w:p>
          <w:p w:rsidR="00000000" w:rsidRPr="0078109F" w:rsidP="0078109F">
            <w:pPr>
              <w:pStyle w:val="ListBullet3"/>
            </w:pPr>
            <w:r w:rsidRPr="0078109F">
              <w:t>Hazards</w:t>
            </w:r>
          </w:p>
          <w:p w:rsidR="00000000" w:rsidRPr="0078109F" w:rsidP="0078109F">
            <w:pPr>
              <w:pStyle w:val="ListBullet3"/>
            </w:pPr>
            <w:r w:rsidRPr="0078109F">
              <w:t>Identifying hazards</w:t>
            </w:r>
          </w:p>
          <w:p w:rsidR="00000000" w:rsidRPr="0078109F" w:rsidP="0078109F">
            <w:pPr>
              <w:pStyle w:val="ListBullet3"/>
            </w:pPr>
            <w:r w:rsidRPr="0078109F">
              <w:t>Inspect</w:t>
            </w:r>
          </w:p>
          <w:p w:rsidR="00000000" w:rsidRPr="0078109F" w:rsidP="0078109F">
            <w:pPr>
              <w:pStyle w:val="ListBullet3"/>
            </w:pPr>
            <w:r w:rsidRPr="0078109F">
              <w:t>Legislation</w:t>
            </w:r>
          </w:p>
          <w:p w:rsidR="00000000" w:rsidRPr="0078109F" w:rsidP="0078109F">
            <w:pPr>
              <w:pStyle w:val="ListBullet3"/>
            </w:pPr>
            <w:r w:rsidRPr="0078109F">
              <w:t>MSDS</w:t>
            </w:r>
          </w:p>
          <w:p w:rsidR="00000000" w:rsidRPr="0078109F" w:rsidP="0078109F">
            <w:pPr>
              <w:pStyle w:val="ListBullet3"/>
            </w:pPr>
            <w:r w:rsidRPr="0078109F">
              <w:t>Notification.</w:t>
            </w:r>
          </w:p>
          <w:p w:rsidR="00000000" w:rsidRPr="0078109F" w:rsidP="0078109F">
            <w:pPr>
              <w:pStyle w:val="ListBullet3"/>
            </w:pPr>
            <w:r w:rsidRPr="0078109F">
              <w:t>OHS practices</w:t>
            </w:r>
          </w:p>
          <w:p w:rsidR="00000000" w:rsidRPr="0078109F" w:rsidP="0078109F">
            <w:pPr>
              <w:pStyle w:val="ListBullet3"/>
            </w:pPr>
            <w:r w:rsidRPr="0078109F">
              <w:t>OHS issues</w:t>
            </w:r>
          </w:p>
          <w:p w:rsidR="00000000" w:rsidRPr="0078109F" w:rsidP="0078109F">
            <w:pPr>
              <w:pStyle w:val="ListBullet3"/>
            </w:pPr>
            <w:r w:rsidRPr="0078109F">
              <w:t>Permits and/or permits to work</w:t>
            </w:r>
          </w:p>
          <w:p w:rsidR="00000000" w:rsidRPr="0078109F" w:rsidP="0078109F">
            <w:pPr>
              <w:pStyle w:val="ListBullet3"/>
            </w:pPr>
            <w:r w:rsidRPr="0078109F">
              <w:t>Personnel</w:t>
            </w:r>
          </w:p>
          <w:p w:rsidR="00000000" w:rsidRPr="0078109F" w:rsidP="0078109F">
            <w:pPr>
              <w:pStyle w:val="ListBullet3"/>
            </w:pPr>
            <w:r w:rsidRPr="0078109F">
              <w:t>Quality assurance systems</w:t>
            </w:r>
          </w:p>
          <w:p w:rsidR="00000000" w:rsidRPr="0078109F" w:rsidP="0078109F">
            <w:pPr>
              <w:pStyle w:val="ListBullet3"/>
            </w:pPr>
            <w:r w:rsidRPr="0078109F">
              <w:t>Requirements</w:t>
            </w:r>
          </w:p>
          <w:p w:rsidR="00000000" w:rsidRPr="0078109F" w:rsidP="0078109F">
            <w:pPr>
              <w:pStyle w:val="ListBullet3"/>
            </w:pPr>
            <w:r w:rsidRPr="0078109F">
              <w:t>Testing procedures</w:t>
            </w:r>
          </w:p>
          <w:p w:rsidR="00000000" w:rsidRPr="0078109F" w:rsidP="0078109F">
            <w:pPr>
              <w:pStyle w:val="ListBullet3"/>
            </w:pPr>
            <w:r w:rsidRPr="0078109F">
              <w:t>Work clearance systems</w:t>
            </w:r>
          </w:p>
        </w:tc>
      </w:tr>
    </w:tbl>
    <w:p w:rsidR="00000000" w:rsidRPr="0078109F" w:rsidP="0078109F">
      <w:pPr>
        <w:pStyle w:val="BodyText"/>
      </w:pPr>
    </w:p>
    <w:p w:rsidR="00000000" w:rsidRPr="0078109F" w:rsidP="0078109F">
      <w:pPr>
        <w:pStyle w:val="AllowPageBreak"/>
      </w:pPr>
    </w:p>
    <w:p w:rsidR="00000000" w:rsidRPr="0078109F" w:rsidP="0078109F">
      <w:pPr>
        <w:pStyle w:val="Heading1"/>
      </w:pPr>
      <w:bookmarkStart w:id="12" w:name="O_462393"/>
      <w:bookmarkEnd w:id="12"/>
      <w:r w:rsidRPr="0078109F">
        <w:t>Unit Sector(s)</w:t>
      </w:r>
    </w:p>
    <w:p w:rsidR="00000000" w:rsidRPr="0078109F" w:rsidP="0078109F">
      <w:pPr>
        <w:pStyle w:val="BodyText"/>
      </w:pPr>
      <w:r w:rsidRPr="0078109F">
        <w:t>Not applicable.</w:t>
      </w:r>
    </w:p>
    <w:p w:rsidR="00000000" w:rsidRPr="0078109F" w:rsidP="0078109F">
      <w:pPr>
        <w:pStyle w:val="AllowPageBreak"/>
      </w:pPr>
    </w:p>
    <w:p w:rsidR="00000000" w:rsidRPr="0078109F" w:rsidP="0078109F">
      <w:pPr>
        <w:pStyle w:val="Heading1"/>
      </w:pPr>
      <w:bookmarkStart w:id="13" w:name="O_462382"/>
      <w:bookmarkEnd w:id="13"/>
      <w:r w:rsidRPr="0078109F">
        <w:t>Competency Field</w:t>
      </w:r>
    </w:p>
    <w:tbl>
      <w:tblPr>
        <w:tblW w:w="0" w:type="auto"/>
        <w:tblLayout w:type="fixed"/>
        <w:tblCellMar>
          <w:left w:w="62" w:type="dxa"/>
          <w:right w:w="62" w:type="dxa"/>
        </w:tblCellMar>
        <w:tblLook w:val="0000"/>
      </w:tblPr>
      <w:tblGrid>
        <w:gridCol w:w="2700"/>
        <w:gridCol w:w="5760"/>
      </w:tblGrid>
      <w:tr w:rsidTr="00FC230D">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109F">
            <w:pPr>
              <w:pStyle w:val="BodyText"/>
              <w:rPr>
                <w:lang w:val="en-NZ"/>
              </w:rPr>
            </w:pPr>
            <w:r w:rsidRPr="0078109F">
              <w:rPr>
                <w:rStyle w:val="SpecialBold"/>
              </w:rPr>
              <w:t xml:space="preserve">11) </w:t>
            </w:r>
          </w:p>
        </w:tc>
      </w:tr>
      <w:tr w:rsidTr="00FC23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109F" w:rsidP="0078109F">
            <w:pPr>
              <w:pStyle w:val="BodyText"/>
            </w:pPr>
            <w:r w:rsidRPr="0078109F">
              <w:t>Industry Specific Cross-Discipline Units</w:t>
            </w:r>
          </w:p>
        </w:tc>
      </w:tr>
    </w:tbl>
    <w:p w:rsidR="00000000" w:rsidRPr="0078109F" w:rsidP="0078109F">
      <w:pPr>
        <w:pStyle w:val="BodyText"/>
      </w:pPr>
    </w:p>
    <w:p w:rsidR="00000000" w:rsidRPr="0078109F" w:rsidP="0078109F"/>
    <w:sectPr w:rsidSect="007810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30D" w:rsidP="00FC230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0D" w:rsidP="007810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C230D" w:rsidP="007810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C230D" w:rsidP="007810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9F" w:rsidRPr="00FC230D" w:rsidP="00FC23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0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30D" w:rsidRPr="002D2AF8" w:rsidP="0078109F">
    <w:pPr>
      <w:pStyle w:val="Header"/>
      <w:framePr w:wrap="around"/>
    </w:pPr>
    <w:r>
      <w:fldChar w:fldCharType="begin"/>
    </w:r>
    <w:r>
      <w:instrText xml:space="preserve"> TITLE   \* MERGEFORMAT </w:instrText>
    </w:r>
    <w:r>
      <w:fldChar w:fldCharType="separate"/>
    </w:r>
    <w:r>
      <w:t>UETTDRIS36A Install and maintain low voltage services in remote communities (overhead)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C230D" w:rsidP="007810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8C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27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7AD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0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109F"/>
    <w:pPr>
      <w:spacing w:before="360" w:after="60"/>
      <w:outlineLvl w:val="0"/>
    </w:pPr>
    <w:rPr>
      <w:sz w:val="32"/>
    </w:rPr>
  </w:style>
  <w:style w:type="paragraph" w:styleId="Heading2">
    <w:name w:val="heading 2"/>
    <w:basedOn w:val="HeadingBase"/>
    <w:next w:val="BodyText"/>
    <w:link w:val="Heading2Char"/>
    <w:qFormat/>
    <w:rsid w:val="0078109F"/>
    <w:pPr>
      <w:keepLines/>
      <w:spacing w:before="240" w:after="120"/>
      <w:outlineLvl w:val="1"/>
    </w:pPr>
    <w:rPr>
      <w:sz w:val="28"/>
      <w:szCs w:val="40"/>
    </w:rPr>
  </w:style>
  <w:style w:type="paragraph" w:styleId="Heading3">
    <w:name w:val="heading 3"/>
    <w:basedOn w:val="HeadingBase"/>
    <w:next w:val="BodyText"/>
    <w:link w:val="Heading3Char"/>
    <w:qFormat/>
    <w:rsid w:val="0078109F"/>
    <w:pPr>
      <w:spacing w:before="180" w:after="120"/>
      <w:outlineLvl w:val="2"/>
    </w:pPr>
    <w:rPr>
      <w:spacing w:val="-10"/>
      <w:kern w:val="32"/>
    </w:rPr>
  </w:style>
  <w:style w:type="paragraph" w:styleId="Heading4">
    <w:name w:val="heading 4"/>
    <w:basedOn w:val="HeadingBase"/>
    <w:next w:val="BodyText"/>
    <w:link w:val="Heading4Char"/>
    <w:qFormat/>
    <w:rsid w:val="0078109F"/>
    <w:pPr>
      <w:spacing w:before="160" w:after="120"/>
      <w:outlineLvl w:val="3"/>
    </w:pPr>
    <w:rPr>
      <w:sz w:val="22"/>
    </w:rPr>
  </w:style>
  <w:style w:type="paragraph" w:styleId="Heading5">
    <w:name w:val="heading 5"/>
    <w:basedOn w:val="HeadingBase"/>
    <w:next w:val="Normal"/>
    <w:link w:val="Heading5Char"/>
    <w:qFormat/>
    <w:rsid w:val="0078109F"/>
    <w:pPr>
      <w:spacing w:before="80"/>
      <w:outlineLvl w:val="4"/>
    </w:pPr>
    <w:rPr>
      <w:color w:val="918585"/>
      <w:sz w:val="20"/>
    </w:rPr>
  </w:style>
  <w:style w:type="paragraph" w:styleId="Heading6">
    <w:name w:val="heading 6"/>
    <w:basedOn w:val="HeadingBase"/>
    <w:next w:val="Normal"/>
    <w:link w:val="Heading6Char"/>
    <w:qFormat/>
    <w:rsid w:val="0078109F"/>
    <w:pPr>
      <w:spacing w:before="60"/>
      <w:outlineLvl w:val="5"/>
    </w:pPr>
    <w:rPr>
      <w:color w:val="918585"/>
      <w:sz w:val="20"/>
    </w:rPr>
  </w:style>
  <w:style w:type="paragraph" w:styleId="Heading7">
    <w:name w:val="heading 7"/>
    <w:basedOn w:val="Normal"/>
    <w:next w:val="Normal"/>
    <w:link w:val="Heading7Char"/>
    <w:qFormat/>
    <w:rsid w:val="0078109F"/>
    <w:pPr>
      <w:ind w:left="720"/>
      <w:outlineLvl w:val="6"/>
    </w:pPr>
    <w:rPr>
      <w:i/>
    </w:rPr>
  </w:style>
  <w:style w:type="paragraph" w:styleId="Heading8">
    <w:name w:val="heading 8"/>
    <w:basedOn w:val="Normal"/>
    <w:next w:val="Normal"/>
    <w:link w:val="Heading8Char"/>
    <w:qFormat/>
    <w:rsid w:val="0078109F"/>
    <w:pPr>
      <w:ind w:left="720"/>
      <w:outlineLvl w:val="7"/>
    </w:pPr>
    <w:rPr>
      <w:i/>
    </w:rPr>
  </w:style>
  <w:style w:type="paragraph" w:styleId="Heading9">
    <w:name w:val="heading 9"/>
    <w:basedOn w:val="Normal"/>
    <w:next w:val="Normal"/>
    <w:link w:val="Heading9Char"/>
    <w:qFormat/>
    <w:rsid w:val="0078109F"/>
    <w:pPr>
      <w:ind w:left="720"/>
      <w:outlineLvl w:val="8"/>
    </w:pPr>
    <w:rPr>
      <w:i/>
    </w:rPr>
  </w:style>
  <w:style w:type="character" w:default="1" w:styleId="DefaultParagraphFont">
    <w:name w:val="Default Paragraph Font"/>
    <w:uiPriority w:val="1"/>
    <w:unhideWhenUsed/>
    <w:rsid w:val="007810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09F"/>
  </w:style>
  <w:style w:type="character" w:customStyle="1" w:styleId="Heading1Char">
    <w:name w:val="Heading 1 Char"/>
    <w:basedOn w:val="DefaultParagraphFont"/>
    <w:link w:val="Heading1"/>
    <w:rsid w:val="0078109F"/>
    <w:rPr>
      <w:rFonts w:ascii="Times New Roman" w:eastAsia="Times New Roman" w:hAnsi="Times New Roman" w:cs="Times New Roman"/>
      <w:b/>
      <w:sz w:val="32"/>
      <w:szCs w:val="20"/>
      <w:lang w:eastAsia="en-US"/>
    </w:rPr>
  </w:style>
  <w:style w:type="paragraph" w:styleId="BodyText">
    <w:name w:val="Body Text"/>
    <w:basedOn w:val="Normal"/>
    <w:link w:val="BodyTextChar"/>
    <w:rsid w:val="007810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09F"/>
    <w:rPr>
      <w:rFonts w:ascii="Times New Roman" w:eastAsia="Times New Roman" w:hAnsi="Times New Roman" w:cs="Times New Roman"/>
      <w:sz w:val="24"/>
      <w:lang w:eastAsia="en-US"/>
    </w:rPr>
  </w:style>
  <w:style w:type="paragraph" w:styleId="Footer">
    <w:name w:val="footer"/>
    <w:basedOn w:val="Normal"/>
    <w:link w:val="FooterChar"/>
    <w:rsid w:val="007810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09F"/>
    <w:rPr>
      <w:rFonts w:ascii="Times New Roman" w:eastAsia="Times New Roman" w:hAnsi="Times New Roman" w:cs="Times New Roman"/>
      <w:sz w:val="16"/>
      <w:lang w:eastAsia="en-US"/>
    </w:rPr>
  </w:style>
  <w:style w:type="paragraph" w:styleId="ListBullet">
    <w:name w:val="List Bullet"/>
    <w:basedOn w:val="List"/>
    <w:rsid w:val="0078109F"/>
    <w:pPr>
      <w:numPr>
        <w:numId w:val="14"/>
      </w:numPr>
      <w:tabs>
        <w:tab w:val="clear" w:pos="340"/>
      </w:tabs>
      <w:spacing w:before="40" w:after="40"/>
    </w:pPr>
  </w:style>
  <w:style w:type="character" w:customStyle="1" w:styleId="SpecialBold">
    <w:name w:val="Special Bold"/>
    <w:basedOn w:val="DefaultParagraphFont"/>
    <w:rsid w:val="0078109F"/>
    <w:rPr>
      <w:b/>
      <w:spacing w:val="0"/>
    </w:rPr>
  </w:style>
  <w:style w:type="paragraph" w:styleId="ListBullet2">
    <w:name w:val="List Bullet 2"/>
    <w:basedOn w:val="List2"/>
    <w:rsid w:val="0078109F"/>
    <w:pPr>
      <w:numPr>
        <w:numId w:val="15"/>
      </w:numPr>
      <w:tabs>
        <w:tab w:val="clear" w:pos="680"/>
      </w:tabs>
    </w:pPr>
  </w:style>
  <w:style w:type="paragraph" w:customStyle="1" w:styleId="SuperHeading">
    <w:name w:val="SuperHeading"/>
    <w:basedOn w:val="Normal"/>
    <w:rsid w:val="0078109F"/>
    <w:pPr>
      <w:spacing w:before="240" w:after="120"/>
      <w:outlineLvl w:val="0"/>
    </w:pPr>
    <w:rPr>
      <w:rFonts w:ascii="Times New Roman" w:hAnsi="Times New Roman"/>
      <w:b/>
      <w:sz w:val="28"/>
    </w:rPr>
  </w:style>
  <w:style w:type="paragraph" w:customStyle="1" w:styleId="AllowPageBreak">
    <w:name w:val="AllowPageBreak"/>
    <w:rsid w:val="007810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109F"/>
    <w:pPr>
      <w:numPr>
        <w:numId w:val="3"/>
      </w:numPr>
      <w:tabs>
        <w:tab w:val="clear" w:pos="1021"/>
      </w:tabs>
      <w:ind w:left="1037" w:hanging="357"/>
    </w:pPr>
  </w:style>
  <w:style w:type="character" w:customStyle="1" w:styleId="Heading2Char">
    <w:name w:val="Heading 2 Char"/>
    <w:basedOn w:val="DefaultParagraphFont"/>
    <w:link w:val="Heading2"/>
    <w:rsid w:val="007810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0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0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0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0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0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10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109F"/>
    <w:rPr>
      <w:rFonts w:ascii="Courier New" w:eastAsia="Times New Roman" w:hAnsi="Courier New" w:cs="Times New Roman"/>
      <w:i/>
      <w:szCs w:val="20"/>
      <w:lang w:eastAsia="en-US"/>
    </w:rPr>
  </w:style>
  <w:style w:type="paragraph" w:customStyle="1" w:styleId="HeadingBase">
    <w:name w:val="Heading Base"/>
    <w:rsid w:val="007810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09F"/>
    <w:pPr>
      <w:tabs>
        <w:tab w:val="right" w:leader="dot" w:pos="9072"/>
      </w:tabs>
      <w:ind w:left="567"/>
    </w:pPr>
    <w:rPr>
      <w:szCs w:val="22"/>
    </w:rPr>
  </w:style>
  <w:style w:type="paragraph" w:customStyle="1" w:styleId="TOCBase">
    <w:name w:val="TOC Base"/>
    <w:rsid w:val="007810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09F"/>
    <w:pPr>
      <w:tabs>
        <w:tab w:val="right" w:leader="dot" w:pos="9072"/>
      </w:tabs>
      <w:spacing w:before="40" w:after="40"/>
      <w:ind w:left="284"/>
    </w:pPr>
    <w:rPr>
      <w:rFonts w:ascii="Times New Roman" w:hAnsi="Times New Roman"/>
    </w:rPr>
  </w:style>
  <w:style w:type="paragraph" w:styleId="TOC1">
    <w:name w:val="toc 1"/>
    <w:basedOn w:val="TOCBase"/>
    <w:next w:val="Normal"/>
    <w:rsid w:val="007810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09F"/>
    <w:pPr>
      <w:spacing w:before="5040"/>
      <w:jc w:val="center"/>
    </w:pPr>
    <w:rPr>
      <w:sz w:val="48"/>
      <w:szCs w:val="72"/>
      <w:lang w:val="en-US"/>
    </w:rPr>
  </w:style>
  <w:style w:type="character" w:customStyle="1" w:styleId="TitleChar">
    <w:name w:val="Title Char"/>
    <w:basedOn w:val="DefaultParagraphFont"/>
    <w:link w:val="Title"/>
    <w:rsid w:val="007810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09F"/>
    <w:pPr>
      <w:tabs>
        <w:tab w:val="left" w:pos="3600"/>
        <w:tab w:val="left" w:pos="3958"/>
      </w:tabs>
    </w:pPr>
  </w:style>
  <w:style w:type="paragraph" w:styleId="List">
    <w:name w:val="List"/>
    <w:basedOn w:val="BodyText"/>
    <w:next w:val="BodyText"/>
    <w:rsid w:val="0078109F"/>
    <w:pPr>
      <w:tabs>
        <w:tab w:val="left" w:pos="340"/>
      </w:tabs>
      <w:spacing w:before="60" w:after="60"/>
      <w:ind w:left="340" w:hanging="340"/>
    </w:pPr>
  </w:style>
  <w:style w:type="paragraph" w:customStyle="1" w:styleId="Note">
    <w:name w:val="Note"/>
    <w:basedOn w:val="BodyText"/>
    <w:rsid w:val="007810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09F"/>
    <w:pPr>
      <w:framePr w:wrap="auto" w:hAnchor="text" w:y="6049"/>
    </w:pPr>
    <w:rPr>
      <w:color w:val="000000"/>
      <w:sz w:val="40"/>
    </w:rPr>
  </w:style>
  <w:style w:type="paragraph" w:customStyle="1" w:styleId="TOCTitle">
    <w:name w:val="TOCTitle"/>
    <w:basedOn w:val="Heading1"/>
    <w:rsid w:val="0078109F"/>
    <w:pPr>
      <w:spacing w:after="240"/>
      <w:jc w:val="center"/>
      <w:outlineLvl w:val="9"/>
    </w:pPr>
    <w:rPr>
      <w:caps/>
    </w:rPr>
  </w:style>
  <w:style w:type="paragraph" w:customStyle="1" w:styleId="Version">
    <w:name w:val="Version"/>
    <w:rsid w:val="007810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09F"/>
    <w:pPr>
      <w:keepNext w:val="0"/>
      <w:tabs>
        <w:tab w:val="right" w:pos="4176"/>
      </w:tabs>
      <w:ind w:left="198" w:hanging="198"/>
    </w:pPr>
    <w:rPr>
      <w:rFonts w:ascii="Garamond" w:hAnsi="Garamond"/>
    </w:rPr>
  </w:style>
  <w:style w:type="paragraph" w:styleId="IndexHeading">
    <w:name w:val="index heading"/>
    <w:basedOn w:val="Normal"/>
    <w:next w:val="Index1"/>
    <w:semiHidden/>
    <w:rsid w:val="0078109F"/>
    <w:pPr>
      <w:spacing w:before="120" w:after="120"/>
    </w:pPr>
    <w:rPr>
      <w:rFonts w:ascii="Arial" w:hAnsi="Arial"/>
      <w:b/>
      <w:color w:val="918585"/>
      <w:sz w:val="24"/>
    </w:rPr>
  </w:style>
  <w:style w:type="paragraph" w:styleId="Header">
    <w:name w:val="header"/>
    <w:basedOn w:val="Normal"/>
    <w:link w:val="HeaderChar"/>
    <w:rsid w:val="007810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09F"/>
    <w:rPr>
      <w:rFonts w:ascii="Times New Roman" w:eastAsia="Times New Roman" w:hAnsi="Times New Roman" w:cs="Times New Roman"/>
      <w:sz w:val="16"/>
      <w:szCs w:val="20"/>
      <w:lang w:val="en-GB" w:eastAsia="en-US"/>
    </w:rPr>
  </w:style>
  <w:style w:type="paragraph" w:customStyle="1" w:styleId="Chapter">
    <w:name w:val="Chapter"/>
    <w:basedOn w:val="Normal"/>
    <w:rsid w:val="0078109F"/>
    <w:pPr>
      <w:spacing w:before="240"/>
    </w:pPr>
    <w:rPr>
      <w:rFonts w:ascii="Times New Roman" w:hAnsi="Times New Roman"/>
      <w:smallCaps/>
      <w:spacing w:val="80"/>
      <w:sz w:val="28"/>
    </w:rPr>
  </w:style>
  <w:style w:type="paragraph" w:customStyle="1" w:styleId="InChapter">
    <w:name w:val="InChapter"/>
    <w:basedOn w:val="Heading3"/>
    <w:rsid w:val="0078109F"/>
    <w:pPr>
      <w:spacing w:after="240"/>
      <w:outlineLvl w:val="9"/>
    </w:pPr>
    <w:rPr>
      <w:noProof/>
    </w:rPr>
  </w:style>
  <w:style w:type="paragraph" w:styleId="Index2">
    <w:name w:val="index 2"/>
    <w:basedOn w:val="Normal"/>
    <w:next w:val="Normal"/>
    <w:semiHidden/>
    <w:rsid w:val="0078109F"/>
    <w:pPr>
      <w:tabs>
        <w:tab w:val="right" w:pos="4176"/>
      </w:tabs>
      <w:ind w:left="568" w:hanging="284"/>
    </w:pPr>
    <w:rPr>
      <w:rFonts w:ascii="Garamond" w:hAnsi="Garamond"/>
    </w:rPr>
  </w:style>
  <w:style w:type="paragraph" w:customStyle="1" w:styleId="Byline">
    <w:name w:val="Byline"/>
    <w:rsid w:val="007810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09F"/>
    <w:pPr>
      <w:tabs>
        <w:tab w:val="clear" w:pos="3600"/>
        <w:tab w:val="clear" w:pos="3958"/>
      </w:tabs>
      <w:jc w:val="right"/>
    </w:pPr>
  </w:style>
  <w:style w:type="character" w:styleId="Emphasis">
    <w:name w:val="Emphasis"/>
    <w:basedOn w:val="DefaultParagraphFont"/>
    <w:qFormat/>
    <w:rsid w:val="0078109F"/>
    <w:rPr>
      <w:i/>
    </w:rPr>
  </w:style>
  <w:style w:type="paragraph" w:styleId="Caption">
    <w:name w:val="caption"/>
    <w:basedOn w:val="BodyText"/>
    <w:next w:val="Normal"/>
    <w:qFormat/>
    <w:rsid w:val="0078109F"/>
    <w:pPr>
      <w:framePr w:w="2268" w:hSpace="181" w:vSpace="181" w:wrap="around" w:vAnchor="text" w:hAnchor="page" w:x="1135" w:y="285" w:anchorLock="1"/>
    </w:pPr>
    <w:rPr>
      <w:i/>
    </w:rPr>
  </w:style>
  <w:style w:type="paragraph" w:customStyle="1" w:styleId="MiniTOCTitle">
    <w:name w:val="MiniTOCTitle"/>
    <w:basedOn w:val="Heading4"/>
    <w:rsid w:val="0078109F"/>
    <w:pPr>
      <w:spacing w:before="240"/>
      <w:outlineLvl w:val="9"/>
    </w:pPr>
    <w:rPr>
      <w:noProof/>
      <w:sz w:val="24"/>
    </w:rPr>
  </w:style>
  <w:style w:type="paragraph" w:customStyle="1" w:styleId="MiniTOCItem">
    <w:name w:val="MiniTOCItem"/>
    <w:basedOn w:val="ListBullet"/>
    <w:rsid w:val="0078109F"/>
    <w:pPr>
      <w:numPr>
        <w:numId w:val="0"/>
      </w:numPr>
      <w:tabs>
        <w:tab w:val="right" w:leader="dot" w:pos="6521"/>
      </w:tabs>
      <w:spacing w:before="0" w:after="0"/>
    </w:pPr>
  </w:style>
  <w:style w:type="paragraph" w:customStyle="1" w:styleId="TOFTitle">
    <w:name w:val="TOFTitle"/>
    <w:basedOn w:val="TOCTitle"/>
    <w:rsid w:val="0078109F"/>
  </w:style>
  <w:style w:type="paragraph" w:styleId="TableofFigures">
    <w:name w:val="table of figures"/>
    <w:basedOn w:val="Normal"/>
    <w:next w:val="Normal"/>
    <w:semiHidden/>
    <w:rsid w:val="0078109F"/>
    <w:pPr>
      <w:tabs>
        <w:tab w:val="right" w:leader="dot" w:pos="9072"/>
      </w:tabs>
      <w:ind w:left="970" w:hanging="403"/>
    </w:pPr>
    <w:rPr>
      <w:rFonts w:ascii="Times New Roman" w:hAnsi="Times New Roman"/>
      <w:b/>
    </w:rPr>
  </w:style>
  <w:style w:type="paragraph" w:styleId="ListNumber">
    <w:name w:val="List Number"/>
    <w:basedOn w:val="List"/>
    <w:rsid w:val="0078109F"/>
    <w:pPr>
      <w:numPr>
        <w:numId w:val="12"/>
      </w:numPr>
    </w:pPr>
  </w:style>
  <w:style w:type="character" w:customStyle="1" w:styleId="WingdingSymbols">
    <w:name w:val="Wingding Symbols"/>
    <w:rsid w:val="0078109F"/>
    <w:rPr>
      <w:rFonts w:ascii="Wingdings" w:hAnsi="Wingdings"/>
    </w:rPr>
  </w:style>
  <w:style w:type="paragraph" w:customStyle="1" w:styleId="TableHeading">
    <w:name w:val="Table Heading"/>
    <w:basedOn w:val="HeadingBase"/>
    <w:rsid w:val="0078109F"/>
    <w:pPr>
      <w:keepLines/>
      <w:pBdr>
        <w:bottom w:val="single" w:sz="6" w:space="1" w:color="918585"/>
      </w:pBdr>
      <w:spacing w:before="240"/>
    </w:pPr>
  </w:style>
  <w:style w:type="character" w:customStyle="1" w:styleId="HotSpot">
    <w:name w:val="HotSpot"/>
    <w:rsid w:val="0078109F"/>
    <w:rPr>
      <w:color w:val="0033CC"/>
      <w:u w:val="none"/>
    </w:rPr>
  </w:style>
  <w:style w:type="paragraph" w:customStyle="1" w:styleId="BodyTextRight">
    <w:name w:val="Body Text Right"/>
    <w:basedOn w:val="BodyText"/>
    <w:rsid w:val="0078109F"/>
    <w:pPr>
      <w:spacing w:before="0" w:after="0"/>
      <w:jc w:val="right"/>
    </w:pPr>
  </w:style>
  <w:style w:type="paragraph" w:styleId="Index3">
    <w:name w:val="index 3"/>
    <w:basedOn w:val="ListNumber2"/>
    <w:next w:val="Normal"/>
    <w:semiHidden/>
    <w:rsid w:val="0078109F"/>
    <w:pPr>
      <w:numPr>
        <w:numId w:val="0"/>
      </w:numPr>
      <w:tabs>
        <w:tab w:val="right" w:leader="dot" w:pos="4176"/>
      </w:tabs>
    </w:pPr>
  </w:style>
  <w:style w:type="paragraph" w:styleId="ListNumber2">
    <w:name w:val="List Number 2"/>
    <w:basedOn w:val="List2"/>
    <w:rsid w:val="0078109F"/>
    <w:pPr>
      <w:numPr>
        <w:numId w:val="11"/>
      </w:numPr>
      <w:tabs>
        <w:tab w:val="clear" w:pos="1060"/>
      </w:tabs>
    </w:pPr>
  </w:style>
  <w:style w:type="paragraph" w:customStyle="1" w:styleId="MarginNote">
    <w:name w:val="Margin Note"/>
    <w:basedOn w:val="BodyText"/>
    <w:rsid w:val="007810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0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0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109F"/>
    <w:rPr>
      <w:sz w:val="32"/>
    </w:rPr>
  </w:style>
  <w:style w:type="paragraph" w:customStyle="1" w:styleId="HeadingProcedure">
    <w:name w:val="Heading Procedure"/>
    <w:basedOn w:val="HeadingBase"/>
    <w:next w:val="Normal"/>
    <w:rsid w:val="0078109F"/>
    <w:pPr>
      <w:tabs>
        <w:tab w:val="left" w:pos="0"/>
      </w:tabs>
      <w:spacing w:before="120" w:after="60"/>
    </w:pPr>
    <w:rPr>
      <w:i/>
      <w:color w:val="918585"/>
      <w:sz w:val="22"/>
    </w:rPr>
  </w:style>
  <w:style w:type="paragraph" w:customStyle="1" w:styleId="TableBodyText">
    <w:name w:val="Table Body Text"/>
    <w:basedOn w:val="BodyText"/>
    <w:rsid w:val="0078109F"/>
    <w:pPr>
      <w:spacing w:before="60" w:after="60"/>
    </w:pPr>
  </w:style>
  <w:style w:type="paragraph" w:styleId="ListContinue">
    <w:name w:val="List Continue"/>
    <w:basedOn w:val="List"/>
    <w:rsid w:val="0078109F"/>
    <w:pPr>
      <w:ind w:firstLine="0"/>
    </w:pPr>
  </w:style>
  <w:style w:type="paragraph" w:customStyle="1" w:styleId="ListNote">
    <w:name w:val="List Note"/>
    <w:basedOn w:val="List"/>
    <w:rsid w:val="0078109F"/>
    <w:pPr>
      <w:pBdr>
        <w:top w:val="single" w:sz="6" w:space="2" w:color="918585"/>
        <w:bottom w:val="single" w:sz="6" w:space="2" w:color="918585"/>
      </w:pBdr>
      <w:tabs>
        <w:tab w:val="left" w:pos="1021"/>
      </w:tabs>
      <w:ind w:firstLine="0"/>
    </w:pPr>
  </w:style>
  <w:style w:type="paragraph" w:customStyle="1" w:styleId="Warning">
    <w:name w:val="Warning"/>
    <w:basedOn w:val="BodyText"/>
    <w:rsid w:val="0078109F"/>
    <w:pPr>
      <w:shd w:val="clear" w:color="auto" w:fill="D9D9D9"/>
      <w:tabs>
        <w:tab w:val="left" w:pos="992"/>
      </w:tabs>
      <w:ind w:left="119" w:right="119"/>
    </w:pPr>
    <w:rPr>
      <w:sz w:val="20"/>
    </w:rPr>
  </w:style>
  <w:style w:type="paragraph" w:customStyle="1" w:styleId="MarginIcons">
    <w:name w:val="Margin Icons"/>
    <w:basedOn w:val="BodyText"/>
    <w:rsid w:val="007810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09F"/>
    <w:rPr>
      <w:rFonts w:ascii="Courier New" w:hAnsi="Courier New"/>
    </w:rPr>
  </w:style>
  <w:style w:type="paragraph" w:customStyle="1" w:styleId="NoteBullet">
    <w:name w:val="Note Bullet"/>
    <w:basedOn w:val="Note"/>
    <w:rsid w:val="0078109F"/>
    <w:pPr>
      <w:tabs>
        <w:tab w:val="clear" w:pos="680"/>
      </w:tabs>
      <w:spacing w:before="60" w:after="60"/>
    </w:pPr>
  </w:style>
  <w:style w:type="paragraph" w:customStyle="1" w:styleId="SubHeading2">
    <w:name w:val="SubHeading2"/>
    <w:basedOn w:val="HeadingBase"/>
    <w:rsid w:val="0078109F"/>
    <w:pPr>
      <w:spacing w:before="240" w:after="60"/>
    </w:pPr>
    <w:rPr>
      <w:sz w:val="20"/>
    </w:rPr>
  </w:style>
  <w:style w:type="paragraph" w:customStyle="1" w:styleId="SubHeading1">
    <w:name w:val="SubHeading1"/>
    <w:basedOn w:val="HeadingBase"/>
    <w:rsid w:val="0078109F"/>
    <w:pPr>
      <w:spacing w:before="240" w:after="60"/>
    </w:pPr>
    <w:rPr>
      <w:color w:val="918585"/>
      <w:sz w:val="22"/>
    </w:rPr>
  </w:style>
  <w:style w:type="paragraph" w:customStyle="1" w:styleId="SideHeading">
    <w:name w:val="Side Heading"/>
    <w:basedOn w:val="HeadingBase"/>
    <w:rsid w:val="007810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09F"/>
    <w:pPr>
      <w:numPr>
        <w:numId w:val="13"/>
      </w:numPr>
    </w:pPr>
  </w:style>
  <w:style w:type="paragraph" w:styleId="PlainText">
    <w:name w:val="Plain Text"/>
    <w:basedOn w:val="Normal"/>
    <w:link w:val="PlainTextChar"/>
    <w:rsid w:val="0078109F"/>
    <w:rPr>
      <w:sz w:val="20"/>
    </w:rPr>
  </w:style>
  <w:style w:type="character" w:customStyle="1" w:styleId="PlainTextChar">
    <w:name w:val="Plain Text Char"/>
    <w:basedOn w:val="DefaultParagraphFont"/>
    <w:link w:val="PlainText"/>
    <w:rsid w:val="0078109F"/>
    <w:rPr>
      <w:rFonts w:ascii="Courier New" w:eastAsia="Times New Roman" w:hAnsi="Courier New" w:cs="Times New Roman"/>
      <w:sz w:val="20"/>
      <w:szCs w:val="20"/>
      <w:lang w:eastAsia="en-US"/>
    </w:rPr>
  </w:style>
  <w:style w:type="character" w:customStyle="1" w:styleId="MenuOption">
    <w:name w:val="Menu Option"/>
    <w:basedOn w:val="DefaultParagraphFont"/>
    <w:rsid w:val="0078109F"/>
    <w:rPr>
      <w:b/>
      <w:smallCaps/>
    </w:rPr>
  </w:style>
  <w:style w:type="paragraph" w:customStyle="1" w:styleId="TableListNumber">
    <w:name w:val="Table List Number"/>
    <w:basedOn w:val="ListNumber"/>
    <w:rsid w:val="0078109F"/>
    <w:pPr>
      <w:numPr>
        <w:numId w:val="0"/>
      </w:numPr>
    </w:pPr>
  </w:style>
  <w:style w:type="paragraph" w:styleId="TOC4">
    <w:name w:val="toc 4"/>
    <w:basedOn w:val="TOCBase"/>
    <w:next w:val="Normal"/>
    <w:semiHidden/>
    <w:rsid w:val="0078109F"/>
    <w:pPr>
      <w:tabs>
        <w:tab w:val="right" w:leader="dot" w:pos="9071"/>
      </w:tabs>
      <w:ind w:left="1701"/>
    </w:pPr>
  </w:style>
  <w:style w:type="paragraph" w:customStyle="1" w:styleId="ListAlpha">
    <w:name w:val="List Alpha"/>
    <w:basedOn w:val="List"/>
    <w:rsid w:val="0078109F"/>
    <w:pPr>
      <w:numPr>
        <w:numId w:val="10"/>
      </w:numPr>
    </w:pPr>
  </w:style>
  <w:style w:type="paragraph" w:customStyle="1" w:styleId="ListAlpha2">
    <w:name w:val="List Alpha 2"/>
    <w:basedOn w:val="List2"/>
    <w:rsid w:val="0078109F"/>
    <w:pPr>
      <w:numPr>
        <w:numId w:val="9"/>
      </w:numPr>
    </w:pPr>
  </w:style>
  <w:style w:type="paragraph" w:styleId="List2">
    <w:name w:val="List 2"/>
    <w:basedOn w:val="BodyText"/>
    <w:rsid w:val="0078109F"/>
    <w:pPr>
      <w:tabs>
        <w:tab w:val="left" w:pos="680"/>
      </w:tabs>
      <w:spacing w:before="60" w:after="60"/>
      <w:ind w:left="680" w:hanging="340"/>
    </w:pPr>
  </w:style>
  <w:style w:type="paragraph" w:styleId="List3">
    <w:name w:val="List 3"/>
    <w:basedOn w:val="BodyText"/>
    <w:rsid w:val="0078109F"/>
    <w:pPr>
      <w:tabs>
        <w:tab w:val="left" w:pos="1021"/>
      </w:tabs>
      <w:spacing w:before="60" w:after="60"/>
      <w:ind w:left="1020" w:hanging="340"/>
    </w:pPr>
  </w:style>
  <w:style w:type="paragraph" w:styleId="List4">
    <w:name w:val="List 4"/>
    <w:basedOn w:val="BodyText"/>
    <w:rsid w:val="0078109F"/>
    <w:pPr>
      <w:tabs>
        <w:tab w:val="left" w:pos="1361"/>
      </w:tabs>
      <w:spacing w:before="60" w:after="60"/>
      <w:ind w:left="1361" w:hanging="340"/>
    </w:pPr>
  </w:style>
  <w:style w:type="paragraph" w:styleId="List5">
    <w:name w:val="List 5"/>
    <w:basedOn w:val="BodyText"/>
    <w:rsid w:val="0078109F"/>
    <w:pPr>
      <w:tabs>
        <w:tab w:val="left" w:pos="1701"/>
      </w:tabs>
      <w:spacing w:before="60" w:after="60"/>
      <w:ind w:left="1701" w:hanging="340"/>
    </w:pPr>
  </w:style>
  <w:style w:type="paragraph" w:styleId="ListBullet4">
    <w:name w:val="List Bullet 4"/>
    <w:basedOn w:val="List4"/>
    <w:rsid w:val="0078109F"/>
    <w:pPr>
      <w:numPr>
        <w:numId w:val="4"/>
      </w:numPr>
    </w:pPr>
  </w:style>
  <w:style w:type="paragraph" w:styleId="ListBullet5">
    <w:name w:val="List Bullet 5"/>
    <w:basedOn w:val="List5"/>
    <w:rsid w:val="0078109F"/>
    <w:pPr>
      <w:numPr>
        <w:numId w:val="5"/>
      </w:numPr>
    </w:pPr>
  </w:style>
  <w:style w:type="paragraph" w:styleId="ListContinue2">
    <w:name w:val="List Continue 2"/>
    <w:basedOn w:val="List2"/>
    <w:rsid w:val="0078109F"/>
    <w:pPr>
      <w:ind w:firstLine="0"/>
    </w:pPr>
  </w:style>
  <w:style w:type="paragraph" w:styleId="ListContinue3">
    <w:name w:val="List Continue 3"/>
    <w:basedOn w:val="List3"/>
    <w:rsid w:val="0078109F"/>
    <w:pPr>
      <w:ind w:left="1021" w:firstLine="0"/>
    </w:pPr>
  </w:style>
  <w:style w:type="paragraph" w:styleId="ListContinue4">
    <w:name w:val="List Continue 4"/>
    <w:basedOn w:val="List4"/>
    <w:rsid w:val="0078109F"/>
    <w:pPr>
      <w:ind w:firstLine="0"/>
    </w:pPr>
  </w:style>
  <w:style w:type="paragraph" w:styleId="ListContinue5">
    <w:name w:val="List Continue 5"/>
    <w:basedOn w:val="List5"/>
    <w:rsid w:val="0078109F"/>
    <w:pPr>
      <w:ind w:firstLine="0"/>
    </w:pPr>
  </w:style>
  <w:style w:type="paragraph" w:styleId="ListNumber3">
    <w:name w:val="List Number 3"/>
    <w:basedOn w:val="List3"/>
    <w:rsid w:val="0078109F"/>
    <w:pPr>
      <w:numPr>
        <w:numId w:val="6"/>
      </w:numPr>
    </w:pPr>
  </w:style>
  <w:style w:type="paragraph" w:styleId="ListNumber4">
    <w:name w:val="List Number 4"/>
    <w:basedOn w:val="List4"/>
    <w:rsid w:val="0078109F"/>
    <w:pPr>
      <w:numPr>
        <w:numId w:val="7"/>
      </w:numPr>
    </w:pPr>
  </w:style>
  <w:style w:type="paragraph" w:styleId="ListNumber5">
    <w:name w:val="List Number 5"/>
    <w:basedOn w:val="List5"/>
    <w:rsid w:val="0078109F"/>
    <w:pPr>
      <w:numPr>
        <w:numId w:val="8"/>
      </w:numPr>
    </w:pPr>
  </w:style>
  <w:style w:type="paragraph" w:styleId="BlockText">
    <w:name w:val="Block Text"/>
    <w:basedOn w:val="Normal"/>
    <w:rsid w:val="0078109F"/>
    <w:pPr>
      <w:spacing w:after="120"/>
      <w:ind w:left="1440" w:right="1440"/>
    </w:pPr>
  </w:style>
  <w:style w:type="character" w:customStyle="1" w:styleId="Subscript">
    <w:name w:val="Subscript"/>
    <w:basedOn w:val="DefaultParagraphFont"/>
    <w:rsid w:val="0078109F"/>
    <w:rPr>
      <w:sz w:val="16"/>
      <w:vertAlign w:val="subscript"/>
    </w:rPr>
  </w:style>
  <w:style w:type="character" w:customStyle="1" w:styleId="Superscript">
    <w:name w:val="Superscript"/>
    <w:basedOn w:val="DefaultParagraphFont"/>
    <w:rsid w:val="0078109F"/>
    <w:rPr>
      <w:sz w:val="16"/>
      <w:vertAlign w:val="superscript"/>
    </w:rPr>
  </w:style>
  <w:style w:type="character" w:customStyle="1" w:styleId="Symbols">
    <w:name w:val="Symbols"/>
    <w:basedOn w:val="DefaultParagraphFont"/>
    <w:rsid w:val="0078109F"/>
    <w:rPr>
      <w:rFonts w:ascii="Symbol" w:hAnsi="Symbol"/>
    </w:rPr>
  </w:style>
  <w:style w:type="character" w:customStyle="1" w:styleId="MenuOptions">
    <w:name w:val="Menu Options"/>
    <w:basedOn w:val="DefaultParagraphFont"/>
    <w:rsid w:val="0078109F"/>
    <w:rPr>
      <w:rFonts w:ascii="Arial Narrow" w:hAnsi="Arial Narrow"/>
      <w:smallCaps/>
    </w:rPr>
  </w:style>
  <w:style w:type="character" w:customStyle="1" w:styleId="Buttons">
    <w:name w:val="Buttons"/>
    <w:basedOn w:val="DefaultParagraphFont"/>
    <w:rsid w:val="0078109F"/>
    <w:rPr>
      <w:b/>
    </w:rPr>
  </w:style>
  <w:style w:type="character" w:customStyle="1" w:styleId="Underlined">
    <w:name w:val="Underlined"/>
    <w:basedOn w:val="DefaultParagraphFont"/>
    <w:rsid w:val="0078109F"/>
    <w:rPr>
      <w:u w:val="single"/>
    </w:rPr>
  </w:style>
  <w:style w:type="paragraph" w:customStyle="1" w:styleId="TableBodyTextRight">
    <w:name w:val="Table Body Text Right"/>
    <w:basedOn w:val="TableBodyText"/>
    <w:rsid w:val="0078109F"/>
    <w:pPr>
      <w:widowControl w:val="0"/>
      <w:autoSpaceDE w:val="0"/>
      <w:autoSpaceDN w:val="0"/>
      <w:adjustRightInd w:val="0"/>
      <w:jc w:val="right"/>
    </w:pPr>
    <w:rPr>
      <w:rFonts w:cs="Arial"/>
      <w:szCs w:val="18"/>
    </w:rPr>
  </w:style>
  <w:style w:type="paragraph" w:customStyle="1" w:styleId="CopyrightText">
    <w:name w:val="Copyright Text"/>
    <w:basedOn w:val="BodyText"/>
    <w:rsid w:val="0078109F"/>
    <w:rPr>
      <w:sz w:val="18"/>
    </w:rPr>
  </w:style>
  <w:style w:type="paragraph" w:customStyle="1" w:styleId="BodySmallRight">
    <w:name w:val="Body Small Right"/>
    <w:basedOn w:val="BodyTextRight"/>
    <w:rsid w:val="0078109F"/>
    <w:rPr>
      <w:sz w:val="18"/>
      <w:szCs w:val="18"/>
    </w:rPr>
  </w:style>
  <w:style w:type="paragraph" w:customStyle="1" w:styleId="MarginEdition">
    <w:name w:val="Margin Edition"/>
    <w:basedOn w:val="MarginNote"/>
    <w:rsid w:val="0078109F"/>
    <w:pPr>
      <w:spacing w:before="0" w:after="0"/>
    </w:pPr>
    <w:rPr>
      <w:rFonts w:ascii="Times New Roman" w:hAnsi="Times New Roman"/>
      <w:color w:val="999999"/>
    </w:rPr>
  </w:style>
  <w:style w:type="paragraph" w:customStyle="1" w:styleId="Spacer">
    <w:name w:val="Spacer"/>
    <w:basedOn w:val="Normal"/>
    <w:rsid w:val="0078109F"/>
    <w:rPr>
      <w:sz w:val="2"/>
      <w:szCs w:val="2"/>
    </w:rPr>
  </w:style>
  <w:style w:type="character" w:customStyle="1" w:styleId="Small">
    <w:name w:val="Small"/>
    <w:basedOn w:val="DefaultParagraphFont"/>
    <w:rsid w:val="0078109F"/>
    <w:rPr>
      <w:sz w:val="16"/>
    </w:rPr>
  </w:style>
  <w:style w:type="paragraph" w:customStyle="1" w:styleId="WideTable">
    <w:name w:val="Wide Table"/>
    <w:basedOn w:val="Normal"/>
    <w:rsid w:val="0078109F"/>
    <w:pPr>
      <w:ind w:left="-1418"/>
    </w:pPr>
    <w:rPr>
      <w:sz w:val="2"/>
      <w:szCs w:val="2"/>
    </w:rPr>
  </w:style>
  <w:style w:type="character" w:styleId="PageNumber">
    <w:name w:val="page number"/>
    <w:basedOn w:val="DefaultParagraphFont"/>
    <w:rsid w:val="0078109F"/>
  </w:style>
  <w:style w:type="paragraph" w:styleId="Quote">
    <w:name w:val="Quote"/>
    <w:basedOn w:val="Heading1"/>
    <w:link w:val="QuoteChar"/>
    <w:qFormat/>
    <w:rsid w:val="0078109F"/>
    <w:rPr>
      <w:b w:val="0"/>
      <w:sz w:val="72"/>
      <w:szCs w:val="72"/>
      <w:lang w:val="en-NZ"/>
    </w:rPr>
  </w:style>
  <w:style w:type="character" w:customStyle="1" w:styleId="QuoteChar">
    <w:name w:val="Quote Char"/>
    <w:basedOn w:val="DefaultParagraphFont"/>
    <w:link w:val="Quote"/>
    <w:rsid w:val="007810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09F"/>
    <w:pPr>
      <w:pageBreakBefore/>
    </w:pPr>
  </w:style>
  <w:style w:type="paragraph" w:customStyle="1" w:styleId="Border">
    <w:name w:val="Border"/>
    <w:basedOn w:val="Normal"/>
    <w:qFormat/>
    <w:rsid w:val="007810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09F"/>
    <w:rPr>
      <w:b/>
      <w:bCs/>
      <w:i/>
      <w:iCs/>
      <w:color w:val="auto"/>
    </w:rPr>
  </w:style>
  <w:style w:type="paragraph" w:styleId="IntenseQuote">
    <w:name w:val="Intense Quote"/>
    <w:basedOn w:val="Normal"/>
    <w:next w:val="Normal"/>
    <w:link w:val="IntenseQuoteChar"/>
    <w:uiPriority w:val="30"/>
    <w:qFormat/>
    <w:rsid w:val="007810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0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109F"/>
    <w:rPr>
      <w:smallCaps/>
      <w:color w:val="auto"/>
      <w:u w:val="single"/>
    </w:rPr>
  </w:style>
  <w:style w:type="character" w:styleId="IntenseReference">
    <w:name w:val="Intense Reference"/>
    <w:basedOn w:val="DefaultParagraphFont"/>
    <w:uiPriority w:val="32"/>
    <w:qFormat/>
    <w:rsid w:val="0078109F"/>
    <w:rPr>
      <w:b/>
      <w:bCs/>
      <w:smallCaps/>
      <w:color w:val="auto"/>
      <w:spacing w:val="5"/>
      <w:u w:val="single"/>
    </w:rPr>
  </w:style>
  <w:style w:type="paragraph" w:customStyle="1" w:styleId="2ColumnHeading">
    <w:name w:val="2Column Heading"/>
    <w:basedOn w:val="BodyText"/>
    <w:qFormat/>
    <w:rsid w:val="0078109F"/>
    <w:pPr>
      <w:spacing w:after="60"/>
      <w:ind w:left="-2268"/>
    </w:pPr>
    <w:rPr>
      <w:b/>
    </w:rPr>
  </w:style>
  <w:style w:type="paragraph" w:customStyle="1" w:styleId="Heading1TOC">
    <w:name w:val="Heading1 TOC"/>
    <w:basedOn w:val="Normal"/>
    <w:qFormat/>
    <w:rsid w:val="0078109F"/>
    <w:pPr>
      <w:spacing w:before="240" w:after="120"/>
    </w:pPr>
    <w:rPr>
      <w:rFonts w:ascii="Times New Roman" w:hAnsi="Times New Roman"/>
      <w:b/>
      <w:sz w:val="32"/>
    </w:rPr>
  </w:style>
  <w:style w:type="paragraph" w:customStyle="1" w:styleId="Heading2TOC">
    <w:name w:val="Heading2 TOC"/>
    <w:basedOn w:val="Normal"/>
    <w:qFormat/>
    <w:rsid w:val="0078109F"/>
    <w:pPr>
      <w:spacing w:before="240" w:after="60"/>
    </w:pPr>
    <w:rPr>
      <w:rFonts w:ascii="Times New Roman" w:hAnsi="Times New Roman"/>
      <w:b/>
      <w:sz w:val="28"/>
    </w:rPr>
  </w:style>
  <w:style w:type="character" w:customStyle="1" w:styleId="Underline">
    <w:name w:val="Underline"/>
    <w:basedOn w:val="DefaultParagraphFont"/>
    <w:qFormat/>
    <w:rsid w:val="0078109F"/>
    <w:rPr>
      <w:u w:val="single"/>
    </w:rPr>
  </w:style>
  <w:style w:type="character" w:customStyle="1" w:styleId="BoldandItalics">
    <w:name w:val="Bold and Italics"/>
    <w:qFormat/>
    <w:rsid w:val="0078109F"/>
    <w:rPr>
      <w:b/>
      <w:i/>
      <w:u w:val="none"/>
    </w:rPr>
  </w:style>
  <w:style w:type="paragraph" w:styleId="BalloonText">
    <w:name w:val="Balloon Text"/>
    <w:basedOn w:val="Normal"/>
    <w:link w:val="BalloonTextChar"/>
    <w:rsid w:val="0078109F"/>
    <w:rPr>
      <w:rFonts w:ascii="Tahoma" w:hAnsi="Tahoma" w:cs="Tahoma"/>
      <w:sz w:val="16"/>
      <w:szCs w:val="16"/>
    </w:rPr>
  </w:style>
  <w:style w:type="character" w:customStyle="1" w:styleId="BalloonTextChar">
    <w:name w:val="Balloon Text Char"/>
    <w:basedOn w:val="DefaultParagraphFont"/>
    <w:link w:val="BalloonText"/>
    <w:rsid w:val="007810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10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0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109F"/>
    <w:rPr>
      <w:b/>
      <w:color w:val="660033"/>
      <w:spacing w:val="0"/>
    </w:rPr>
  </w:style>
  <w:style w:type="paragraph" w:customStyle="1" w:styleId="Nameditemlist">
    <w:name w:val="Named item list"/>
    <w:basedOn w:val="BodyText"/>
    <w:qFormat/>
    <w:rsid w:val="007810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2685</Words>
  <Characters>16799</Characters>
  <Application>Microsoft Office Word</Application>
  <DocSecurity>0</DocSecurity>
  <Lines>670</Lines>
  <Paragraphs>264</Paragraphs>
  <ScaleCrop>false</ScaleCrop>
  <Company>Author-it Software Corporation Ltd.</Company>
  <LinksUpToDate>false</LinksUpToDate>
  <CharactersWithSpaces>19270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UETTDRIS36A Install and maintain low voltage services in remote communities (overhead)</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2012-10-10T01:00:00Z</dcterms:created>
  <dcterms:modified xsi:type="dcterms:W3CDTF">2012-10-10T01:00:00Z</dcterms:modified>
</cp:coreProperties>
</file>