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07A" w:rsidP="00BB107A">
      <w:pPr>
        <w:pStyle w:val="Title"/>
      </w:pPr>
      <w:r>
        <w:fldChar w:fldCharType="begin"/>
      </w:r>
      <w:r>
        <w:instrText xml:space="preserve"> TITLE   \* MERGEFORMAT </w:instrText>
      </w:r>
      <w:r>
        <w:fldChar w:fldCharType="separate"/>
      </w:r>
      <w:r>
        <w:t>UETTDRIS35A Perform remote community network field switching to a given schedule</w:t>
      </w:r>
      <w:r>
        <w:fldChar w:fldCharType="end"/>
      </w:r>
    </w:p>
    <w:p w:rsidR="00BB107A" w:rsidP="00BB107A">
      <w:pPr>
        <w:pStyle w:val="Version"/>
        <w:sectPr w:rsidSect="000E7C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7C1D" w:rsidP="000E7C1D">
      <w:pPr>
        <w:pStyle w:val="SuperHeading"/>
      </w:pPr>
      <w:r w:rsidRPr="000E7C1D">
        <w:t>UETTDRIS35A Perform remote community network field switching to a given schedule</w:t>
      </w:r>
    </w:p>
    <w:p w:rsidR="00000000" w:rsidRPr="000E7C1D" w:rsidP="000E7C1D">
      <w:pPr>
        <w:pStyle w:val="Heading1"/>
      </w:pPr>
      <w:bookmarkStart w:id="1" w:name="O_462379"/>
      <w:bookmarkEnd w:id="1"/>
      <w:r w:rsidRPr="000E7C1D">
        <w:t>Modification History</w:t>
      </w:r>
    </w:p>
    <w:p w:rsidR="00000000" w:rsidRPr="000E7C1D" w:rsidP="000E7C1D">
      <w:pPr>
        <w:pStyle w:val="BodyText"/>
      </w:pPr>
      <w:r w:rsidRPr="000E7C1D">
        <w:t>Not applicable.</w:t>
      </w:r>
    </w:p>
    <w:p w:rsidR="00000000" w:rsidRPr="000E7C1D" w:rsidP="000E7C1D">
      <w:pPr>
        <w:pStyle w:val="AllowPageBreak"/>
      </w:pPr>
    </w:p>
    <w:p w:rsidR="00000000" w:rsidRPr="000E7C1D" w:rsidP="000E7C1D">
      <w:pPr>
        <w:pStyle w:val="Heading1"/>
      </w:pPr>
      <w:bookmarkStart w:id="2" w:name="O_462377"/>
      <w:bookmarkEnd w:id="2"/>
      <w:r w:rsidRPr="000E7C1D">
        <w:t>Unit Descriptor</w:t>
      </w:r>
    </w:p>
    <w:tbl>
      <w:tblPr>
        <w:tblW w:w="0" w:type="auto"/>
        <w:tblLayout w:type="fixed"/>
        <w:tblCellMar>
          <w:left w:w="62" w:type="dxa"/>
          <w:right w:w="62" w:type="dxa"/>
        </w:tblCellMar>
        <w:tblLook w:val="0000"/>
      </w:tblPr>
      <w:tblGrid>
        <w:gridCol w:w="2700"/>
        <w:gridCol w:w="5760"/>
      </w:tblGrid>
      <w:tr w:rsidTr="00BB10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rPr>
                <w:rStyle w:val="SpecialBold"/>
              </w:rPr>
              <w:t>1)</w:t>
            </w:r>
            <w:r w:rsidRPr="000E7C1D">
              <w:t xml:space="preserve"> </w:t>
            </w:r>
            <w:r w:rsidRPr="000E7C1D">
              <w:rPr>
                <w:rStyle w:val="SpecialBold"/>
              </w:rPr>
              <w:t>Scope:</w:t>
            </w:r>
          </w:p>
        </w:tc>
      </w:tr>
      <w:tr w:rsidTr="00BB1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E7C1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rPr>
                <w:rStyle w:val="SpecialBold"/>
              </w:rPr>
              <w:t>1.1) Descriptor</w:t>
            </w:r>
          </w:p>
        </w:tc>
      </w:tr>
      <w:tr w:rsidTr="00BB1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t xml:space="preserve">This Competency Standard Unit covers the conducting of low voltage network field switching operations involving the operation of circuit breaking and isolation devices from a given switching schedule and in accordance with enterprise procedures. It covers </w:t>
            </w:r>
            <w:r w:rsidRPr="000E7C1D">
              <w:t>low voltage distribution systems in remote community situations but also includes paralleling in accordance with the switching schedule. It also encompasses the procedure of; communicating with the Switching Control Officer or Electrical Control Officer, i</w:t>
            </w:r>
            <w:r w:rsidRPr="000E7C1D">
              <w:t>solating the electrical equipment and the line or work site, as well as proving that the area is de-energised and earthed, issuing/accepting electrical permits and the returning of the affected circuits to service.</w:t>
            </w:r>
          </w:p>
        </w:tc>
      </w:tr>
    </w:tbl>
    <w:p w:rsidR="00000000" w:rsidRPr="000E7C1D" w:rsidP="000E7C1D">
      <w:pPr>
        <w:pStyle w:val="BodyText"/>
      </w:pPr>
    </w:p>
    <w:p w:rsidR="00000000" w:rsidRPr="000E7C1D" w:rsidP="000E7C1D">
      <w:pPr>
        <w:pStyle w:val="AllowPageBreak"/>
      </w:pPr>
    </w:p>
    <w:p w:rsidR="00000000" w:rsidRPr="000E7C1D" w:rsidP="000E7C1D">
      <w:pPr>
        <w:pStyle w:val="Heading1"/>
      </w:pPr>
      <w:bookmarkStart w:id="3" w:name="O_462366"/>
      <w:bookmarkEnd w:id="3"/>
      <w:r w:rsidRPr="000E7C1D">
        <w:t>Application of the Uni</w:t>
      </w:r>
      <w:r w:rsidRPr="000E7C1D">
        <w:t>t</w:t>
      </w:r>
    </w:p>
    <w:tbl>
      <w:tblPr>
        <w:tblW w:w="0" w:type="auto"/>
        <w:tblLayout w:type="fixed"/>
        <w:tblCellMar>
          <w:left w:w="62" w:type="dxa"/>
          <w:right w:w="62" w:type="dxa"/>
        </w:tblCellMar>
        <w:tblLook w:val="0000"/>
      </w:tblPr>
      <w:tblGrid>
        <w:gridCol w:w="2672"/>
        <w:gridCol w:w="5699"/>
      </w:tblGrid>
      <w:tr w:rsidTr="00BB107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rPr>
                <w:rStyle w:val="SpecialBold"/>
              </w:rPr>
              <w:t>2)</w:t>
            </w:r>
          </w:p>
        </w:tc>
      </w:tr>
      <w:tr w:rsidTr="00BB107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t>This Competency Standard Unit is intended to augment formally acquired competencies. It is suitable for employment-based programs under an approved contract of training.</w:t>
            </w:r>
          </w:p>
        </w:tc>
      </w:tr>
    </w:tbl>
    <w:p w:rsidR="00000000" w:rsidRPr="000E7C1D" w:rsidP="000E7C1D">
      <w:pPr>
        <w:pStyle w:val="BodyText"/>
      </w:pPr>
    </w:p>
    <w:p w:rsidR="00000000" w:rsidRPr="000E7C1D" w:rsidP="000E7C1D">
      <w:pPr>
        <w:pStyle w:val="AllowPageBreak"/>
      </w:pPr>
    </w:p>
    <w:p w:rsidR="00000000" w:rsidRPr="000E7C1D" w:rsidP="000E7C1D">
      <w:pPr>
        <w:pStyle w:val="Heading1"/>
      </w:pPr>
      <w:bookmarkStart w:id="4" w:name="O_462373"/>
      <w:bookmarkEnd w:id="4"/>
      <w:r w:rsidRPr="000E7C1D">
        <w:t>Licensing/Regulatory Information</w:t>
      </w:r>
    </w:p>
    <w:tbl>
      <w:tblPr>
        <w:tblW w:w="0" w:type="auto"/>
        <w:tblLayout w:type="fixed"/>
        <w:tblCellMar>
          <w:left w:w="62" w:type="dxa"/>
          <w:right w:w="62" w:type="dxa"/>
        </w:tblCellMar>
        <w:tblLook w:val="0000"/>
      </w:tblPr>
      <w:tblGrid>
        <w:gridCol w:w="2700"/>
        <w:gridCol w:w="5760"/>
      </w:tblGrid>
      <w:tr w:rsidTr="00BB10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rPr>
                <w:rStyle w:val="SpecialBold"/>
              </w:rPr>
              <w:t xml:space="preserve">3) </w:t>
            </w:r>
          </w:p>
        </w:tc>
      </w:tr>
      <w:tr w:rsidTr="00BB1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t xml:space="preserve">The skills and knowledge described in this unit may </w:t>
            </w:r>
            <w:r w:rsidRPr="000E7C1D">
              <w:t xml:space="preserve">require a licence/registration to practice in the work place subject to regulations for undertaking of electrical work. Practice in workplace and during training is also subject </w:t>
            </w:r>
            <w:r w:rsidRPr="000E7C1D">
              <w:t>to regulations directly related to Occupational Health and Safety, electricity/telecommunications/gas/water industry safety and compliance, industrial relations, environmental protection, anti discrimination and training. Commonwealth, State/Territory or L</w:t>
            </w:r>
            <w:r w:rsidRPr="000E7C1D">
              <w:t>ocal Government legislation and regulations may exist that limits the age of operating certain equipment.</w:t>
            </w:r>
          </w:p>
        </w:tc>
      </w:tr>
    </w:tbl>
    <w:p w:rsidR="00000000" w:rsidRPr="000E7C1D" w:rsidP="000E7C1D">
      <w:pPr>
        <w:pStyle w:val="BodyText"/>
      </w:pPr>
    </w:p>
    <w:p w:rsidR="00000000" w:rsidRPr="000E7C1D" w:rsidP="000E7C1D">
      <w:pPr>
        <w:pStyle w:val="AllowPageBreak"/>
      </w:pPr>
    </w:p>
    <w:p w:rsidR="00000000" w:rsidRPr="000E7C1D" w:rsidP="000E7C1D">
      <w:pPr>
        <w:pStyle w:val="Heading1"/>
      </w:pPr>
      <w:bookmarkStart w:id="5" w:name="O_462374"/>
      <w:bookmarkEnd w:id="5"/>
      <w:r w:rsidRPr="000E7C1D">
        <w:t>Pre-Requisites</w:t>
      </w:r>
    </w:p>
    <w:tbl>
      <w:tblPr>
        <w:tblW w:w="0" w:type="auto"/>
        <w:tblLayout w:type="fixed"/>
        <w:tblCellMar>
          <w:left w:w="62" w:type="dxa"/>
          <w:right w:w="62" w:type="dxa"/>
        </w:tblCellMar>
        <w:tblLook w:val="0000"/>
      </w:tblPr>
      <w:tblGrid>
        <w:gridCol w:w="2700"/>
        <w:gridCol w:w="1980"/>
        <w:gridCol w:w="3780"/>
      </w:tblGrid>
      <w:tr w:rsidTr="00BB10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rPr>
                <w:rStyle w:val="SpecialBold"/>
              </w:rPr>
              <w:t xml:space="preserve">4) </w:t>
            </w:r>
          </w:p>
        </w:tc>
      </w:tr>
      <w:tr w:rsidTr="00BB1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rPr>
                <w:rStyle w:val="SpecialBold"/>
              </w:rPr>
              <w:t>4.1)</w:t>
            </w:r>
          </w:p>
        </w:tc>
      </w:tr>
      <w:tr w:rsidTr="00BB1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t>Granting of competency in this unit shall be made only after competency in the following unit(s) has/have been confirmed.</w:t>
            </w:r>
          </w:p>
          <w:p w:rsidR="00000000" w:rsidRPr="000E7C1D" w:rsidP="000E7C1D">
            <w:pPr>
              <w:pStyle w:val="BodyText"/>
            </w:pPr>
            <w:r w:rsidRPr="000E7C1D">
              <w:t>Where pre-requisite pathways have been identified. All competencies in the Common Unit Group must be have been completed.</w:t>
            </w:r>
          </w:p>
          <w:p w:rsidR="00000000" w:rsidP="000E7C1D">
            <w:pPr>
              <w:pStyle w:val="BodyText"/>
              <w:rPr>
                <w:lang w:val="en-NZ"/>
              </w:rPr>
            </w:pPr>
            <w:r w:rsidRPr="000E7C1D">
              <w:t xml:space="preserve">Common Unit </w:t>
            </w:r>
            <w:r w:rsidRPr="000E7C1D">
              <w:t>Group</w:t>
            </w:r>
          </w:p>
        </w:tc>
      </w:tr>
      <w:tr w:rsidTr="00BB1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Unit Code</w:t>
            </w:r>
            <w:r w:rsidRPr="000E7C1D">
              <w:tab/>
            </w:r>
          </w:p>
        </w:tc>
        <w:tc>
          <w:tcPr>
            <w:tcW w:w="3780" w:type="dxa"/>
            <w:tcBorders>
              <w:top w:val="nil"/>
              <w:left w:val="nil"/>
              <w:bottom w:val="nil"/>
              <w:right w:val="nil"/>
            </w:tcBorders>
            <w:tcMar>
              <w:top w:w="0" w:type="dxa"/>
              <w:left w:w="62" w:type="dxa"/>
              <w:bottom w:w="0" w:type="dxa"/>
              <w:right w:w="62" w:type="dxa"/>
            </w:tcMar>
            <w:vAlign w:val="bottom"/>
          </w:tcPr>
          <w:p w:rsidR="00000000" w:rsidP="000E7C1D">
            <w:pPr>
              <w:pStyle w:val="BodyText"/>
              <w:rPr>
                <w:lang w:val="en-NZ"/>
              </w:rPr>
            </w:pPr>
            <w:r w:rsidRPr="000E7C1D">
              <w:t>Unit Title</w:t>
            </w:r>
          </w:p>
        </w:tc>
      </w:tr>
      <w:tr w:rsidTr="00BB1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UEENEEE101A</w:t>
            </w:r>
          </w:p>
        </w:tc>
        <w:tc>
          <w:tcPr>
            <w:tcW w:w="3780" w:type="dxa"/>
            <w:tcBorders>
              <w:top w:val="nil"/>
              <w:left w:val="nil"/>
              <w:bottom w:val="nil"/>
              <w:right w:val="nil"/>
            </w:tcBorders>
            <w:tcMar>
              <w:top w:w="0" w:type="dxa"/>
              <w:left w:w="62" w:type="dxa"/>
              <w:bottom w:w="0" w:type="dxa"/>
              <w:right w:w="62" w:type="dxa"/>
            </w:tcMar>
            <w:vAlign w:val="bottom"/>
          </w:tcPr>
          <w:p w:rsidR="00000000" w:rsidP="000E7C1D">
            <w:pPr>
              <w:pStyle w:val="BodyText"/>
              <w:rPr>
                <w:lang w:val="en-NZ"/>
              </w:rPr>
            </w:pPr>
            <w:r w:rsidRPr="000E7C1D">
              <w:t>Apply Occupational Health and Safety regulations, codes and practices in the workplace</w:t>
            </w:r>
          </w:p>
        </w:tc>
      </w:tr>
      <w:tr w:rsidTr="00BB1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UEENEEE102A</w:t>
            </w:r>
          </w:p>
        </w:tc>
        <w:tc>
          <w:tcPr>
            <w:tcW w:w="3780" w:type="dxa"/>
            <w:tcBorders>
              <w:top w:val="nil"/>
              <w:left w:val="nil"/>
              <w:bottom w:val="nil"/>
              <w:right w:val="nil"/>
            </w:tcBorders>
            <w:tcMar>
              <w:top w:w="0" w:type="dxa"/>
              <w:left w:w="62" w:type="dxa"/>
              <w:bottom w:w="0" w:type="dxa"/>
              <w:right w:w="62" w:type="dxa"/>
            </w:tcMar>
            <w:vAlign w:val="bottom"/>
          </w:tcPr>
          <w:p w:rsidR="00000000" w:rsidP="000E7C1D">
            <w:pPr>
              <w:pStyle w:val="BodyText"/>
              <w:rPr>
                <w:lang w:val="en-NZ"/>
              </w:rPr>
            </w:pPr>
            <w:r w:rsidRPr="000E7C1D">
              <w:t>Fabricate, assemble and dismantle utilities industry components</w:t>
            </w:r>
          </w:p>
        </w:tc>
      </w:tr>
      <w:tr w:rsidTr="00BB1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UEENEEE105A</w:t>
            </w:r>
          </w:p>
        </w:tc>
        <w:tc>
          <w:tcPr>
            <w:tcW w:w="3780" w:type="dxa"/>
            <w:tcBorders>
              <w:top w:val="nil"/>
              <w:left w:val="nil"/>
              <w:bottom w:val="nil"/>
              <w:right w:val="nil"/>
            </w:tcBorders>
            <w:tcMar>
              <w:top w:w="0" w:type="dxa"/>
              <w:left w:w="62" w:type="dxa"/>
              <w:bottom w:w="0" w:type="dxa"/>
              <w:right w:w="62" w:type="dxa"/>
            </w:tcMar>
            <w:vAlign w:val="bottom"/>
          </w:tcPr>
          <w:p w:rsidR="00000000" w:rsidP="000E7C1D">
            <w:pPr>
              <w:pStyle w:val="BodyText"/>
              <w:rPr>
                <w:lang w:val="en-NZ"/>
              </w:rPr>
            </w:pPr>
            <w:r w:rsidRPr="000E7C1D">
              <w:t>Fix and secure electrotechnology equipment</w:t>
            </w:r>
          </w:p>
        </w:tc>
      </w:tr>
      <w:tr w:rsidTr="00BB1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UEENEEE107A</w:t>
            </w:r>
          </w:p>
        </w:tc>
        <w:tc>
          <w:tcPr>
            <w:tcW w:w="3780" w:type="dxa"/>
            <w:tcBorders>
              <w:top w:val="nil"/>
              <w:left w:val="nil"/>
              <w:bottom w:val="nil"/>
              <w:right w:val="nil"/>
            </w:tcBorders>
            <w:tcMar>
              <w:top w:w="0" w:type="dxa"/>
              <w:left w:w="62" w:type="dxa"/>
              <w:bottom w:w="0" w:type="dxa"/>
              <w:right w:w="62" w:type="dxa"/>
            </w:tcMar>
            <w:vAlign w:val="bottom"/>
          </w:tcPr>
          <w:p w:rsidR="00000000" w:rsidP="000E7C1D">
            <w:pPr>
              <w:pStyle w:val="BodyText"/>
              <w:rPr>
                <w:lang w:val="en-NZ"/>
              </w:rPr>
            </w:pPr>
            <w:r w:rsidRPr="000E7C1D">
              <w:t>Use drawings, diagrams, schedules, standards, codes and specifications</w:t>
            </w:r>
          </w:p>
        </w:tc>
      </w:tr>
      <w:tr w:rsidTr="00BB1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UEENEEE137A</w:t>
            </w:r>
          </w:p>
        </w:tc>
        <w:tc>
          <w:tcPr>
            <w:tcW w:w="3780" w:type="dxa"/>
            <w:tcBorders>
              <w:top w:val="nil"/>
              <w:left w:val="nil"/>
              <w:bottom w:val="nil"/>
              <w:right w:val="nil"/>
            </w:tcBorders>
            <w:tcMar>
              <w:top w:w="0" w:type="dxa"/>
              <w:left w:w="62" w:type="dxa"/>
              <w:bottom w:w="0" w:type="dxa"/>
              <w:right w:w="62" w:type="dxa"/>
            </w:tcMar>
            <w:vAlign w:val="bottom"/>
          </w:tcPr>
          <w:p w:rsidR="00000000" w:rsidP="000E7C1D">
            <w:pPr>
              <w:pStyle w:val="BodyText"/>
              <w:rPr>
                <w:lang w:val="en-NZ"/>
              </w:rPr>
            </w:pPr>
            <w:r w:rsidRPr="000E7C1D">
              <w:t>Document and apply measures to control OHS risks associated with electrotechnology work</w:t>
            </w:r>
          </w:p>
        </w:tc>
      </w:tr>
      <w:tr w:rsidTr="00BB1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UEENEEK101A</w:t>
            </w:r>
          </w:p>
        </w:tc>
        <w:tc>
          <w:tcPr>
            <w:tcW w:w="3780" w:type="dxa"/>
            <w:tcBorders>
              <w:top w:val="nil"/>
              <w:left w:val="nil"/>
              <w:bottom w:val="nil"/>
              <w:right w:val="nil"/>
            </w:tcBorders>
            <w:tcMar>
              <w:top w:w="0" w:type="dxa"/>
              <w:left w:w="62" w:type="dxa"/>
              <w:bottom w:w="0" w:type="dxa"/>
              <w:right w:w="62" w:type="dxa"/>
            </w:tcMar>
            <w:vAlign w:val="bottom"/>
          </w:tcPr>
          <w:p w:rsidR="00000000" w:rsidP="000E7C1D">
            <w:pPr>
              <w:pStyle w:val="BodyText"/>
              <w:rPr>
                <w:lang w:val="en-NZ"/>
              </w:rPr>
            </w:pPr>
            <w:r w:rsidRPr="000E7C1D">
              <w:t>Maintain saf</w:t>
            </w:r>
            <w:r w:rsidRPr="000E7C1D">
              <w:t>ety and tidiness of remote area power supply systems</w:t>
            </w:r>
          </w:p>
        </w:tc>
      </w:tr>
      <w:tr w:rsidTr="00BB1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UEENEEK102A</w:t>
            </w:r>
          </w:p>
        </w:tc>
        <w:tc>
          <w:tcPr>
            <w:tcW w:w="3780" w:type="dxa"/>
            <w:tcBorders>
              <w:top w:val="nil"/>
              <w:left w:val="nil"/>
              <w:bottom w:val="nil"/>
              <w:right w:val="nil"/>
            </w:tcBorders>
            <w:tcMar>
              <w:top w:w="0" w:type="dxa"/>
              <w:left w:w="62" w:type="dxa"/>
              <w:bottom w:w="0" w:type="dxa"/>
              <w:right w:w="62" w:type="dxa"/>
            </w:tcMar>
            <w:vAlign w:val="bottom"/>
          </w:tcPr>
          <w:p w:rsidR="00000000" w:rsidP="000E7C1D">
            <w:pPr>
              <w:pStyle w:val="BodyText"/>
              <w:rPr>
                <w:lang w:val="en-NZ"/>
              </w:rPr>
            </w:pPr>
            <w:r w:rsidRPr="000E7C1D">
              <w:t>Work safely with remote area power supply systems</w:t>
            </w:r>
          </w:p>
        </w:tc>
      </w:tr>
      <w:tr w:rsidTr="00BB1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UETTDREL12A</w:t>
            </w:r>
          </w:p>
        </w:tc>
        <w:tc>
          <w:tcPr>
            <w:tcW w:w="3780" w:type="dxa"/>
            <w:tcBorders>
              <w:top w:val="nil"/>
              <w:left w:val="nil"/>
              <w:bottom w:val="nil"/>
              <w:right w:val="nil"/>
            </w:tcBorders>
            <w:tcMar>
              <w:top w:w="0" w:type="dxa"/>
              <w:left w:w="62" w:type="dxa"/>
              <w:bottom w:w="0" w:type="dxa"/>
              <w:right w:w="62" w:type="dxa"/>
            </w:tcMar>
            <w:vAlign w:val="bottom"/>
          </w:tcPr>
          <w:p w:rsidR="00000000" w:rsidRPr="000E7C1D" w:rsidP="000E7C1D">
            <w:pPr>
              <w:pStyle w:val="BodyText"/>
            </w:pPr>
            <w:r w:rsidRPr="000E7C1D">
              <w:t xml:space="preserve">Operate plant and equipment near live electrical conductors and apparatus </w:t>
            </w:r>
          </w:p>
        </w:tc>
      </w:tr>
    </w:tbl>
    <w:p w:rsidR="00000000" w:rsidRPr="000E7C1D" w:rsidP="000E7C1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B107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rPr>
                <w:rStyle w:val="SpecialBold"/>
              </w:rPr>
              <w:t xml:space="preserve">4.2) </w:t>
            </w:r>
          </w:p>
        </w:tc>
      </w:tr>
      <w:tr w:rsidTr="00BB1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Participants are best equipped to achieve this unit if they have reading, writing and numeracy skills indicated by the following scales. Description of each scale is given in Volume 2, Part 3 “Literacy and Numeracy”</w:t>
            </w:r>
          </w:p>
        </w:tc>
      </w:tr>
      <w:tr w:rsidTr="00BB1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Reading</w:t>
            </w:r>
          </w:p>
        </w:tc>
        <w:tc>
          <w:tcPr>
            <w:tcW w:w="810"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3</w:t>
            </w:r>
          </w:p>
        </w:tc>
        <w:tc>
          <w:tcPr>
            <w:tcW w:w="990"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Writing</w:t>
            </w:r>
          </w:p>
        </w:tc>
        <w:tc>
          <w:tcPr>
            <w:tcW w:w="900"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3</w:t>
            </w:r>
          </w:p>
        </w:tc>
        <w:tc>
          <w:tcPr>
            <w:tcW w:w="1260"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Numeracy</w:t>
            </w:r>
          </w:p>
        </w:tc>
        <w:tc>
          <w:tcPr>
            <w:tcW w:w="720" w:type="dxa"/>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t>3</w:t>
            </w:r>
          </w:p>
        </w:tc>
      </w:tr>
    </w:tbl>
    <w:p w:rsidR="00000000" w:rsidRPr="000E7C1D" w:rsidP="000E7C1D">
      <w:pPr>
        <w:pStyle w:val="BodyText"/>
      </w:pPr>
    </w:p>
    <w:p w:rsidR="00000000" w:rsidRPr="000E7C1D" w:rsidP="000E7C1D">
      <w:pPr>
        <w:pStyle w:val="AllowPageBreak"/>
      </w:pPr>
    </w:p>
    <w:p w:rsidR="00000000" w:rsidRPr="000E7C1D" w:rsidP="000E7C1D">
      <w:pPr>
        <w:pStyle w:val="Heading1"/>
      </w:pPr>
      <w:bookmarkStart w:id="6" w:name="O_462370"/>
      <w:bookmarkEnd w:id="6"/>
      <w:r w:rsidRPr="000E7C1D">
        <w:t>Employability Skills Information</w:t>
      </w:r>
    </w:p>
    <w:tbl>
      <w:tblPr>
        <w:tblW w:w="0" w:type="auto"/>
        <w:tblLayout w:type="fixed"/>
        <w:tblCellMar>
          <w:left w:w="62" w:type="dxa"/>
          <w:right w:w="62" w:type="dxa"/>
        </w:tblCellMar>
        <w:tblLook w:val="0000"/>
      </w:tblPr>
      <w:tblGrid>
        <w:gridCol w:w="2700"/>
        <w:gridCol w:w="5760"/>
      </w:tblGrid>
      <w:tr w:rsidTr="00BB10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rPr>
                <w:rStyle w:val="SpecialBold"/>
              </w:rPr>
              <w:t xml:space="preserve">5) </w:t>
            </w:r>
          </w:p>
        </w:tc>
      </w:tr>
      <w:tr w:rsidTr="00BB1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t>The required outcomes described in this unit of competency contain applicable facets of Employability Skills. The Employability Skills Summary of the qualification in which this u</w:t>
            </w:r>
            <w:r w:rsidRPr="000E7C1D">
              <w:t>nit of competency is packaged will assist in identifying Employability Skill requirements.</w:t>
            </w:r>
          </w:p>
        </w:tc>
      </w:tr>
    </w:tbl>
    <w:p w:rsidR="00000000" w:rsidRPr="000E7C1D" w:rsidP="000E7C1D">
      <w:pPr>
        <w:pStyle w:val="BodyText"/>
      </w:pPr>
    </w:p>
    <w:p w:rsidR="00000000" w:rsidRPr="000E7C1D" w:rsidP="000E7C1D">
      <w:pPr>
        <w:pStyle w:val="AllowPageBreak"/>
      </w:pPr>
    </w:p>
    <w:p w:rsidR="00000000" w:rsidRPr="000E7C1D" w:rsidP="000E7C1D">
      <w:pPr>
        <w:pStyle w:val="Heading1"/>
      </w:pPr>
      <w:bookmarkStart w:id="7" w:name="O_462369"/>
      <w:bookmarkEnd w:id="7"/>
      <w:r w:rsidRPr="000E7C1D">
        <w:t>Elements and Performance Criteria Pre-Content</w:t>
      </w:r>
    </w:p>
    <w:tbl>
      <w:tblPr>
        <w:tblW w:w="0" w:type="auto"/>
        <w:tblLayout w:type="fixed"/>
        <w:tblCellMar>
          <w:left w:w="62" w:type="dxa"/>
          <w:right w:w="62" w:type="dxa"/>
        </w:tblCellMar>
        <w:tblLook w:val="0000"/>
      </w:tblPr>
      <w:tblGrid>
        <w:gridCol w:w="2700"/>
        <w:gridCol w:w="5760"/>
      </w:tblGrid>
      <w:tr w:rsidTr="00BB1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rPr>
                <w:rStyle w:val="SpecialBold"/>
              </w:rPr>
              <w:t>6)</w:t>
            </w:r>
            <w:r w:rsidRPr="000E7C1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t>Performance Criteria descr</w:t>
            </w:r>
            <w:r w:rsidRPr="000E7C1D">
              <w:t>ibe the required performance needed to demonstrate achievement of the element. Assessment of performance is to be consistent with the Evidence Guide.</w:t>
            </w:r>
          </w:p>
        </w:tc>
      </w:tr>
    </w:tbl>
    <w:p w:rsidR="00000000" w:rsidRPr="000E7C1D" w:rsidP="000E7C1D">
      <w:pPr>
        <w:pStyle w:val="BodyText"/>
      </w:pPr>
    </w:p>
    <w:p w:rsidR="00000000" w:rsidRPr="000E7C1D" w:rsidP="000E7C1D">
      <w:pPr>
        <w:pStyle w:val="AllowPageBreak"/>
      </w:pPr>
    </w:p>
    <w:p w:rsidR="00000000" w:rsidRPr="000E7C1D" w:rsidP="000E7C1D">
      <w:pPr>
        <w:pStyle w:val="Heading1"/>
      </w:pPr>
      <w:bookmarkStart w:id="8" w:name="O_462368"/>
      <w:bookmarkEnd w:id="8"/>
      <w:r w:rsidRPr="000E7C1D">
        <w:t>Elements and Performance Criteria</w:t>
      </w:r>
    </w:p>
    <w:tbl>
      <w:tblPr>
        <w:tblW w:w="0" w:type="auto"/>
        <w:tblLayout w:type="fixed"/>
        <w:tblCellMar>
          <w:left w:w="62" w:type="dxa"/>
          <w:right w:w="62" w:type="dxa"/>
        </w:tblCellMar>
        <w:tblLook w:val="0000"/>
      </w:tblPr>
      <w:tblGrid>
        <w:gridCol w:w="409"/>
        <w:gridCol w:w="2291"/>
        <w:gridCol w:w="759"/>
        <w:gridCol w:w="5001"/>
      </w:tblGrid>
      <w:tr w:rsidTr="00BB107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rPr>
                <w:rStyle w:val="SpecialBold"/>
              </w:rPr>
              <w:t>PERFORMANCE CRITERIA</w:t>
            </w:r>
          </w:p>
        </w:tc>
      </w:tr>
      <w:tr w:rsidTr="00BB107A">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1</w:t>
            </w:r>
          </w:p>
        </w:tc>
        <w:tc>
          <w:tcPr>
            <w:tcW w:w="229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Prepare for the LV field switching to a given schedule</w:t>
            </w:r>
          </w:p>
        </w:tc>
        <w:tc>
          <w:tcPr>
            <w:tcW w:w="75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1.1</w:t>
            </w:r>
          </w:p>
        </w:tc>
        <w:tc>
          <w:tcPr>
            <w:tcW w:w="500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Switching and work schedule(s), including drawings, plans, requirements, established procedures, and material lists, are received, analysed and confirmed, if necessary, by site inspection.</w:t>
            </w:r>
          </w:p>
        </w:tc>
      </w:tr>
      <w:tr w:rsidTr="00BB107A">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1.2</w:t>
            </w:r>
          </w:p>
        </w:tc>
        <w:tc>
          <w:tcPr>
            <w:tcW w:w="500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Relevant requirements and established procedures for the work are communicated to all personnel and identified for all work sites.</w:t>
            </w:r>
          </w:p>
        </w:tc>
      </w:tr>
      <w:tr w:rsidTr="00BB107A">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1.3</w:t>
            </w:r>
          </w:p>
        </w:tc>
        <w:tc>
          <w:tcPr>
            <w:tcW w:w="500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OHS policies and procedures related to requirements and established procedures for LV switching are obtained and confi</w:t>
            </w:r>
            <w:r w:rsidRPr="000E7C1D">
              <w:t>rmed for the purposes of the work to be performed and communicated.</w:t>
            </w:r>
          </w:p>
        </w:tc>
      </w:tr>
      <w:tr w:rsidTr="00BB107A">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1.4</w:t>
            </w:r>
          </w:p>
        </w:tc>
        <w:tc>
          <w:tcPr>
            <w:tcW w:w="500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Work is prioritised and sequenced following consultation with others for completion within acceptable timeframes and in accordance with established procedures.</w:t>
            </w:r>
          </w:p>
        </w:tc>
      </w:tr>
      <w:tr w:rsidTr="00BB107A">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1.5</w:t>
            </w:r>
          </w:p>
        </w:tc>
        <w:tc>
          <w:tcPr>
            <w:tcW w:w="500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Hazards are id</w:t>
            </w:r>
            <w:r w:rsidRPr="000E7C1D">
              <w:t>entified, OHS risks assessed and control measures are prioritised, implemented and monitored including emergency exits kept clear according to established procedures.</w:t>
            </w:r>
          </w:p>
        </w:tc>
      </w:tr>
      <w:tr w:rsidTr="00BB107A">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1.6</w:t>
            </w:r>
          </w:p>
        </w:tc>
        <w:tc>
          <w:tcPr>
            <w:tcW w:w="500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Relevant authority is obtained to perform work according to requirements and/or established procedures.</w:t>
            </w:r>
          </w:p>
        </w:tc>
      </w:tr>
      <w:tr w:rsidTr="00BB107A">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1.7</w:t>
            </w:r>
          </w:p>
        </w:tc>
        <w:tc>
          <w:tcPr>
            <w:tcW w:w="500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Resources including personnel, equipment, tools and personal protective equipment required for the job are obtained and confirmed in working orde</w:t>
            </w:r>
            <w:r w:rsidRPr="000E7C1D">
              <w:t>r.</w:t>
            </w:r>
          </w:p>
        </w:tc>
      </w:tr>
      <w:tr w:rsidTr="00BB107A">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1.8</w:t>
            </w:r>
          </w:p>
        </w:tc>
        <w:tc>
          <w:tcPr>
            <w:tcW w:w="500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Relevant personnel at worksite are confirmed current in First Aid and other related work procedures according to requirements.</w:t>
            </w:r>
          </w:p>
        </w:tc>
      </w:tr>
      <w:tr w:rsidTr="00BB107A">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1.9</w:t>
            </w:r>
          </w:p>
        </w:tc>
        <w:tc>
          <w:tcPr>
            <w:tcW w:w="500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Liaison and communication issues with other/authorised personnel, authorities, clients and land owners are resol</w:t>
            </w:r>
            <w:r w:rsidRPr="000E7C1D">
              <w:t>ved to carry out work where necessary.</w:t>
            </w:r>
          </w:p>
        </w:tc>
      </w:tr>
      <w:tr w:rsidTr="00BB107A">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1.10</w:t>
            </w:r>
          </w:p>
        </w:tc>
        <w:tc>
          <w:tcPr>
            <w:tcW w:w="500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Site is prepared according to the work schedule and to minimise risk and damage to property, commerce, and individuals in accordance with established procedures.</w:t>
            </w:r>
          </w:p>
        </w:tc>
      </w:tr>
      <w:tr w:rsidTr="00BB107A">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1.11</w:t>
            </w:r>
          </w:p>
        </w:tc>
        <w:tc>
          <w:tcPr>
            <w:tcW w:w="500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Personnel participating in the work, including plant operators and contractors, are fully briefed and respective responsibilities confirmed where applicable in accordance with established procedures.</w:t>
            </w:r>
          </w:p>
        </w:tc>
      </w:tr>
      <w:tr w:rsidTr="00BB107A">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1.12</w:t>
            </w:r>
          </w:p>
        </w:tc>
        <w:tc>
          <w:tcPr>
            <w:tcW w:w="500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Road signs, barriers and warning devices are pos</w:t>
            </w:r>
            <w:r w:rsidRPr="000E7C1D">
              <w:t>itioned in accordance with requirements.</w:t>
            </w:r>
          </w:p>
        </w:tc>
      </w:tr>
      <w:tr w:rsidTr="00BB107A">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2</w:t>
            </w:r>
          </w:p>
        </w:tc>
        <w:tc>
          <w:tcPr>
            <w:tcW w:w="229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Carry out LV field switching to a given schedule</w:t>
            </w:r>
          </w:p>
        </w:tc>
        <w:tc>
          <w:tcPr>
            <w:tcW w:w="75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2.1</w:t>
            </w:r>
          </w:p>
        </w:tc>
        <w:tc>
          <w:tcPr>
            <w:tcW w:w="500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OHS and sustainable energy principles and practices to reduce the incidents of accidents and minimise waste are monitored and followed in accordance with requi</w:t>
            </w:r>
            <w:r w:rsidRPr="000E7C1D">
              <w:t>rements and/or established procedures.</w:t>
            </w:r>
          </w:p>
        </w:tc>
      </w:tr>
      <w:tr w:rsidTr="00BB107A">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2.2</w:t>
            </w:r>
          </w:p>
        </w:tc>
        <w:tc>
          <w:tcPr>
            <w:tcW w:w="500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Lifting, climbing, working in confined spaces and aloft, and use of power tools/equipment, techniques and practices are safely followed and, currency according to requirements confirmed.</w:t>
            </w:r>
          </w:p>
        </w:tc>
      </w:tr>
      <w:tr w:rsidTr="00BB107A">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2.3</w:t>
            </w:r>
          </w:p>
        </w:tc>
        <w:tc>
          <w:tcPr>
            <w:tcW w:w="500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Essential knowledge and associated skills in the safe LV field switching to a given schedule are applied to ensure completion in an agreed timeframe and, to quality standards with a minimum of waste according to requirements.</w:t>
            </w:r>
          </w:p>
        </w:tc>
      </w:tr>
      <w:tr w:rsidTr="00BB107A">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2.4</w:t>
            </w:r>
          </w:p>
        </w:tc>
        <w:tc>
          <w:tcPr>
            <w:tcW w:w="500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Communications with Swi</w:t>
            </w:r>
            <w:r w:rsidRPr="000E7C1D">
              <w:t>tching Control Officer are established and maintained throughout the isolation operation according to established procedures.</w:t>
            </w:r>
          </w:p>
        </w:tc>
      </w:tr>
      <w:tr w:rsidTr="00BB107A">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2.5</w:t>
            </w:r>
          </w:p>
        </w:tc>
        <w:tc>
          <w:tcPr>
            <w:tcW w:w="500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Electrical equipment and associated circuits line/network or work site to be switched including paralleling is isolated and</w:t>
            </w:r>
            <w:r w:rsidRPr="000E7C1D">
              <w:t xml:space="preserve"> proved de-energised using appropriate devices and earthed where required according to requirements and established procedures.</w:t>
            </w:r>
          </w:p>
        </w:tc>
      </w:tr>
      <w:tr w:rsidTr="00BB107A">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2.6</w:t>
            </w:r>
          </w:p>
        </w:tc>
        <w:tc>
          <w:tcPr>
            <w:tcW w:w="500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Hazard warnings and safety signs are recognised and hazards and assessed OHS risks are reported to the immediate authoris</w:t>
            </w:r>
            <w:r w:rsidRPr="000E7C1D">
              <w:t>ed persons for directions according to established procedures.</w:t>
            </w:r>
          </w:p>
        </w:tc>
      </w:tr>
      <w:tr w:rsidTr="00BB107A">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2.7</w:t>
            </w:r>
          </w:p>
        </w:tc>
        <w:tc>
          <w:tcPr>
            <w:tcW w:w="500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Unplanned events occurring during LV field switching to a given schedule are responded to and undertaken within the scope of established procedures.</w:t>
            </w:r>
          </w:p>
        </w:tc>
      </w:tr>
      <w:tr w:rsidTr="00BB107A">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2.8</w:t>
            </w:r>
          </w:p>
        </w:tc>
        <w:tc>
          <w:tcPr>
            <w:tcW w:w="500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Known solutions to a variety of problems are applied using acquired essential knowledge and associated skills.</w:t>
            </w:r>
          </w:p>
        </w:tc>
      </w:tr>
      <w:tr w:rsidTr="00BB107A">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2.9</w:t>
            </w:r>
          </w:p>
        </w:tc>
        <w:tc>
          <w:tcPr>
            <w:tcW w:w="500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Ongoing checks of quality of the work are undertaken in accordance with instructions and established procedures</w:t>
            </w:r>
          </w:p>
        </w:tc>
      </w:tr>
      <w:tr w:rsidTr="00BB107A">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3</w:t>
            </w:r>
          </w:p>
        </w:tc>
        <w:tc>
          <w:tcPr>
            <w:tcW w:w="229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Complete the LV field s</w:t>
            </w:r>
            <w:r w:rsidRPr="000E7C1D">
              <w:t>witching to a given schedule</w:t>
            </w:r>
          </w:p>
        </w:tc>
        <w:tc>
          <w:tcPr>
            <w:tcW w:w="75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3.1</w:t>
            </w:r>
          </w:p>
        </w:tc>
        <w:tc>
          <w:tcPr>
            <w:tcW w:w="500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Work undertaken is checked against works schedule for conformance with requirements and anomalies reported in accordance with established procedures.</w:t>
            </w:r>
          </w:p>
        </w:tc>
      </w:tr>
      <w:tr w:rsidTr="00BB107A">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3.2</w:t>
            </w:r>
          </w:p>
        </w:tc>
        <w:tc>
          <w:tcPr>
            <w:tcW w:w="500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Accidents and/or injuries are reported in accordance with requirem</w:t>
            </w:r>
            <w:r w:rsidRPr="000E7C1D">
              <w:t>ents/established procedures, where applicable.</w:t>
            </w:r>
          </w:p>
        </w:tc>
      </w:tr>
      <w:tr w:rsidTr="00BB107A">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3.3</w:t>
            </w:r>
          </w:p>
        </w:tc>
        <w:tc>
          <w:tcPr>
            <w:tcW w:w="500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Work site is rehabilitated, cleaned up and made safe in accordance with established procedures.</w:t>
            </w:r>
          </w:p>
        </w:tc>
      </w:tr>
      <w:tr w:rsidTr="00BB107A">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3.4</w:t>
            </w:r>
          </w:p>
        </w:tc>
        <w:tc>
          <w:tcPr>
            <w:tcW w:w="500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Tools, equipment and any surplus resources and materials are, where appropriate, cleaned, checked and returned to storage in accordance with established procedures.</w:t>
            </w:r>
          </w:p>
        </w:tc>
      </w:tr>
      <w:tr w:rsidTr="00BB107A">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3.5</w:t>
            </w:r>
          </w:p>
        </w:tc>
        <w:tc>
          <w:tcPr>
            <w:tcW w:w="5001"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Relevant permit(s) are signed off, safety devices are removed, and the system is re-</w:t>
            </w:r>
            <w:r w:rsidRPr="000E7C1D">
              <w:t>energised and returned to service in accordance with requirements/established procedures.</w:t>
            </w:r>
          </w:p>
        </w:tc>
      </w:tr>
      <w:tr w:rsidTr="00BB107A">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9"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t>3.6</w:t>
            </w:r>
          </w:p>
        </w:tc>
        <w:tc>
          <w:tcPr>
            <w:tcW w:w="5001" w:type="dxa"/>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t>Works completion records, reports, as installed /modified drawing and/or documentation and information are finalised and processed and appropriate personnel an</w:t>
            </w:r>
            <w:r w:rsidRPr="000E7C1D">
              <w:t>d authority notified.</w:t>
            </w:r>
          </w:p>
        </w:tc>
      </w:tr>
    </w:tbl>
    <w:p w:rsidR="00000000" w:rsidRPr="000E7C1D" w:rsidP="000E7C1D">
      <w:pPr>
        <w:pStyle w:val="BodyText"/>
      </w:pPr>
    </w:p>
    <w:p w:rsidR="00000000" w:rsidRPr="000E7C1D" w:rsidP="000E7C1D">
      <w:pPr>
        <w:pStyle w:val="AllowPageBreak"/>
      </w:pPr>
    </w:p>
    <w:p w:rsidR="00000000" w:rsidRPr="000E7C1D" w:rsidP="000E7C1D">
      <w:pPr>
        <w:pStyle w:val="Heading1"/>
      </w:pPr>
      <w:bookmarkStart w:id="9" w:name="O_462376"/>
      <w:bookmarkEnd w:id="9"/>
      <w:r w:rsidRPr="000E7C1D">
        <w:t>Required Skills and Knowledge</w:t>
      </w:r>
    </w:p>
    <w:tbl>
      <w:tblPr>
        <w:tblW w:w="0" w:type="auto"/>
        <w:tblLayout w:type="fixed"/>
        <w:tblCellMar>
          <w:left w:w="62" w:type="dxa"/>
          <w:right w:w="62" w:type="dxa"/>
        </w:tblCellMar>
        <w:tblLook w:val="0000"/>
      </w:tblPr>
      <w:tblGrid>
        <w:gridCol w:w="8460"/>
      </w:tblGrid>
      <w:tr w:rsidTr="00BB107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rPr>
                <w:rStyle w:val="SpecialBold"/>
              </w:rPr>
              <w:t>REQUIRED SKILLS AND KNOWLEDGE</w:t>
            </w:r>
          </w:p>
        </w:tc>
      </w:tr>
      <w:tr w:rsidTr="00BB107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rPr>
                <w:rStyle w:val="SpecialBold"/>
              </w:rPr>
              <w:t>8)</w:t>
            </w:r>
            <w:r w:rsidRPr="000E7C1D">
              <w:t xml:space="preserve"> Essential Knowledge and Associated Skills (EKAS): This describes the essential skills and knowledge and their level, required for this unit.</w:t>
            </w:r>
          </w:p>
          <w:p w:rsidR="00000000" w:rsidRPr="000E7C1D" w:rsidP="000E7C1D">
            <w:pPr>
              <w:pStyle w:val="BodyText"/>
            </w:pPr>
            <w:r w:rsidRPr="000E7C1D">
              <w:t>Evidence shall show that knowledge has been acquired of performing high voltage field switching to a given schedule.</w:t>
            </w:r>
          </w:p>
          <w:p w:rsidR="00000000" w:rsidRPr="000E7C1D" w:rsidP="000E7C1D">
            <w:pPr>
              <w:pStyle w:val="BodyText"/>
            </w:pPr>
            <w:r w:rsidRPr="000E7C1D">
              <w:t>All knowledge and skills detailed in this unit should be contextualised to current industry practices and technologies.</w:t>
            </w:r>
          </w:p>
          <w:p w:rsidR="00000000" w:rsidRPr="000E7C1D" w:rsidP="000E7C1D">
            <w:pPr>
              <w:pStyle w:val="BodyText"/>
            </w:pPr>
            <w:r w:rsidRPr="000E7C1D">
              <w:t>KS01 –TIS35A</w:t>
            </w:r>
            <w:r w:rsidRPr="000E7C1D">
              <w:tab/>
              <w:t>Remote</w:t>
            </w:r>
            <w:r w:rsidRPr="000E7C1D">
              <w:t xml:space="preserve"> community network field switching </w:t>
            </w:r>
          </w:p>
          <w:p w:rsidR="00000000" w:rsidRPr="000E7C1D" w:rsidP="000E7C1D">
            <w:pPr>
              <w:pStyle w:val="BodyText"/>
            </w:pPr>
            <w:r w:rsidRPr="000E7C1D">
              <w:t>Evidence shall show an understanding of the remote community network field switching to an extent indicated by the following aspects:</w:t>
            </w:r>
          </w:p>
          <w:p w:rsidR="00000000" w:rsidRPr="000E7C1D" w:rsidP="000E7C1D">
            <w:pPr>
              <w:pStyle w:val="BodyText"/>
            </w:pPr>
            <w:r w:rsidRPr="000E7C1D">
              <w:t>T1</w:t>
            </w:r>
            <w:r w:rsidRPr="000E7C1D">
              <w:tab/>
              <w:t>Legislation, Standards, codes, legislation, supply authority regulations and or ent</w:t>
            </w:r>
            <w:r w:rsidRPr="000E7C1D">
              <w:t>erprise requirements applicable to system switching</w:t>
            </w:r>
          </w:p>
          <w:p w:rsidR="00000000" w:rsidRPr="000E7C1D" w:rsidP="000E7C1D">
            <w:pPr>
              <w:pStyle w:val="BodyText"/>
            </w:pPr>
            <w:r w:rsidRPr="000E7C1D">
              <w:t>T2</w:t>
            </w:r>
            <w:r w:rsidRPr="000E7C1D">
              <w:tab/>
              <w:t>Requirements for the use of manuals, system diagrams/plans and drawings encompassing:</w:t>
            </w:r>
          </w:p>
          <w:p w:rsidR="00000000" w:rsidRPr="000E7C1D" w:rsidP="000E7C1D">
            <w:pPr>
              <w:pStyle w:val="ListBullet"/>
            </w:pPr>
            <w:r w:rsidRPr="000E7C1D">
              <w:t>Types, characteristics and capabilities of electrical apparatus</w:t>
            </w:r>
          </w:p>
          <w:p w:rsidR="00000000" w:rsidRPr="000E7C1D" w:rsidP="000E7C1D">
            <w:pPr>
              <w:pStyle w:val="ListBullet"/>
            </w:pPr>
            <w:r w:rsidRPr="000E7C1D">
              <w:t>Use, characteristics and capabilities of specialis</w:t>
            </w:r>
            <w:r w:rsidRPr="000E7C1D">
              <w:t>ed tools and testing equipment</w:t>
            </w:r>
          </w:p>
          <w:p w:rsidR="00000000" w:rsidRPr="000E7C1D" w:rsidP="000E7C1D">
            <w:pPr>
              <w:pStyle w:val="ListBullet"/>
            </w:pPr>
            <w:r w:rsidRPr="000E7C1D">
              <w:t>LV network interconnectors for alternate sources of supply and possible backfeed.</w:t>
            </w:r>
          </w:p>
          <w:p w:rsidR="00000000" w:rsidRPr="000E7C1D" w:rsidP="000E7C1D">
            <w:pPr>
              <w:pStyle w:val="ListBullet"/>
            </w:pPr>
            <w:r w:rsidRPr="000E7C1D">
              <w:t xml:space="preserve">HV network interconnectors source of possible backfeed </w:t>
            </w:r>
          </w:p>
          <w:p w:rsidR="00000000" w:rsidRPr="000E7C1D" w:rsidP="000E7C1D">
            <w:pPr>
              <w:pStyle w:val="BodyText"/>
            </w:pPr>
            <w:r w:rsidRPr="000E7C1D">
              <w:t>T3</w:t>
            </w:r>
            <w:r w:rsidRPr="000E7C1D">
              <w:tab/>
              <w:t>Procedures for obtaining correct LV switching authorisation encompassing:</w:t>
            </w:r>
          </w:p>
          <w:p w:rsidR="00000000" w:rsidRPr="000E7C1D" w:rsidP="000E7C1D">
            <w:pPr>
              <w:pStyle w:val="ListBullet"/>
            </w:pPr>
            <w:r w:rsidRPr="000E7C1D">
              <w:t>Identification of hazards, assessing and controlling risks</w:t>
            </w:r>
          </w:p>
          <w:p w:rsidR="00000000" w:rsidRPr="000E7C1D" w:rsidP="000E7C1D">
            <w:pPr>
              <w:pStyle w:val="ListBullet"/>
            </w:pPr>
            <w:r w:rsidRPr="000E7C1D">
              <w:t>Safety procedures and precautions</w:t>
            </w:r>
          </w:p>
          <w:p w:rsidR="00000000" w:rsidRPr="000E7C1D" w:rsidP="000E7C1D">
            <w:pPr>
              <w:pStyle w:val="ListBullet"/>
            </w:pPr>
            <w:r w:rsidRPr="000E7C1D">
              <w:t>Safe approach distances</w:t>
            </w:r>
          </w:p>
          <w:p w:rsidR="00000000" w:rsidRPr="000E7C1D" w:rsidP="000E7C1D">
            <w:pPr>
              <w:pStyle w:val="ListBullet"/>
            </w:pPr>
            <w:r w:rsidRPr="000E7C1D">
              <w:t>Responsibilities and protocols</w:t>
            </w:r>
          </w:p>
          <w:p w:rsidR="00000000" w:rsidRPr="000E7C1D" w:rsidP="000E7C1D">
            <w:pPr>
              <w:pStyle w:val="ListBullet"/>
            </w:pPr>
            <w:r w:rsidRPr="000E7C1D">
              <w:t>Identifying switching resources</w:t>
            </w:r>
          </w:p>
          <w:p w:rsidR="00000000" w:rsidRPr="000E7C1D" w:rsidP="000E7C1D">
            <w:pPr>
              <w:pStyle w:val="ListBullet"/>
            </w:pPr>
            <w:r w:rsidRPr="000E7C1D">
              <w:t>Procedures for obtaining electrical access permits/authorities</w:t>
            </w:r>
          </w:p>
          <w:p w:rsidR="00000000" w:rsidRPr="000E7C1D" w:rsidP="000E7C1D">
            <w:pPr>
              <w:pStyle w:val="ListBullet"/>
            </w:pPr>
            <w:r w:rsidRPr="000E7C1D">
              <w:t xml:space="preserve">Requirements </w:t>
            </w:r>
            <w:r w:rsidRPr="000E7C1D">
              <w:t>for team switching</w:t>
            </w:r>
          </w:p>
          <w:p w:rsidR="00000000" w:rsidRPr="000E7C1D" w:rsidP="000E7C1D">
            <w:pPr>
              <w:pStyle w:val="ListBullet"/>
            </w:pPr>
            <w:r w:rsidRPr="000E7C1D">
              <w:t>Procedures for coordination of operations</w:t>
            </w:r>
          </w:p>
          <w:p w:rsidR="00000000" w:rsidRPr="000E7C1D" w:rsidP="000E7C1D">
            <w:pPr>
              <w:pStyle w:val="BodyText"/>
            </w:pPr>
            <w:r w:rsidRPr="000E7C1D">
              <w:t>T4</w:t>
            </w:r>
            <w:r w:rsidRPr="000E7C1D">
              <w:tab/>
              <w:t>Techniques in LV system switching encompassing:</w:t>
            </w:r>
          </w:p>
          <w:p w:rsidR="00000000" w:rsidRPr="000E7C1D" w:rsidP="000E7C1D">
            <w:pPr>
              <w:pStyle w:val="ListBullet"/>
            </w:pPr>
            <w:r w:rsidRPr="000E7C1D">
              <w:t>Isolation procedures and proving dead</w:t>
            </w:r>
          </w:p>
          <w:p w:rsidR="00000000" w:rsidRPr="000E7C1D" w:rsidP="000E7C1D">
            <w:pPr>
              <w:pStyle w:val="ListBullet"/>
            </w:pPr>
            <w:r w:rsidRPr="000E7C1D">
              <w:t>Pre-switching checks</w:t>
            </w:r>
          </w:p>
          <w:p w:rsidR="00000000" w:rsidRPr="000E7C1D" w:rsidP="000E7C1D">
            <w:pPr>
              <w:pStyle w:val="ListBullet"/>
            </w:pPr>
            <w:r w:rsidRPr="000E7C1D">
              <w:t>Switching operational procedures</w:t>
            </w:r>
          </w:p>
          <w:p w:rsidR="00000000" w:rsidRPr="000E7C1D" w:rsidP="000E7C1D">
            <w:pPr>
              <w:pStyle w:val="ListBullet"/>
            </w:pPr>
            <w:r w:rsidRPr="000E7C1D">
              <w:t>Emergency fault procedures</w:t>
            </w:r>
          </w:p>
          <w:p w:rsidR="00000000" w:rsidRPr="000E7C1D" w:rsidP="000E7C1D">
            <w:pPr>
              <w:pStyle w:val="ListBullet"/>
            </w:pPr>
            <w:r w:rsidRPr="000E7C1D">
              <w:t>Energisation procedures</w:t>
            </w:r>
          </w:p>
          <w:p w:rsidR="00000000" w:rsidRPr="000E7C1D" w:rsidP="000E7C1D">
            <w:pPr>
              <w:pStyle w:val="BodyText"/>
            </w:pPr>
            <w:r w:rsidRPr="000E7C1D">
              <w:t>T5</w:t>
            </w:r>
            <w:r w:rsidRPr="000E7C1D">
              <w:tab/>
              <w:t xml:space="preserve">Role of the HV switching operator </w:t>
            </w:r>
          </w:p>
          <w:p w:rsidR="00000000" w:rsidRPr="000E7C1D" w:rsidP="000E7C1D">
            <w:pPr>
              <w:pStyle w:val="BodyText"/>
            </w:pPr>
            <w:r w:rsidRPr="000E7C1D">
              <w:t>T6</w:t>
            </w:r>
            <w:r w:rsidRPr="000E7C1D">
              <w:tab/>
              <w:t>Procedures for obtaining correct HV switching authorisation encompassing:</w:t>
            </w:r>
          </w:p>
          <w:p w:rsidR="00000000" w:rsidRPr="000E7C1D" w:rsidP="000E7C1D">
            <w:pPr>
              <w:pStyle w:val="ListBullet"/>
            </w:pPr>
            <w:r w:rsidRPr="000E7C1D">
              <w:t>Identification of OHS hazards, assessing and controlling risks</w:t>
            </w:r>
          </w:p>
          <w:p w:rsidR="00000000" w:rsidRPr="000E7C1D" w:rsidP="000E7C1D">
            <w:pPr>
              <w:pStyle w:val="ListBullet"/>
            </w:pPr>
            <w:r w:rsidRPr="000E7C1D">
              <w:t>Safety procedures and precautions</w:t>
            </w:r>
          </w:p>
          <w:p w:rsidR="00000000" w:rsidRPr="000E7C1D" w:rsidP="000E7C1D">
            <w:pPr>
              <w:pStyle w:val="ListBullet"/>
            </w:pPr>
            <w:r w:rsidRPr="000E7C1D">
              <w:t>Safe approach distances</w:t>
            </w:r>
          </w:p>
          <w:p w:rsidR="00000000" w:rsidRPr="000E7C1D" w:rsidP="000E7C1D">
            <w:pPr>
              <w:pStyle w:val="ListBullet"/>
            </w:pPr>
            <w:r w:rsidRPr="000E7C1D">
              <w:t>Responsibilities and protocols</w:t>
            </w:r>
          </w:p>
          <w:p w:rsidR="00000000" w:rsidRPr="000E7C1D" w:rsidP="000E7C1D">
            <w:pPr>
              <w:pStyle w:val="ListBullet"/>
            </w:pPr>
            <w:r w:rsidRPr="000E7C1D">
              <w:t>Identifying switching resources</w:t>
            </w:r>
          </w:p>
          <w:p w:rsidR="00000000" w:rsidRPr="000E7C1D" w:rsidP="000E7C1D">
            <w:pPr>
              <w:pStyle w:val="ListBullet"/>
            </w:pPr>
            <w:r w:rsidRPr="000E7C1D">
              <w:t>Procedures for obtaining electrical access permits/authorities</w:t>
            </w:r>
          </w:p>
          <w:p w:rsidR="00000000" w:rsidRPr="000E7C1D" w:rsidP="000E7C1D">
            <w:pPr>
              <w:pStyle w:val="ListBullet"/>
            </w:pPr>
            <w:r w:rsidRPr="000E7C1D">
              <w:t>Requirements for team switching</w:t>
            </w:r>
          </w:p>
          <w:p w:rsidR="00000000" w:rsidRPr="000E7C1D" w:rsidP="000E7C1D">
            <w:pPr>
              <w:pStyle w:val="ListBullet"/>
            </w:pPr>
            <w:r w:rsidRPr="000E7C1D">
              <w:t>Procedures for coordination of operations</w:t>
            </w:r>
          </w:p>
          <w:p w:rsidR="00000000" w:rsidRPr="000E7C1D" w:rsidP="000E7C1D">
            <w:pPr>
              <w:pStyle w:val="BodyText"/>
            </w:pPr>
            <w:r w:rsidRPr="000E7C1D">
              <w:t>T7</w:t>
            </w:r>
            <w:r w:rsidRPr="000E7C1D">
              <w:tab/>
              <w:t>Use and operation of equipment associated with HV ove</w:t>
            </w:r>
            <w:r w:rsidRPr="000E7C1D">
              <w:t xml:space="preserve">rhead and substation equipment encompassing: </w:t>
            </w:r>
          </w:p>
          <w:p w:rsidR="00000000" w:rsidRPr="000E7C1D" w:rsidP="000E7C1D">
            <w:pPr>
              <w:pStyle w:val="ListBullet"/>
            </w:pPr>
            <w:r w:rsidRPr="000E7C1D">
              <w:t xml:space="preserve">Test instruments </w:t>
            </w:r>
          </w:p>
          <w:p w:rsidR="00000000" w:rsidRPr="000E7C1D" w:rsidP="000E7C1D">
            <w:pPr>
              <w:pStyle w:val="ListBullet"/>
            </w:pPr>
            <w:r w:rsidRPr="000E7C1D">
              <w:t xml:space="preserve">Sticks </w:t>
            </w:r>
          </w:p>
          <w:p w:rsidR="00000000" w:rsidRPr="000E7C1D" w:rsidP="000E7C1D">
            <w:pPr>
              <w:pStyle w:val="ListBullet"/>
            </w:pPr>
            <w:r w:rsidRPr="000E7C1D">
              <w:t xml:space="preserve">Interrupters </w:t>
            </w:r>
          </w:p>
          <w:p w:rsidR="00000000" w:rsidRPr="000E7C1D" w:rsidP="000E7C1D">
            <w:pPr>
              <w:pStyle w:val="ListBullet"/>
            </w:pPr>
            <w:r w:rsidRPr="000E7C1D">
              <w:t xml:space="preserve">Arc stranglers </w:t>
            </w:r>
          </w:p>
          <w:p w:rsidR="00000000" w:rsidRPr="000E7C1D" w:rsidP="000E7C1D">
            <w:pPr>
              <w:pStyle w:val="BodyText"/>
            </w:pPr>
            <w:r w:rsidRPr="000E7C1D">
              <w:t>T8</w:t>
            </w:r>
            <w:r w:rsidRPr="000E7C1D">
              <w:tab/>
              <w:t>Operation of protection systems and substation equipment</w:t>
            </w:r>
          </w:p>
          <w:p w:rsidR="00000000" w:rsidRPr="000E7C1D" w:rsidP="000E7C1D">
            <w:pPr>
              <w:pStyle w:val="ListBullet"/>
            </w:pPr>
            <w:r w:rsidRPr="000E7C1D">
              <w:t>Note: Examples include fault levels and settings; types and applications; protection systems</w:t>
            </w:r>
            <w:r w:rsidRPr="000E7C1D">
              <w:t xml:space="preserve"> and substation equipment fault levels and settings; types and applications</w:t>
            </w:r>
          </w:p>
          <w:p w:rsidR="00000000" w:rsidRPr="000E7C1D" w:rsidP="000E7C1D">
            <w:pPr>
              <w:pStyle w:val="BodyText"/>
            </w:pPr>
            <w:r w:rsidRPr="000E7C1D">
              <w:t>T9</w:t>
            </w:r>
            <w:r w:rsidRPr="000E7C1D">
              <w:tab/>
              <w:t xml:space="preserve">Types and categories of HV switchgear </w:t>
            </w:r>
          </w:p>
          <w:p w:rsidR="00000000" w:rsidRPr="000E7C1D" w:rsidP="000E7C1D">
            <w:pPr>
              <w:pStyle w:val="BodyText"/>
            </w:pPr>
            <w:r w:rsidRPr="000E7C1D">
              <w:t>T10</w:t>
            </w:r>
            <w:r w:rsidRPr="000E7C1D">
              <w:tab/>
              <w:t xml:space="preserve">Application, function and operating capabilities of switchgear </w:t>
            </w:r>
          </w:p>
          <w:p w:rsidR="00000000" w:rsidRPr="000E7C1D" w:rsidP="000E7C1D">
            <w:pPr>
              <w:pStyle w:val="BodyText"/>
            </w:pPr>
            <w:r w:rsidRPr="000E7C1D">
              <w:t>T11</w:t>
            </w:r>
            <w:r w:rsidRPr="000E7C1D">
              <w:tab/>
              <w:t xml:space="preserve">Restrictions pertaining to HV switching equipment </w:t>
            </w:r>
          </w:p>
          <w:p w:rsidR="00000000" w:rsidRPr="000E7C1D" w:rsidP="000E7C1D">
            <w:pPr>
              <w:pStyle w:val="BodyText"/>
            </w:pPr>
            <w:r w:rsidRPr="000E7C1D">
              <w:t>T12</w:t>
            </w:r>
            <w:r w:rsidRPr="000E7C1D">
              <w:tab/>
              <w:t xml:space="preserve">Procedures </w:t>
            </w:r>
            <w:r w:rsidRPr="000E7C1D">
              <w:t xml:space="preserve">for the isolation of HV transmission main and working earths </w:t>
            </w:r>
          </w:p>
          <w:p w:rsidR="00000000" w:rsidRPr="000E7C1D" w:rsidP="000E7C1D">
            <w:pPr>
              <w:pStyle w:val="BodyText"/>
            </w:pPr>
            <w:r w:rsidRPr="000E7C1D">
              <w:t>T13</w:t>
            </w:r>
            <w:r w:rsidRPr="000E7C1D">
              <w:tab/>
              <w:t>Earthing HV electrical apparatus practices and procedures for access encompassing:</w:t>
            </w:r>
          </w:p>
          <w:p w:rsidR="00000000" w:rsidRPr="000E7C1D" w:rsidP="000E7C1D">
            <w:pPr>
              <w:pStyle w:val="ListBullet"/>
            </w:pPr>
            <w:r w:rsidRPr="000E7C1D">
              <w:t xml:space="preserve">Purposes of Operational and additional work part - on-site earths </w:t>
            </w:r>
          </w:p>
          <w:p w:rsidR="00000000" w:rsidRPr="000E7C1D" w:rsidP="000E7C1D">
            <w:pPr>
              <w:pStyle w:val="ListBullet"/>
            </w:pPr>
            <w:r w:rsidRPr="000E7C1D">
              <w:t xml:space="preserve">Factors determining the location and effectiveness of Operational earthing </w:t>
            </w:r>
          </w:p>
          <w:p w:rsidR="00000000" w:rsidRPr="000E7C1D" w:rsidP="000E7C1D">
            <w:pPr>
              <w:pStyle w:val="ListBullet"/>
            </w:pPr>
            <w:r w:rsidRPr="000E7C1D">
              <w:t xml:space="preserve">Acceptable industry procedures </w:t>
            </w:r>
          </w:p>
          <w:p w:rsidR="00000000" w:rsidRPr="000E7C1D" w:rsidP="000E7C1D">
            <w:pPr>
              <w:pStyle w:val="ListBullet"/>
            </w:pPr>
            <w:r w:rsidRPr="000E7C1D">
              <w:t xml:space="preserve">Personal protective equipment </w:t>
            </w:r>
          </w:p>
          <w:p w:rsidR="00000000" w:rsidRPr="000E7C1D" w:rsidP="000E7C1D">
            <w:pPr>
              <w:pStyle w:val="BodyText"/>
            </w:pPr>
            <w:r w:rsidRPr="000E7C1D">
              <w:t>T14</w:t>
            </w:r>
            <w:r w:rsidRPr="000E7C1D">
              <w:tab/>
              <w:t xml:space="preserve">High voltage switching techniques </w:t>
            </w:r>
          </w:p>
          <w:p w:rsidR="00000000" w:rsidRPr="000E7C1D" w:rsidP="000E7C1D">
            <w:pPr>
              <w:pStyle w:val="ListBullet"/>
            </w:pPr>
            <w:r w:rsidRPr="000E7C1D">
              <w:t>Pre-switching checks</w:t>
            </w:r>
          </w:p>
          <w:p w:rsidR="00000000" w:rsidRPr="000E7C1D" w:rsidP="000E7C1D">
            <w:pPr>
              <w:pStyle w:val="ListBullet"/>
            </w:pPr>
            <w:r w:rsidRPr="000E7C1D">
              <w:t>Switching operational procedures</w:t>
            </w:r>
          </w:p>
          <w:p w:rsidR="00000000" w:rsidRPr="000E7C1D" w:rsidP="000E7C1D">
            <w:pPr>
              <w:pStyle w:val="ListBullet"/>
            </w:pPr>
            <w:r w:rsidRPr="000E7C1D">
              <w:t>Isolation procedures an</w:t>
            </w:r>
            <w:r w:rsidRPr="000E7C1D">
              <w:t>d proving dead/de-energised</w:t>
            </w:r>
          </w:p>
          <w:p w:rsidR="00000000" w:rsidRPr="000E7C1D" w:rsidP="000E7C1D">
            <w:pPr>
              <w:pStyle w:val="ListBullet"/>
            </w:pPr>
            <w:r w:rsidRPr="000E7C1D">
              <w:t>Earthing procedures</w:t>
            </w:r>
          </w:p>
          <w:p w:rsidR="00000000" w:rsidRPr="000E7C1D" w:rsidP="000E7C1D">
            <w:pPr>
              <w:pStyle w:val="ListBullet"/>
            </w:pPr>
            <w:r w:rsidRPr="000E7C1D">
              <w:t>Pre-switching checks</w:t>
            </w:r>
          </w:p>
          <w:p w:rsidR="00000000" w:rsidRPr="000E7C1D" w:rsidP="000E7C1D">
            <w:pPr>
              <w:pStyle w:val="ListBullet"/>
            </w:pPr>
            <w:r w:rsidRPr="000E7C1D">
              <w:t>Switching operational procedures</w:t>
            </w:r>
          </w:p>
          <w:p w:rsidR="00000000" w:rsidRPr="000E7C1D" w:rsidP="000E7C1D">
            <w:pPr>
              <w:pStyle w:val="ListBullet"/>
            </w:pPr>
            <w:r w:rsidRPr="000E7C1D">
              <w:t>Emergency fault procedures</w:t>
            </w:r>
          </w:p>
          <w:p w:rsidR="00000000" w:rsidRPr="000E7C1D" w:rsidP="000E7C1D">
            <w:pPr>
              <w:pStyle w:val="ListBullet"/>
            </w:pPr>
            <w:r w:rsidRPr="000E7C1D">
              <w:t>Energisation procedures</w:t>
            </w:r>
          </w:p>
          <w:p w:rsidR="00000000" w:rsidRPr="000E7C1D" w:rsidP="000E7C1D">
            <w:pPr>
              <w:pStyle w:val="BodyText"/>
            </w:pPr>
            <w:r w:rsidRPr="000E7C1D">
              <w:t>T15</w:t>
            </w:r>
            <w:r w:rsidRPr="000E7C1D">
              <w:tab/>
              <w:t>Application and function of SWER system components</w:t>
            </w:r>
          </w:p>
          <w:p w:rsidR="00000000" w:rsidRPr="000E7C1D" w:rsidP="000E7C1D">
            <w:pPr>
              <w:pStyle w:val="ListBullet"/>
            </w:pPr>
            <w:r w:rsidRPr="000E7C1D">
              <w:t>Circuit arrangement</w:t>
            </w:r>
          </w:p>
          <w:p w:rsidR="00000000" w:rsidRPr="000E7C1D" w:rsidP="000E7C1D">
            <w:pPr>
              <w:pStyle w:val="ListBullet"/>
            </w:pPr>
            <w:r w:rsidRPr="000E7C1D">
              <w:t>Principle of operation</w:t>
            </w:r>
          </w:p>
          <w:p w:rsidR="00000000" w:rsidRPr="000E7C1D" w:rsidP="000E7C1D">
            <w:pPr>
              <w:pStyle w:val="ListBullet"/>
            </w:pPr>
            <w:r w:rsidRPr="000E7C1D">
              <w:t>Haza</w:t>
            </w:r>
            <w:r w:rsidRPr="000E7C1D">
              <w:t>rds and procedures associated with faulty SWER earth systems</w:t>
            </w:r>
          </w:p>
          <w:p w:rsidR="00000000" w:rsidRPr="000E7C1D" w:rsidP="000E7C1D">
            <w:pPr>
              <w:pStyle w:val="ListBullet"/>
            </w:pPr>
            <w:r w:rsidRPr="000E7C1D">
              <w:t>Procedure to isolate, energise and commission SWER substations</w:t>
            </w:r>
          </w:p>
          <w:p w:rsidR="00000000" w:rsidRPr="000E7C1D" w:rsidP="000E7C1D">
            <w:pPr>
              <w:pStyle w:val="BodyText"/>
            </w:pPr>
            <w:r w:rsidRPr="000E7C1D">
              <w:t>T16</w:t>
            </w:r>
            <w:r w:rsidRPr="000E7C1D">
              <w:tab/>
              <w:t>Operation of HV overhead switching or indicating devices encompassing:</w:t>
            </w:r>
          </w:p>
          <w:p w:rsidR="00000000" w:rsidRPr="000E7C1D" w:rsidP="000E7C1D">
            <w:pPr>
              <w:pStyle w:val="ListBullet"/>
            </w:pPr>
            <w:r w:rsidRPr="000E7C1D">
              <w:t>Identifying hazards, assessing and controlling risks ass</w:t>
            </w:r>
            <w:r w:rsidRPr="000E7C1D">
              <w:t xml:space="preserve">ociated with HV switchgear operation </w:t>
            </w:r>
          </w:p>
          <w:p w:rsidR="00000000" w:rsidRPr="000E7C1D" w:rsidP="000E7C1D">
            <w:pPr>
              <w:pStyle w:val="ListBullet"/>
            </w:pPr>
            <w:r w:rsidRPr="000E7C1D">
              <w:t xml:space="preserve">Systematic and defensive techniques </w:t>
            </w:r>
          </w:p>
          <w:p w:rsidR="00000000" w:rsidRPr="000E7C1D" w:rsidP="000E7C1D">
            <w:pPr>
              <w:pStyle w:val="ListBullet"/>
            </w:pPr>
            <w:r w:rsidRPr="000E7C1D">
              <w:t xml:space="preserve">Mobile radio procedures </w:t>
            </w:r>
          </w:p>
          <w:p w:rsidR="00000000" w:rsidRPr="000E7C1D" w:rsidP="000E7C1D">
            <w:pPr>
              <w:pStyle w:val="ListBullet"/>
            </w:pPr>
            <w:r w:rsidRPr="000E7C1D">
              <w:t xml:space="preserve">Double isolation procedures </w:t>
            </w:r>
          </w:p>
          <w:p w:rsidR="00000000" w:rsidRPr="000E7C1D" w:rsidP="000E7C1D">
            <w:pPr>
              <w:pStyle w:val="ListBullet"/>
            </w:pPr>
            <w:r w:rsidRPr="000E7C1D">
              <w:t>fuses; disconnect fuses; load switching; live line indicators; capacitors; reclosers; sectionalisers, underslung links, airbreaks; switches, disconnects; live line clamps; phasing sticks; phasing tester.</w:t>
            </w:r>
          </w:p>
        </w:tc>
      </w:tr>
    </w:tbl>
    <w:p w:rsidR="00000000" w:rsidRPr="000E7C1D" w:rsidP="000E7C1D">
      <w:pPr>
        <w:pStyle w:val="BodyText"/>
      </w:pPr>
    </w:p>
    <w:p w:rsidR="00000000" w:rsidRPr="000E7C1D" w:rsidP="000E7C1D">
      <w:pPr>
        <w:pStyle w:val="AllowPageBreak"/>
      </w:pPr>
    </w:p>
    <w:p w:rsidR="00000000" w:rsidRPr="000E7C1D" w:rsidP="000E7C1D">
      <w:pPr>
        <w:pStyle w:val="Heading1"/>
      </w:pPr>
      <w:bookmarkStart w:id="10" w:name="O_462371"/>
      <w:bookmarkEnd w:id="10"/>
      <w:r w:rsidRPr="000E7C1D">
        <w:t>Evidence Guide</w:t>
      </w:r>
    </w:p>
    <w:tbl>
      <w:tblPr>
        <w:tblW w:w="0" w:type="auto"/>
        <w:tblLayout w:type="fixed"/>
        <w:tblCellMar>
          <w:left w:w="62" w:type="dxa"/>
          <w:right w:w="62" w:type="dxa"/>
        </w:tblCellMar>
        <w:tblLook w:val="0000"/>
      </w:tblPr>
      <w:tblGrid>
        <w:gridCol w:w="8460"/>
      </w:tblGrid>
      <w:tr w:rsidTr="00BB107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rPr>
                <w:rStyle w:val="SpecialBold"/>
              </w:rPr>
              <w:t>EVIDENCE GUIDE</w:t>
            </w:r>
          </w:p>
        </w:tc>
      </w:tr>
      <w:tr w:rsidTr="00BB10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rPr>
                <w:rStyle w:val="SpecialBold"/>
              </w:rPr>
              <w:t>9)</w:t>
            </w:r>
            <w:r w:rsidRPr="000E7C1D">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0E7C1D" w:rsidP="000E7C1D">
            <w:pPr>
              <w:pStyle w:val="BodyText"/>
            </w:pPr>
            <w:r w:rsidRPr="000E7C1D">
              <w:t>The Evidence Guide form</w:t>
            </w:r>
            <w:r w:rsidRPr="000E7C1D">
              <w:t>s an integral part of this Competency Standard Unit and shall be used in conjunction with all component parts of this unit and, performed in accordance with the Assessment Guidelines of this Training Package.</w:t>
            </w:r>
          </w:p>
        </w:tc>
      </w:tr>
    </w:tbl>
    <w:p w:rsidR="00000000" w:rsidRPr="000E7C1D" w:rsidP="000E7C1D">
      <w:pPr>
        <w:pStyle w:val="BodyText"/>
      </w:pPr>
    </w:p>
    <w:tbl>
      <w:tblPr>
        <w:tblW w:w="0" w:type="auto"/>
        <w:tblLayout w:type="fixed"/>
        <w:tblCellMar>
          <w:left w:w="62" w:type="dxa"/>
          <w:right w:w="62" w:type="dxa"/>
        </w:tblCellMar>
        <w:tblLook w:val="0000"/>
      </w:tblPr>
      <w:tblGrid>
        <w:gridCol w:w="1890"/>
        <w:gridCol w:w="6570"/>
      </w:tblGrid>
      <w:tr w:rsidTr="00BB10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rPr>
                <w:rStyle w:val="SpecialBold"/>
              </w:rPr>
              <w:t>9.1)</w:t>
            </w:r>
          </w:p>
        </w:tc>
      </w:tr>
      <w:tr w:rsidTr="00BB10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t>Longitudinal co</w:t>
            </w:r>
            <w:r w:rsidRPr="000E7C1D">
              <w:t xml:space="preserve">mpetency development approaches to assessment, such as Profiling, require data to be reliably gathered in a form that can be consistently interpreted over time. This approach is best utilised in Apprenticeship programs and reduces assessment intervention. </w:t>
            </w:r>
            <w:r w:rsidRPr="000E7C1D">
              <w:t>It is the Industry’s preferred model for apprenticeships. However, where summative (or final) assessment is used it is to include the application of the competency in the normal work environment or, at a minimum, the application of the competency in a real</w:t>
            </w:r>
            <w:r w:rsidRPr="000E7C1D">
              <w:t>istically simulated work environment. It is recognised that, in some circumstances, assessment in part or full can occur outside the workplace. However, it must be in accord with Industry and, Regulatory policy in this regard.</w:t>
            </w:r>
          </w:p>
          <w:p w:rsidR="00000000" w:rsidRPr="000E7C1D" w:rsidP="000E7C1D">
            <w:pPr>
              <w:pStyle w:val="BodyText"/>
            </w:pPr>
            <w:r w:rsidRPr="000E7C1D">
              <w:t>Methods chosen for a particul</w:t>
            </w:r>
            <w:r w:rsidRPr="000E7C1D">
              <w:t>ar assessment will be influenced by various factors. These include the extent of the assessment, the most effective locations for the assessment activities to take place, access to physical resources, additional safety measures that may be required and the</w:t>
            </w:r>
            <w:r w:rsidRPr="000E7C1D">
              <w:t xml:space="preserve"> critical nature of the competencies being assessed.</w:t>
            </w:r>
          </w:p>
          <w:p w:rsidR="00000000" w:rsidRPr="000E7C1D" w:rsidP="000E7C1D">
            <w:pPr>
              <w:pStyle w:val="BodyText"/>
            </w:pPr>
            <w:r w:rsidRPr="000E7C1D">
              <w:t xml:space="preserve">The critical safety nature of working with electricity, electrical equipment, gas or any other hazardous substance/material carries risk in deeming a person competent. Hence, sources of evidence need to </w:t>
            </w:r>
            <w:r w:rsidRPr="000E7C1D">
              <w:t>be ‘rich’ in nature so as to minimise error in judgment.</w:t>
            </w:r>
          </w:p>
          <w:p w:rsidR="00000000" w:rsidRPr="000E7C1D" w:rsidP="000E7C1D">
            <w:pPr>
              <w:pStyle w:val="BodyText"/>
            </w:pPr>
            <w:r w:rsidRPr="000E7C1D">
              <w:t>Activities associated with normal every day work have a bearing on the decision as to how much and how detailed the data gathered will contribute to its ‘richness’</w:t>
            </w:r>
            <w:r w:rsidRPr="000E7C1D">
              <w:t>. Some skills are more critical to safety and operational requirements while the same skills may be more or less frequently practiced. These points are raised for the assessors to consider when choosing an assessment method and developing assessment instru</w:t>
            </w:r>
            <w:r w:rsidRPr="000E7C1D">
              <w:t>ments. Sample assessment instruments are included for Assessors in the Assessment Guidelines of this Training Package.</w:t>
            </w:r>
          </w:p>
        </w:tc>
      </w:tr>
    </w:tbl>
    <w:p w:rsidR="00000000" w:rsidRPr="000E7C1D" w:rsidP="000E7C1D">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BB10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rPr>
                <w:rStyle w:val="SpecialBold"/>
              </w:rPr>
              <w:t>9.2)</w:t>
            </w:r>
          </w:p>
        </w:tc>
      </w:tr>
      <w:tr w:rsidTr="00BB107A">
        <w:tblPrEx>
          <w:tblW w:w="0" w:type="auto"/>
          <w:tblLayout w:type="fixed"/>
          <w:tblCellMar>
            <w:left w:w="62" w:type="dxa"/>
            <w:right w:w="62" w:type="dxa"/>
          </w:tblCellMar>
          <w:tblLook w:val="0000"/>
        </w:tblPrEx>
        <w:trPr>
          <w:trHeight w:val="696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t>Before the critical aspects of evidence are cons</w:t>
            </w:r>
            <w:r w:rsidRPr="000E7C1D">
              <w:t>idered all prerequisites shall be met.</w:t>
            </w:r>
          </w:p>
          <w:p w:rsidR="00000000" w:rsidRPr="000E7C1D" w:rsidP="000E7C1D">
            <w:pPr>
              <w:pStyle w:val="BodyText"/>
            </w:pPr>
            <w:r w:rsidRPr="000E7C1D">
              <w:t>Evidence for competence in this unit shall be considered holistically. Each element and associated Performance Criteria shall be demonstrated on at least two occasions in accordance with the “Assessment Guidelines – U</w:t>
            </w:r>
            <w:r w:rsidRPr="000E7C1D">
              <w:t>ET12”. Evidence shall also comprise:</w:t>
            </w:r>
          </w:p>
          <w:p w:rsidR="00000000" w:rsidRPr="000E7C1D" w:rsidP="000E7C1D">
            <w:pPr>
              <w:pStyle w:val="ListBullet"/>
            </w:pPr>
            <w:r w:rsidRPr="000E7C1D">
              <w:t xml:space="preserve">A representative body of Performance Criteria demonstrated within the timeframes typically expected of the discipline, work function and industrial environment. In particular this shall incorporate evidence that shows </w:t>
            </w:r>
            <w:r w:rsidRPr="000E7C1D">
              <w:t>a candidate is able to:</w:t>
            </w:r>
          </w:p>
          <w:p w:rsidR="00000000" w:rsidRPr="000E7C1D" w:rsidP="000E7C1D">
            <w:pPr>
              <w:pStyle w:val="ListBullet2"/>
            </w:pPr>
            <w:r w:rsidRPr="000E7C1D">
              <w:t>Implement Occupational Health and Safety workplace procedures and practices including the use of risk control measures as specified in the Performance Criteria and range; and</w:t>
            </w:r>
          </w:p>
          <w:p w:rsidR="00000000" w:rsidRPr="000E7C1D" w:rsidP="000E7C1D">
            <w:pPr>
              <w:pStyle w:val="ListBullet2"/>
            </w:pPr>
            <w:r w:rsidRPr="000E7C1D">
              <w:t>Apply sustainable energy principles and practices as specified in the Performance Criteria and range; and</w:t>
            </w:r>
          </w:p>
          <w:p w:rsidR="00000000" w:rsidRPr="000E7C1D" w:rsidP="000E7C1D">
            <w:pPr>
              <w:pStyle w:val="ListBullet2"/>
            </w:pPr>
            <w:r w:rsidRPr="000E7C1D">
              <w:t>Demonstrate an understanding of the essential knowledge and associated skills as described in this unit to such an extent that the learner’s performan</w:t>
            </w:r>
            <w:r w:rsidRPr="000E7C1D">
              <w:t>ce outcome is reported in accordance with the preferred approach; namely a percentile graded result, where required by the regulated environment; and</w:t>
            </w:r>
          </w:p>
          <w:p w:rsidR="00000000" w:rsidRPr="000E7C1D" w:rsidP="000E7C1D">
            <w:pPr>
              <w:pStyle w:val="ListBullet2"/>
            </w:pPr>
            <w:r w:rsidRPr="000E7C1D">
              <w:t>Demonstrate an appropriate level of employability skills; and</w:t>
            </w:r>
          </w:p>
          <w:p w:rsidR="00000000" w:rsidRPr="000E7C1D" w:rsidP="000E7C1D">
            <w:pPr>
              <w:pStyle w:val="ListBullet"/>
            </w:pPr>
            <w:r w:rsidRPr="000E7C1D">
              <w:t>Conduct work observing the relevant Anti Di</w:t>
            </w:r>
            <w:r w:rsidRPr="000E7C1D">
              <w:t>scrimination legislation, regulations, policies and workplace procedures; and</w:t>
            </w:r>
          </w:p>
          <w:p w:rsidR="00000000" w:rsidP="000E7C1D">
            <w:pPr>
              <w:pStyle w:val="ListBullet2"/>
              <w:rPr>
                <w:lang w:val="en-NZ"/>
              </w:rPr>
            </w:pPr>
            <w:r w:rsidRPr="000E7C1D">
              <w:t>Demonstrated performance across a representative range of contexts from the prescribed items below:</w:t>
            </w:r>
          </w:p>
        </w:tc>
      </w:tr>
      <w:tr w:rsidTr="00BB10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0E7C1D">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C1D">
            <w:pPr>
              <w:pStyle w:val="BodyText"/>
              <w:rPr>
                <w:lang w:val="en-NZ"/>
              </w:rPr>
            </w:pPr>
            <w:r w:rsidRPr="000E7C1D">
              <w:rPr>
                <w:rStyle w:val="SpecialBold"/>
              </w:rPr>
              <w:t>Range of tool</w:t>
            </w:r>
            <w:r w:rsidRPr="000E7C1D">
              <w:rPr>
                <w:rStyle w:val="SpecialBold"/>
              </w:rPr>
              <w:t>s/equipment/materials/procedures/workplaces/other variables</w:t>
            </w:r>
          </w:p>
        </w:tc>
      </w:tr>
      <w:tr w:rsidTr="00BB10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0E7C1D">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C1D" w:rsidP="000E7C1D">
            <w:pPr>
              <w:pStyle w:val="BodyText"/>
            </w:pPr>
            <w:r w:rsidRPr="000E7C1D">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C1D" w:rsidP="000E7C1D">
            <w:pPr>
              <w:pStyle w:val="BodyText"/>
            </w:pPr>
            <w:r w:rsidRPr="000E7C1D">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C1D">
            <w:pPr>
              <w:pStyle w:val="BodyText"/>
              <w:rPr>
                <w:lang w:val="en-NZ"/>
              </w:rPr>
            </w:pPr>
            <w:r w:rsidRPr="000E7C1D">
              <w:rPr>
                <w:rStyle w:val="SpecialBold"/>
              </w:rPr>
              <w:t>Item List</w:t>
            </w:r>
          </w:p>
        </w:tc>
      </w:tr>
      <w:tr w:rsidTr="00BB10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C1D">
            <w:pPr>
              <w:pStyle w:val="BodyText"/>
              <w:rPr>
                <w:lang w:val="en-NZ"/>
              </w:rPr>
            </w:pPr>
            <w:r w:rsidRPr="000E7C1D">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C1D">
            <w:pPr>
              <w:pStyle w:val="BodyText"/>
              <w:rPr>
                <w:lang w:val="en-NZ"/>
              </w:rPr>
            </w:pPr>
            <w:r w:rsidRPr="000E7C1D">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C1D" w:rsidP="000E7C1D">
            <w:pPr>
              <w:pStyle w:val="BodyText"/>
            </w:pPr>
            <w:r w:rsidRPr="000E7C1D">
              <w:t>Approvals/clearances</w:t>
            </w:r>
          </w:p>
          <w:p w:rsidR="00000000" w:rsidP="000E7C1D">
            <w:pPr>
              <w:pStyle w:val="BodyText"/>
              <w:rPr>
                <w:lang w:val="en-NZ"/>
              </w:rPr>
            </w:pPr>
            <w:r w:rsidRPr="000E7C1D">
              <w:t>Access authority /permits</w:t>
            </w:r>
          </w:p>
        </w:tc>
      </w:tr>
      <w:tr w:rsidTr="00BB10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C1D">
            <w:pPr>
              <w:pStyle w:val="BodyText"/>
              <w:rPr>
                <w:lang w:val="en-NZ"/>
              </w:rPr>
            </w:pPr>
            <w:r w:rsidRPr="000E7C1D">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C1D">
            <w:pPr>
              <w:pStyle w:val="BodyText"/>
              <w:rPr>
                <w:lang w:val="en-NZ"/>
              </w:rPr>
            </w:pPr>
            <w:r w:rsidRPr="000E7C1D">
              <w:t>Any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C1D" w:rsidP="000E7C1D">
            <w:pPr>
              <w:pStyle w:val="BodyText"/>
            </w:pPr>
            <w:r w:rsidRPr="000E7C1D">
              <w:t>Voltage detectors</w:t>
            </w:r>
          </w:p>
          <w:p w:rsidR="00000000" w:rsidRPr="000E7C1D" w:rsidP="000E7C1D">
            <w:pPr>
              <w:pStyle w:val="BodyText"/>
            </w:pPr>
            <w:r w:rsidRPr="000E7C1D">
              <w:t>Polarity testers</w:t>
            </w:r>
          </w:p>
          <w:p w:rsidR="00000000" w:rsidP="000E7C1D">
            <w:pPr>
              <w:pStyle w:val="BodyText"/>
              <w:rPr>
                <w:lang w:val="en-NZ"/>
              </w:rPr>
            </w:pPr>
            <w:r w:rsidRPr="000E7C1D">
              <w:t>Phase rotation indicators</w:t>
            </w:r>
          </w:p>
        </w:tc>
      </w:tr>
      <w:tr w:rsidTr="00BB10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C1D">
            <w:pPr>
              <w:pStyle w:val="BodyText"/>
              <w:rPr>
                <w:lang w:val="en-NZ"/>
              </w:rPr>
            </w:pPr>
            <w:r w:rsidRPr="000E7C1D">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C1D">
            <w:pPr>
              <w:pStyle w:val="BodyText"/>
              <w:rPr>
                <w:lang w:val="en-NZ"/>
              </w:rPr>
            </w:pPr>
            <w:r w:rsidRPr="000E7C1D">
              <w:t>Any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C1D" w:rsidP="000E7C1D">
            <w:pPr>
              <w:pStyle w:val="BodyText"/>
            </w:pPr>
            <w:r w:rsidRPr="000E7C1D">
              <w:t>LV links</w:t>
            </w:r>
          </w:p>
          <w:p w:rsidR="00000000" w:rsidRPr="000E7C1D" w:rsidP="000E7C1D">
            <w:pPr>
              <w:pStyle w:val="BodyText"/>
            </w:pPr>
            <w:r w:rsidRPr="000E7C1D">
              <w:t>LV bridges</w:t>
            </w:r>
          </w:p>
          <w:p w:rsidR="00000000" w:rsidP="000E7C1D">
            <w:pPr>
              <w:pStyle w:val="BodyText"/>
              <w:rPr>
                <w:lang w:val="en-NZ"/>
              </w:rPr>
            </w:pPr>
            <w:r w:rsidRPr="000E7C1D">
              <w:t>LV fuses</w:t>
            </w:r>
          </w:p>
        </w:tc>
      </w:tr>
      <w:tr w:rsidTr="00BB10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C1D">
            <w:pPr>
              <w:pStyle w:val="BodyText"/>
              <w:rPr>
                <w:lang w:val="en-NZ"/>
              </w:rPr>
            </w:pPr>
            <w:r w:rsidRPr="000E7C1D">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C1D">
            <w:pPr>
              <w:pStyle w:val="BodyText"/>
              <w:rPr>
                <w:lang w:val="en-NZ"/>
              </w:rPr>
            </w:pPr>
            <w:r w:rsidRPr="000E7C1D">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C1D" w:rsidP="000E7C1D">
            <w:pPr>
              <w:pStyle w:val="BodyText"/>
            </w:pPr>
            <w:r w:rsidRPr="000E7C1D">
              <w:t>Dealing with an unplanned event by drawing on essential knowledge and associated skills to provide appropriate solutions incorporated in the holistic assessment with the above listed items.</w:t>
            </w:r>
          </w:p>
        </w:tc>
      </w:tr>
    </w:tbl>
    <w:p w:rsidR="00000000" w:rsidRPr="000E7C1D" w:rsidP="000E7C1D">
      <w:pPr>
        <w:pStyle w:val="BodyText"/>
      </w:pPr>
    </w:p>
    <w:tbl>
      <w:tblPr>
        <w:tblW w:w="0" w:type="auto"/>
        <w:tblLayout w:type="fixed"/>
        <w:tblCellMar>
          <w:left w:w="62" w:type="dxa"/>
          <w:right w:w="62" w:type="dxa"/>
        </w:tblCellMar>
        <w:tblLook w:val="0000"/>
      </w:tblPr>
      <w:tblGrid>
        <w:gridCol w:w="1890"/>
        <w:gridCol w:w="6570"/>
      </w:tblGrid>
      <w:tr w:rsidTr="00BB107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rPr>
                <w:rStyle w:val="SpecialBold"/>
              </w:rPr>
              <w:t>9.3)</w:t>
            </w:r>
          </w:p>
        </w:tc>
      </w:tr>
      <w:tr w:rsidTr="00BB107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t>This unit should be assessed as it relates to normal work practice using procedures, information and resources typical of a workplace. This should include:</w:t>
            </w:r>
          </w:p>
          <w:p w:rsidR="00000000" w:rsidRPr="000E7C1D" w:rsidP="000E7C1D">
            <w:pPr>
              <w:pStyle w:val="ListBullet"/>
            </w:pPr>
            <w:r w:rsidRPr="000E7C1D">
              <w:t>OHS policy and work procedures and instructions.</w:t>
            </w:r>
          </w:p>
          <w:p w:rsidR="00000000" w:rsidRPr="000E7C1D" w:rsidP="000E7C1D">
            <w:pPr>
              <w:pStyle w:val="ListBullet"/>
            </w:pPr>
            <w:r w:rsidRPr="000E7C1D">
              <w:t>Suitable work environment, facilities, equipment a</w:t>
            </w:r>
            <w:r w:rsidRPr="000E7C1D">
              <w:t xml:space="preserve">nd materials to undertake actual performance of LV field switching to a given schedule. </w:t>
            </w:r>
          </w:p>
          <w:p w:rsidR="00000000" w:rsidRPr="000E7C1D" w:rsidP="000E7C1D">
            <w:pPr>
              <w:pStyle w:val="BodyText"/>
            </w:pPr>
            <w:r w:rsidRPr="000E7C1D">
              <w:t>In addition to the resources listed above, in Context of and specific resources for assessment, evidence should show demonstrated competency working below ground, in l</w:t>
            </w:r>
            <w:r w:rsidRPr="000E7C1D">
              <w:t>imited spaces, with different structural/construction types and method and in a variety of environments.</w:t>
            </w:r>
          </w:p>
        </w:tc>
      </w:tr>
    </w:tbl>
    <w:p w:rsidR="00000000" w:rsidRPr="000E7C1D" w:rsidP="000E7C1D">
      <w:pPr>
        <w:pStyle w:val="BodyText"/>
      </w:pPr>
    </w:p>
    <w:tbl>
      <w:tblPr>
        <w:tblW w:w="0" w:type="auto"/>
        <w:tblLayout w:type="fixed"/>
        <w:tblCellMar>
          <w:left w:w="62" w:type="dxa"/>
          <w:right w:w="62" w:type="dxa"/>
        </w:tblCellMar>
        <w:tblLook w:val="0000"/>
      </w:tblPr>
      <w:tblGrid>
        <w:gridCol w:w="1890"/>
        <w:gridCol w:w="6570"/>
      </w:tblGrid>
      <w:tr w:rsidTr="00BB10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rPr>
                <w:rStyle w:val="SpecialBold"/>
              </w:rPr>
              <w:t>9.4)</w:t>
            </w:r>
          </w:p>
        </w:tc>
      </w:tr>
      <w:tr w:rsidTr="00BB10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t>This Competency Standard Unit shall be assessed by methods given in Volume 1, Part 3 “Assessment Guidelines”.</w:t>
            </w:r>
          </w:p>
          <w:p w:rsidR="00000000" w:rsidRPr="000E7C1D" w:rsidP="000E7C1D">
            <w:pPr>
              <w:pStyle w:val="BodyText"/>
            </w:pPr>
            <w:r w:rsidRPr="000E7C1D">
              <w:t>Note:</w:t>
            </w:r>
          </w:p>
          <w:p w:rsidR="00000000" w:rsidRPr="000E7C1D" w:rsidP="000E7C1D">
            <w:pPr>
              <w:pStyle w:val="BodyText"/>
            </w:pPr>
            <w:r w:rsidRPr="000E7C1D">
              <w:t>Competent performance with inherent safe working practices is expected in the Industry to which this Competency Standard Unit applies. This requires that the specified essential knowledge and associated skills are assessed in a structured environment which</w:t>
            </w:r>
            <w:r w:rsidRPr="000E7C1D">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0E7C1D" w:rsidP="000E7C1D">
      <w:pPr>
        <w:pStyle w:val="BodyText"/>
      </w:pPr>
    </w:p>
    <w:tbl>
      <w:tblPr>
        <w:tblW w:w="0" w:type="auto"/>
        <w:tblLayout w:type="fixed"/>
        <w:tblCellMar>
          <w:left w:w="62" w:type="dxa"/>
          <w:right w:w="62" w:type="dxa"/>
        </w:tblCellMar>
        <w:tblLook w:val="0000"/>
      </w:tblPr>
      <w:tblGrid>
        <w:gridCol w:w="1890"/>
        <w:gridCol w:w="6570"/>
      </w:tblGrid>
      <w:tr w:rsidTr="00BB10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rPr>
                <w:rStyle w:val="SpecialBold"/>
              </w:rPr>
              <w:t>Concurrent assessment and relationship wi</w:t>
            </w:r>
            <w:r w:rsidRPr="000E7C1D">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rPr>
                <w:rStyle w:val="SpecialBold"/>
              </w:rPr>
              <w:t>9.5)</w:t>
            </w:r>
          </w:p>
        </w:tc>
      </w:tr>
      <w:tr w:rsidTr="00BB10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t>There are no concurrent assessment recommendations for this unit.</w:t>
            </w:r>
          </w:p>
        </w:tc>
      </w:tr>
    </w:tbl>
    <w:p w:rsidR="00000000" w:rsidRPr="000E7C1D" w:rsidP="000E7C1D">
      <w:pPr>
        <w:pStyle w:val="BodyText"/>
      </w:pPr>
    </w:p>
    <w:p w:rsidR="00000000" w:rsidRPr="000E7C1D" w:rsidP="000E7C1D">
      <w:pPr>
        <w:pStyle w:val="AllowPageBreak"/>
      </w:pPr>
    </w:p>
    <w:p w:rsidR="00000000" w:rsidRPr="000E7C1D" w:rsidP="000E7C1D">
      <w:pPr>
        <w:pStyle w:val="Heading1"/>
      </w:pPr>
      <w:bookmarkStart w:id="11" w:name="O_462375"/>
      <w:bookmarkEnd w:id="11"/>
      <w:r w:rsidRPr="000E7C1D">
        <w:t>Range Statement</w:t>
      </w:r>
    </w:p>
    <w:tbl>
      <w:tblPr>
        <w:tblW w:w="0" w:type="auto"/>
        <w:tblLayout w:type="fixed"/>
        <w:tblCellMar>
          <w:left w:w="62" w:type="dxa"/>
          <w:right w:w="62" w:type="dxa"/>
        </w:tblCellMar>
        <w:tblLook w:val="0000"/>
      </w:tblPr>
      <w:tblGrid>
        <w:gridCol w:w="8460"/>
      </w:tblGrid>
      <w:tr w:rsidTr="00BB107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rPr>
                <w:rStyle w:val="SpecialBold"/>
              </w:rPr>
              <w:t>RANGE STATEMENT</w:t>
            </w:r>
          </w:p>
        </w:tc>
      </w:tr>
      <w:tr w:rsidTr="00BB10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rPr>
                <w:rStyle w:val="SpecialBold"/>
              </w:rPr>
              <w:t>10)</w:t>
            </w:r>
            <w:r w:rsidRPr="000E7C1D">
              <w:t xml:space="preserve"> This relates to the unit of competency as a whole providing the range of contexts and conditions </w:t>
            </w:r>
            <w:r w:rsidRPr="000E7C1D">
              <w:t>to which the Performance Criteria apply. It allows for different work environments and situations that will affect performance.</w:t>
            </w:r>
          </w:p>
          <w:p w:rsidR="00000000" w:rsidRPr="000E7C1D" w:rsidP="000E7C1D">
            <w:pPr>
              <w:pStyle w:val="BodyText"/>
            </w:pPr>
            <w:r w:rsidRPr="000E7C1D">
              <w:t xml:space="preserve">This Competency Standard Unit shall be demonstrated in relation to the conducting of low voltage switching operations involving </w:t>
            </w:r>
            <w:r w:rsidRPr="000E7C1D">
              <w:t>the operation of circuit breaking and isolation devices from a given switching schedule as it relates to low voltage distribution systems in field situations but also includes paralleling in accordance with the switching schedule.</w:t>
            </w:r>
          </w:p>
          <w:p w:rsidR="00000000" w:rsidRPr="000E7C1D" w:rsidP="000E7C1D">
            <w:pPr>
              <w:pStyle w:val="BodyText"/>
            </w:pPr>
            <w:r w:rsidRPr="000E7C1D">
              <w:t>Operation of circuit isol</w:t>
            </w:r>
            <w:r w:rsidRPr="000E7C1D">
              <w:t>ation devices associated with energy reticulation systems/networks is confined to low voltage systems in field situations which are performed in accordance with a switching schedule and established procedures.</w:t>
            </w:r>
          </w:p>
          <w:p w:rsidR="00000000" w:rsidRPr="000E7C1D" w:rsidP="000E7C1D">
            <w:pPr>
              <w:pStyle w:val="BodyText"/>
            </w:pPr>
            <w:r w:rsidRPr="000E7C1D">
              <w:t>Switching Control Officer refers to an appropr</w:t>
            </w:r>
            <w:r w:rsidRPr="000E7C1D">
              <w:t>iate person designated as such by regulations, codes or enterprise arrangements who is responsible for coordinating and directing switching activities in consultation with field operatives.</w:t>
            </w:r>
          </w:p>
          <w:p w:rsidR="00000000" w:rsidRPr="000E7C1D" w:rsidP="000E7C1D">
            <w:pPr>
              <w:pStyle w:val="BodyText"/>
            </w:pPr>
            <w:r w:rsidRPr="000E7C1D">
              <w:t>Switchgear may include Low Voltage fuses, Low Voltage links and br</w:t>
            </w:r>
            <w:r w:rsidRPr="000E7C1D">
              <w:t>idges.</w:t>
            </w:r>
          </w:p>
          <w:p w:rsidR="00000000" w:rsidRPr="000E7C1D" w:rsidP="000E7C1D">
            <w:pPr>
              <w:pStyle w:val="BodyText"/>
            </w:pPr>
            <w:r w:rsidRPr="000E7C1D">
              <w:t>Specialist tools and devices may include Low Voltage detectors, Low Voltage polarity testers and Low Voltage phase rotation indicators.</w:t>
            </w:r>
          </w:p>
          <w:p w:rsidR="00000000" w:rsidRPr="000E7C1D" w:rsidP="000E7C1D">
            <w:pPr>
              <w:pStyle w:val="BodyText"/>
            </w:pPr>
            <w:r w:rsidRPr="000E7C1D">
              <w:t>Switching program/schedule refers to structure, switch or equipment number; locations; Low Voltage distributor, s</w:t>
            </w:r>
            <w:r w:rsidRPr="000E7C1D">
              <w:t>pur or feeder; outage times; works order/plan</w:t>
            </w:r>
          </w:p>
          <w:p w:rsidR="00000000" w:rsidRPr="000E7C1D" w:rsidP="000E7C1D">
            <w:pPr>
              <w:pStyle w:val="BodyText"/>
            </w:pPr>
            <w:r w:rsidRPr="000E7C1D">
              <w:t>The following constants and variables included in the element/Performance Criteria in this unit are fully described in the Definitions Section 1 of this volume and form an integral part of the Range Statement o</w:t>
            </w:r>
            <w:r w:rsidRPr="000E7C1D">
              <w:t>f this unit:</w:t>
            </w:r>
          </w:p>
          <w:p w:rsidR="00000000" w:rsidRPr="000E7C1D" w:rsidP="000E7C1D">
            <w:pPr>
              <w:pStyle w:val="ListBullet3"/>
            </w:pPr>
            <w:r w:rsidRPr="000E7C1D">
              <w:t>Appropriate and relevant persons (see Personnel)</w:t>
            </w:r>
          </w:p>
          <w:p w:rsidR="00000000" w:rsidRPr="000E7C1D" w:rsidP="000E7C1D">
            <w:pPr>
              <w:pStyle w:val="ListBullet3"/>
            </w:pPr>
            <w:r w:rsidRPr="000E7C1D">
              <w:t>Appropriate authorities</w:t>
            </w:r>
          </w:p>
          <w:p w:rsidR="00000000" w:rsidRPr="000E7C1D" w:rsidP="000E7C1D">
            <w:pPr>
              <w:pStyle w:val="ListBullet3"/>
            </w:pPr>
            <w:r w:rsidRPr="000E7C1D">
              <w:t>Appropriate work platform</w:t>
            </w:r>
          </w:p>
          <w:p w:rsidR="00000000" w:rsidRPr="000E7C1D" w:rsidP="000E7C1D">
            <w:pPr>
              <w:pStyle w:val="ListBullet3"/>
            </w:pPr>
            <w:r w:rsidRPr="000E7C1D">
              <w:t>Assessing risk</w:t>
            </w:r>
          </w:p>
          <w:p w:rsidR="00000000" w:rsidRPr="000E7C1D" w:rsidP="000E7C1D">
            <w:pPr>
              <w:pStyle w:val="ListBullet3"/>
            </w:pPr>
            <w:r w:rsidRPr="000E7C1D">
              <w:t>Assessment</w:t>
            </w:r>
          </w:p>
          <w:p w:rsidR="00000000" w:rsidRPr="000E7C1D" w:rsidP="000E7C1D">
            <w:pPr>
              <w:pStyle w:val="ListBullet3"/>
            </w:pPr>
            <w:r w:rsidRPr="000E7C1D">
              <w:t>Authorisation</w:t>
            </w:r>
          </w:p>
          <w:p w:rsidR="00000000" w:rsidRPr="000E7C1D" w:rsidP="000E7C1D">
            <w:pPr>
              <w:pStyle w:val="ListBullet3"/>
            </w:pPr>
            <w:r w:rsidRPr="000E7C1D">
              <w:t>Confined space</w:t>
            </w:r>
          </w:p>
          <w:p w:rsidR="00000000" w:rsidRPr="000E7C1D" w:rsidP="000E7C1D">
            <w:pPr>
              <w:pStyle w:val="ListBullet3"/>
            </w:pPr>
            <w:r w:rsidRPr="000E7C1D">
              <w:t>Diagnostic, testing and restoration</w:t>
            </w:r>
          </w:p>
          <w:p w:rsidR="00000000" w:rsidRPr="000E7C1D" w:rsidP="000E7C1D">
            <w:pPr>
              <w:pStyle w:val="ListBullet3"/>
            </w:pPr>
            <w:r w:rsidRPr="000E7C1D">
              <w:t>Documenting detail work events, record keeping and or storage of information</w:t>
            </w:r>
          </w:p>
          <w:p w:rsidR="00000000" w:rsidRPr="000E7C1D" w:rsidP="000E7C1D">
            <w:pPr>
              <w:pStyle w:val="ListBullet3"/>
            </w:pPr>
            <w:r w:rsidRPr="000E7C1D">
              <w:t>Drawings and specifications</w:t>
            </w:r>
          </w:p>
          <w:p w:rsidR="00000000" w:rsidRPr="000E7C1D" w:rsidP="000E7C1D">
            <w:pPr>
              <w:pStyle w:val="ListBullet3"/>
            </w:pPr>
            <w:r w:rsidRPr="000E7C1D">
              <w:t>Emergency</w:t>
            </w:r>
          </w:p>
          <w:p w:rsidR="00000000" w:rsidRPr="000E7C1D" w:rsidP="000E7C1D">
            <w:pPr>
              <w:pStyle w:val="ListBullet3"/>
            </w:pPr>
            <w:r w:rsidRPr="000E7C1D">
              <w:t>Established procedures</w:t>
            </w:r>
          </w:p>
          <w:p w:rsidR="00000000" w:rsidRPr="000E7C1D" w:rsidP="000E7C1D">
            <w:pPr>
              <w:pStyle w:val="ListBullet3"/>
            </w:pPr>
            <w:r w:rsidRPr="000E7C1D">
              <w:t>Fall prevention</w:t>
            </w:r>
          </w:p>
          <w:p w:rsidR="00000000" w:rsidRPr="000E7C1D" w:rsidP="000E7C1D">
            <w:pPr>
              <w:pStyle w:val="ListBullet3"/>
            </w:pPr>
            <w:r w:rsidRPr="000E7C1D">
              <w:t>Hazards</w:t>
            </w:r>
          </w:p>
          <w:p w:rsidR="00000000" w:rsidRPr="000E7C1D" w:rsidP="000E7C1D">
            <w:pPr>
              <w:pStyle w:val="ListBullet3"/>
            </w:pPr>
            <w:r w:rsidRPr="000E7C1D">
              <w:t>Identifying hazards</w:t>
            </w:r>
          </w:p>
          <w:p w:rsidR="00000000" w:rsidRPr="000E7C1D" w:rsidP="000E7C1D">
            <w:pPr>
              <w:pStyle w:val="ListBullet3"/>
            </w:pPr>
            <w:r w:rsidRPr="000E7C1D">
              <w:t>Inspect</w:t>
            </w:r>
          </w:p>
          <w:p w:rsidR="00000000" w:rsidRPr="000E7C1D" w:rsidP="000E7C1D">
            <w:pPr>
              <w:pStyle w:val="ListBullet3"/>
            </w:pPr>
            <w:r w:rsidRPr="000E7C1D">
              <w:t>Legislation</w:t>
            </w:r>
          </w:p>
          <w:p w:rsidR="00000000" w:rsidRPr="000E7C1D" w:rsidP="000E7C1D">
            <w:pPr>
              <w:pStyle w:val="ListBullet3"/>
            </w:pPr>
            <w:r w:rsidRPr="000E7C1D">
              <w:t>Notification</w:t>
            </w:r>
          </w:p>
          <w:p w:rsidR="00000000" w:rsidRPr="000E7C1D" w:rsidP="000E7C1D">
            <w:pPr>
              <w:pStyle w:val="ListBullet3"/>
            </w:pPr>
            <w:r w:rsidRPr="000E7C1D">
              <w:t>OHS practices</w:t>
            </w:r>
          </w:p>
          <w:p w:rsidR="00000000" w:rsidRPr="000E7C1D" w:rsidP="000E7C1D">
            <w:pPr>
              <w:pStyle w:val="ListBullet3"/>
            </w:pPr>
            <w:r w:rsidRPr="000E7C1D">
              <w:t>OHS issues</w:t>
            </w:r>
          </w:p>
          <w:p w:rsidR="00000000" w:rsidRPr="000E7C1D" w:rsidP="000E7C1D">
            <w:pPr>
              <w:pStyle w:val="ListBullet3"/>
            </w:pPr>
            <w:r w:rsidRPr="000E7C1D">
              <w:t>Permits and/or p</w:t>
            </w:r>
            <w:r w:rsidRPr="000E7C1D">
              <w:t>ermits to work</w:t>
            </w:r>
          </w:p>
          <w:p w:rsidR="00000000" w:rsidRPr="000E7C1D" w:rsidP="000E7C1D">
            <w:pPr>
              <w:pStyle w:val="ListBullet3"/>
            </w:pPr>
            <w:r w:rsidRPr="000E7C1D">
              <w:t>Personnel</w:t>
            </w:r>
          </w:p>
          <w:p w:rsidR="00000000" w:rsidRPr="000E7C1D" w:rsidP="000E7C1D">
            <w:pPr>
              <w:pStyle w:val="ListBullet3"/>
            </w:pPr>
            <w:r w:rsidRPr="000E7C1D">
              <w:t>Quality assurance systems</w:t>
            </w:r>
          </w:p>
          <w:p w:rsidR="00000000" w:rsidRPr="000E7C1D" w:rsidP="000E7C1D">
            <w:pPr>
              <w:pStyle w:val="ListBullet3"/>
            </w:pPr>
            <w:r w:rsidRPr="000E7C1D">
              <w:t>Requirements</w:t>
            </w:r>
          </w:p>
          <w:p w:rsidR="00000000" w:rsidRPr="000E7C1D" w:rsidP="000E7C1D">
            <w:pPr>
              <w:pStyle w:val="ListBullet3"/>
            </w:pPr>
            <w:r w:rsidRPr="000E7C1D">
              <w:t>Testing procedures</w:t>
            </w:r>
          </w:p>
          <w:p w:rsidR="00000000" w:rsidRPr="000E7C1D" w:rsidP="000E7C1D">
            <w:pPr>
              <w:pStyle w:val="ListBullet3"/>
            </w:pPr>
            <w:r w:rsidRPr="000E7C1D">
              <w:t>Work clearance systems</w:t>
            </w:r>
          </w:p>
        </w:tc>
      </w:tr>
    </w:tbl>
    <w:p w:rsidR="00000000" w:rsidRPr="000E7C1D" w:rsidP="000E7C1D">
      <w:pPr>
        <w:pStyle w:val="BodyText"/>
      </w:pPr>
    </w:p>
    <w:p w:rsidR="00000000" w:rsidRPr="000E7C1D" w:rsidP="000E7C1D">
      <w:pPr>
        <w:pStyle w:val="AllowPageBreak"/>
      </w:pPr>
    </w:p>
    <w:p w:rsidR="00000000" w:rsidRPr="000E7C1D" w:rsidP="000E7C1D">
      <w:pPr>
        <w:pStyle w:val="Heading1"/>
      </w:pPr>
      <w:bookmarkStart w:id="12" w:name="O_462378"/>
      <w:bookmarkEnd w:id="12"/>
      <w:r w:rsidRPr="000E7C1D">
        <w:t>Unit Sector(s)</w:t>
      </w:r>
    </w:p>
    <w:p w:rsidR="00000000" w:rsidRPr="000E7C1D" w:rsidP="000E7C1D">
      <w:pPr>
        <w:pStyle w:val="BodyText"/>
      </w:pPr>
      <w:r w:rsidRPr="000E7C1D">
        <w:t>Not applicable.</w:t>
      </w:r>
    </w:p>
    <w:p w:rsidR="00000000" w:rsidRPr="000E7C1D" w:rsidP="000E7C1D">
      <w:pPr>
        <w:pStyle w:val="AllowPageBreak"/>
      </w:pPr>
    </w:p>
    <w:p w:rsidR="00000000" w:rsidRPr="000E7C1D" w:rsidP="000E7C1D">
      <w:pPr>
        <w:pStyle w:val="Heading1"/>
      </w:pPr>
      <w:bookmarkStart w:id="13" w:name="O_462367"/>
      <w:bookmarkEnd w:id="13"/>
      <w:r w:rsidRPr="000E7C1D">
        <w:t>Competency Field</w:t>
      </w:r>
    </w:p>
    <w:tbl>
      <w:tblPr>
        <w:tblW w:w="0" w:type="auto"/>
        <w:tblLayout w:type="fixed"/>
        <w:tblCellMar>
          <w:left w:w="62" w:type="dxa"/>
          <w:right w:w="62" w:type="dxa"/>
        </w:tblCellMar>
        <w:tblLook w:val="0000"/>
      </w:tblPr>
      <w:tblGrid>
        <w:gridCol w:w="2700"/>
        <w:gridCol w:w="5760"/>
      </w:tblGrid>
      <w:tr w:rsidTr="00BB10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E7C1D">
            <w:pPr>
              <w:pStyle w:val="BodyText"/>
              <w:rPr>
                <w:lang w:val="en-NZ"/>
              </w:rPr>
            </w:pPr>
            <w:r w:rsidRPr="000E7C1D">
              <w:rPr>
                <w:rStyle w:val="SpecialBold"/>
              </w:rPr>
              <w:t xml:space="preserve">11) </w:t>
            </w:r>
          </w:p>
        </w:tc>
      </w:tr>
      <w:tr w:rsidTr="00BB10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7C1D" w:rsidP="000E7C1D">
            <w:pPr>
              <w:pStyle w:val="BodyText"/>
            </w:pPr>
            <w:r w:rsidRPr="000E7C1D">
              <w:t>Industry Specific Cross-Discipline Units</w:t>
            </w:r>
          </w:p>
        </w:tc>
      </w:tr>
    </w:tbl>
    <w:p w:rsidR="00000000" w:rsidRPr="000E7C1D" w:rsidP="000E7C1D">
      <w:pPr>
        <w:pStyle w:val="BodyText"/>
      </w:pPr>
    </w:p>
    <w:p w:rsidR="00000000" w:rsidRPr="000E7C1D" w:rsidP="000E7C1D"/>
    <w:sectPr w:rsidSect="000E7C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07A" w:rsidP="00BB10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07A" w:rsidP="000E7C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BB107A" w:rsidP="000E7C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B107A" w:rsidP="000E7C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07A" w:rsidP="00BB10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07A" w:rsidP="000E7C1D">
    <w:pPr>
      <w:pStyle w:val="Header"/>
      <w:framePr w:wrap="around"/>
    </w:pPr>
    <w:r>
      <w:fldChar w:fldCharType="begin"/>
    </w:r>
    <w:r>
      <w:instrText xml:space="preserve"> TITLE   \* MERGEFORMAT </w:instrText>
    </w:r>
    <w:r>
      <w:fldChar w:fldCharType="separate"/>
    </w:r>
    <w:r>
      <w:t>UETTDRIS35A Perform remote community network field switching to a given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107A" w:rsidP="000E7C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DA80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7028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D8B3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C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7C1D"/>
    <w:pPr>
      <w:spacing w:before="360" w:after="60"/>
      <w:outlineLvl w:val="0"/>
    </w:pPr>
    <w:rPr>
      <w:sz w:val="32"/>
    </w:rPr>
  </w:style>
  <w:style w:type="paragraph" w:styleId="Heading2">
    <w:name w:val="heading 2"/>
    <w:basedOn w:val="HeadingBase"/>
    <w:next w:val="BodyText"/>
    <w:link w:val="Heading2Char"/>
    <w:qFormat/>
    <w:rsid w:val="000E7C1D"/>
    <w:pPr>
      <w:keepLines/>
      <w:spacing w:before="240" w:after="120"/>
      <w:outlineLvl w:val="1"/>
    </w:pPr>
    <w:rPr>
      <w:sz w:val="28"/>
      <w:szCs w:val="40"/>
    </w:rPr>
  </w:style>
  <w:style w:type="paragraph" w:styleId="Heading3">
    <w:name w:val="heading 3"/>
    <w:basedOn w:val="HeadingBase"/>
    <w:next w:val="BodyText"/>
    <w:link w:val="Heading3Char"/>
    <w:qFormat/>
    <w:rsid w:val="000E7C1D"/>
    <w:pPr>
      <w:spacing w:before="180" w:after="120"/>
      <w:outlineLvl w:val="2"/>
    </w:pPr>
    <w:rPr>
      <w:spacing w:val="-10"/>
      <w:kern w:val="32"/>
    </w:rPr>
  </w:style>
  <w:style w:type="paragraph" w:styleId="Heading4">
    <w:name w:val="heading 4"/>
    <w:basedOn w:val="HeadingBase"/>
    <w:next w:val="BodyText"/>
    <w:link w:val="Heading4Char"/>
    <w:qFormat/>
    <w:rsid w:val="000E7C1D"/>
    <w:pPr>
      <w:spacing w:before="160" w:after="120"/>
      <w:outlineLvl w:val="3"/>
    </w:pPr>
    <w:rPr>
      <w:sz w:val="22"/>
    </w:rPr>
  </w:style>
  <w:style w:type="paragraph" w:styleId="Heading5">
    <w:name w:val="heading 5"/>
    <w:basedOn w:val="HeadingBase"/>
    <w:next w:val="Normal"/>
    <w:link w:val="Heading5Char"/>
    <w:qFormat/>
    <w:rsid w:val="000E7C1D"/>
    <w:pPr>
      <w:spacing w:before="80"/>
      <w:outlineLvl w:val="4"/>
    </w:pPr>
    <w:rPr>
      <w:color w:val="918585"/>
      <w:sz w:val="20"/>
    </w:rPr>
  </w:style>
  <w:style w:type="paragraph" w:styleId="Heading6">
    <w:name w:val="heading 6"/>
    <w:basedOn w:val="HeadingBase"/>
    <w:next w:val="Normal"/>
    <w:link w:val="Heading6Char"/>
    <w:qFormat/>
    <w:rsid w:val="000E7C1D"/>
    <w:pPr>
      <w:spacing w:before="60"/>
      <w:outlineLvl w:val="5"/>
    </w:pPr>
    <w:rPr>
      <w:color w:val="918585"/>
      <w:sz w:val="20"/>
    </w:rPr>
  </w:style>
  <w:style w:type="paragraph" w:styleId="Heading7">
    <w:name w:val="heading 7"/>
    <w:basedOn w:val="Normal"/>
    <w:next w:val="Normal"/>
    <w:link w:val="Heading7Char"/>
    <w:qFormat/>
    <w:rsid w:val="000E7C1D"/>
    <w:pPr>
      <w:ind w:left="720"/>
      <w:outlineLvl w:val="6"/>
    </w:pPr>
    <w:rPr>
      <w:i/>
    </w:rPr>
  </w:style>
  <w:style w:type="paragraph" w:styleId="Heading8">
    <w:name w:val="heading 8"/>
    <w:basedOn w:val="Normal"/>
    <w:next w:val="Normal"/>
    <w:link w:val="Heading8Char"/>
    <w:qFormat/>
    <w:rsid w:val="000E7C1D"/>
    <w:pPr>
      <w:ind w:left="720"/>
      <w:outlineLvl w:val="7"/>
    </w:pPr>
    <w:rPr>
      <w:i/>
    </w:rPr>
  </w:style>
  <w:style w:type="paragraph" w:styleId="Heading9">
    <w:name w:val="heading 9"/>
    <w:basedOn w:val="Normal"/>
    <w:next w:val="Normal"/>
    <w:link w:val="Heading9Char"/>
    <w:qFormat/>
    <w:rsid w:val="000E7C1D"/>
    <w:pPr>
      <w:ind w:left="720"/>
      <w:outlineLvl w:val="8"/>
    </w:pPr>
    <w:rPr>
      <w:i/>
    </w:rPr>
  </w:style>
  <w:style w:type="character" w:default="1" w:styleId="DefaultParagraphFont">
    <w:name w:val="Default Paragraph Font"/>
    <w:uiPriority w:val="1"/>
    <w:unhideWhenUsed/>
    <w:rsid w:val="000E7C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7C1D"/>
  </w:style>
  <w:style w:type="character" w:customStyle="1" w:styleId="Heading1Char">
    <w:name w:val="Heading 1 Char"/>
    <w:basedOn w:val="DefaultParagraphFont"/>
    <w:link w:val="Heading1"/>
    <w:rsid w:val="000E7C1D"/>
    <w:rPr>
      <w:rFonts w:ascii="Times New Roman" w:eastAsia="Times New Roman" w:hAnsi="Times New Roman" w:cs="Times New Roman"/>
      <w:b/>
      <w:sz w:val="32"/>
      <w:szCs w:val="20"/>
      <w:lang w:eastAsia="en-US"/>
    </w:rPr>
  </w:style>
  <w:style w:type="paragraph" w:styleId="BodyText">
    <w:name w:val="Body Text"/>
    <w:basedOn w:val="Normal"/>
    <w:link w:val="BodyTextChar"/>
    <w:rsid w:val="000E7C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7C1D"/>
    <w:rPr>
      <w:rFonts w:ascii="Times New Roman" w:eastAsia="Times New Roman" w:hAnsi="Times New Roman" w:cs="Times New Roman"/>
      <w:sz w:val="24"/>
      <w:lang w:val="en-US" w:eastAsia="en-US"/>
    </w:rPr>
  </w:style>
  <w:style w:type="paragraph" w:styleId="Footer">
    <w:name w:val="footer"/>
    <w:basedOn w:val="Normal"/>
    <w:link w:val="FooterChar"/>
    <w:rsid w:val="000E7C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7C1D"/>
    <w:rPr>
      <w:rFonts w:ascii="Times New Roman" w:eastAsia="Times New Roman" w:hAnsi="Times New Roman" w:cs="Times New Roman"/>
      <w:sz w:val="16"/>
      <w:lang w:val="en-US" w:eastAsia="en-US"/>
    </w:rPr>
  </w:style>
  <w:style w:type="paragraph" w:styleId="ListBullet">
    <w:name w:val="List Bullet"/>
    <w:basedOn w:val="List"/>
    <w:rsid w:val="000E7C1D"/>
    <w:pPr>
      <w:numPr>
        <w:numId w:val="14"/>
      </w:numPr>
      <w:tabs>
        <w:tab w:val="clear" w:pos="340"/>
      </w:tabs>
      <w:spacing w:before="40" w:after="40"/>
    </w:pPr>
  </w:style>
  <w:style w:type="character" w:customStyle="1" w:styleId="SpecialBold">
    <w:name w:val="Special Bold"/>
    <w:basedOn w:val="DefaultParagraphFont"/>
    <w:rsid w:val="000E7C1D"/>
    <w:rPr>
      <w:b/>
      <w:spacing w:val="0"/>
    </w:rPr>
  </w:style>
  <w:style w:type="paragraph" w:styleId="ListBullet2">
    <w:name w:val="List Bullet 2"/>
    <w:basedOn w:val="List2"/>
    <w:rsid w:val="000E7C1D"/>
    <w:pPr>
      <w:numPr>
        <w:numId w:val="15"/>
      </w:numPr>
      <w:tabs>
        <w:tab w:val="clear" w:pos="680"/>
      </w:tabs>
    </w:pPr>
  </w:style>
  <w:style w:type="paragraph" w:styleId="Header">
    <w:name w:val="header"/>
    <w:basedOn w:val="Normal"/>
    <w:link w:val="HeaderChar"/>
    <w:rsid w:val="000E7C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7C1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7C1D"/>
    <w:pPr>
      <w:spacing w:before="240" w:after="120"/>
      <w:outlineLvl w:val="0"/>
    </w:pPr>
    <w:rPr>
      <w:rFonts w:ascii="Times New Roman" w:hAnsi="Times New Roman"/>
      <w:b/>
      <w:sz w:val="28"/>
    </w:rPr>
  </w:style>
  <w:style w:type="paragraph" w:customStyle="1" w:styleId="AllowPageBreak">
    <w:name w:val="AllowPageBreak"/>
    <w:rsid w:val="000E7C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E7C1D"/>
    <w:pPr>
      <w:numPr>
        <w:numId w:val="3"/>
      </w:numPr>
      <w:tabs>
        <w:tab w:val="clear" w:pos="1021"/>
      </w:tabs>
      <w:ind w:left="1037" w:hanging="357"/>
    </w:pPr>
  </w:style>
  <w:style w:type="character" w:customStyle="1" w:styleId="Heading2Char">
    <w:name w:val="Heading 2 Char"/>
    <w:basedOn w:val="DefaultParagraphFont"/>
    <w:link w:val="Heading2"/>
    <w:rsid w:val="000E7C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7C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7C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7C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7C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7C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7C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7C1D"/>
    <w:rPr>
      <w:rFonts w:ascii="Courier New" w:eastAsia="Times New Roman" w:hAnsi="Courier New" w:cs="Times New Roman"/>
      <w:i/>
      <w:szCs w:val="20"/>
      <w:lang w:val="en-US" w:eastAsia="en-US"/>
    </w:rPr>
  </w:style>
  <w:style w:type="paragraph" w:customStyle="1" w:styleId="HeadingBase">
    <w:name w:val="Heading Base"/>
    <w:rsid w:val="000E7C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7C1D"/>
    <w:pPr>
      <w:tabs>
        <w:tab w:val="right" w:leader="dot" w:pos="9072"/>
      </w:tabs>
      <w:ind w:left="567"/>
    </w:pPr>
    <w:rPr>
      <w:szCs w:val="22"/>
    </w:rPr>
  </w:style>
  <w:style w:type="paragraph" w:customStyle="1" w:styleId="TOCBase">
    <w:name w:val="TOC Base"/>
    <w:rsid w:val="000E7C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7C1D"/>
    <w:pPr>
      <w:tabs>
        <w:tab w:val="right" w:leader="dot" w:pos="9072"/>
      </w:tabs>
      <w:spacing w:before="40" w:after="40"/>
      <w:ind w:left="284"/>
    </w:pPr>
    <w:rPr>
      <w:rFonts w:ascii="Times New Roman" w:hAnsi="Times New Roman"/>
    </w:rPr>
  </w:style>
  <w:style w:type="paragraph" w:styleId="TOC1">
    <w:name w:val="toc 1"/>
    <w:basedOn w:val="TOCBase"/>
    <w:next w:val="Normal"/>
    <w:rsid w:val="000E7C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7C1D"/>
    <w:pPr>
      <w:spacing w:before="5040"/>
      <w:jc w:val="center"/>
    </w:pPr>
    <w:rPr>
      <w:sz w:val="48"/>
      <w:szCs w:val="72"/>
      <w:lang w:val="en-US"/>
    </w:rPr>
  </w:style>
  <w:style w:type="character" w:customStyle="1" w:styleId="TitleChar">
    <w:name w:val="Title Char"/>
    <w:basedOn w:val="DefaultParagraphFont"/>
    <w:link w:val="Title"/>
    <w:rsid w:val="000E7C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7C1D"/>
    <w:pPr>
      <w:tabs>
        <w:tab w:val="left" w:pos="3600"/>
        <w:tab w:val="left" w:pos="3958"/>
      </w:tabs>
    </w:pPr>
  </w:style>
  <w:style w:type="paragraph" w:styleId="List">
    <w:name w:val="List"/>
    <w:basedOn w:val="BodyText"/>
    <w:next w:val="BodyText"/>
    <w:rsid w:val="000E7C1D"/>
    <w:pPr>
      <w:tabs>
        <w:tab w:val="left" w:pos="340"/>
      </w:tabs>
      <w:spacing w:before="60" w:after="60"/>
      <w:ind w:left="340" w:hanging="340"/>
    </w:pPr>
  </w:style>
  <w:style w:type="paragraph" w:customStyle="1" w:styleId="Note">
    <w:name w:val="Note"/>
    <w:basedOn w:val="BodyText"/>
    <w:rsid w:val="000E7C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7C1D"/>
    <w:pPr>
      <w:framePr w:wrap="auto" w:hAnchor="text" w:y="6049"/>
    </w:pPr>
    <w:rPr>
      <w:color w:val="000000"/>
      <w:sz w:val="40"/>
    </w:rPr>
  </w:style>
  <w:style w:type="paragraph" w:customStyle="1" w:styleId="TOCTitle">
    <w:name w:val="TOCTitle"/>
    <w:basedOn w:val="Heading1"/>
    <w:rsid w:val="000E7C1D"/>
    <w:pPr>
      <w:spacing w:after="240"/>
      <w:jc w:val="center"/>
      <w:outlineLvl w:val="9"/>
    </w:pPr>
    <w:rPr>
      <w:caps/>
    </w:rPr>
  </w:style>
  <w:style w:type="paragraph" w:customStyle="1" w:styleId="Version">
    <w:name w:val="Version"/>
    <w:rsid w:val="000E7C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7C1D"/>
    <w:pPr>
      <w:keepNext w:val="0"/>
      <w:tabs>
        <w:tab w:val="right" w:pos="4176"/>
      </w:tabs>
      <w:ind w:left="198" w:hanging="198"/>
    </w:pPr>
    <w:rPr>
      <w:rFonts w:ascii="Garamond" w:hAnsi="Garamond"/>
    </w:rPr>
  </w:style>
  <w:style w:type="paragraph" w:styleId="IndexHeading">
    <w:name w:val="index heading"/>
    <w:basedOn w:val="Normal"/>
    <w:next w:val="Index1"/>
    <w:semiHidden/>
    <w:rsid w:val="000E7C1D"/>
    <w:pPr>
      <w:spacing w:before="120" w:after="120"/>
    </w:pPr>
    <w:rPr>
      <w:rFonts w:ascii="Arial" w:hAnsi="Arial"/>
      <w:b/>
      <w:color w:val="918585"/>
      <w:sz w:val="24"/>
    </w:rPr>
  </w:style>
  <w:style w:type="paragraph" w:customStyle="1" w:styleId="Chapter">
    <w:name w:val="Chapter"/>
    <w:basedOn w:val="Normal"/>
    <w:rsid w:val="000E7C1D"/>
    <w:pPr>
      <w:spacing w:before="240"/>
    </w:pPr>
    <w:rPr>
      <w:rFonts w:ascii="Times New Roman" w:hAnsi="Times New Roman"/>
      <w:smallCaps/>
      <w:spacing w:val="80"/>
      <w:sz w:val="28"/>
    </w:rPr>
  </w:style>
  <w:style w:type="paragraph" w:customStyle="1" w:styleId="InChapter">
    <w:name w:val="InChapter"/>
    <w:basedOn w:val="Heading3"/>
    <w:rsid w:val="000E7C1D"/>
    <w:pPr>
      <w:spacing w:after="240"/>
      <w:outlineLvl w:val="9"/>
    </w:pPr>
    <w:rPr>
      <w:noProof/>
    </w:rPr>
  </w:style>
  <w:style w:type="paragraph" w:styleId="Index2">
    <w:name w:val="index 2"/>
    <w:basedOn w:val="Normal"/>
    <w:next w:val="Normal"/>
    <w:semiHidden/>
    <w:rsid w:val="000E7C1D"/>
    <w:pPr>
      <w:tabs>
        <w:tab w:val="right" w:pos="4176"/>
      </w:tabs>
      <w:ind w:left="568" w:hanging="284"/>
    </w:pPr>
    <w:rPr>
      <w:rFonts w:ascii="Garamond" w:hAnsi="Garamond"/>
    </w:rPr>
  </w:style>
  <w:style w:type="paragraph" w:customStyle="1" w:styleId="Byline">
    <w:name w:val="Byline"/>
    <w:rsid w:val="000E7C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7C1D"/>
    <w:pPr>
      <w:tabs>
        <w:tab w:val="clear" w:pos="3600"/>
        <w:tab w:val="clear" w:pos="3958"/>
      </w:tabs>
      <w:jc w:val="right"/>
    </w:pPr>
  </w:style>
  <w:style w:type="character" w:styleId="Emphasis">
    <w:name w:val="Emphasis"/>
    <w:basedOn w:val="DefaultParagraphFont"/>
    <w:qFormat/>
    <w:rsid w:val="000E7C1D"/>
    <w:rPr>
      <w:i/>
    </w:rPr>
  </w:style>
  <w:style w:type="paragraph" w:styleId="Caption">
    <w:name w:val="caption"/>
    <w:basedOn w:val="BodyText"/>
    <w:next w:val="Normal"/>
    <w:qFormat/>
    <w:rsid w:val="000E7C1D"/>
    <w:pPr>
      <w:framePr w:w="2268" w:hSpace="181" w:vSpace="181" w:wrap="around" w:vAnchor="text" w:hAnchor="page" w:x="1135" w:y="285" w:anchorLock="1"/>
    </w:pPr>
    <w:rPr>
      <w:i/>
    </w:rPr>
  </w:style>
  <w:style w:type="paragraph" w:customStyle="1" w:styleId="MiniTOCTitle">
    <w:name w:val="MiniTOCTitle"/>
    <w:basedOn w:val="Heading4"/>
    <w:rsid w:val="000E7C1D"/>
    <w:pPr>
      <w:spacing w:before="240"/>
      <w:outlineLvl w:val="9"/>
    </w:pPr>
    <w:rPr>
      <w:noProof/>
      <w:sz w:val="24"/>
    </w:rPr>
  </w:style>
  <w:style w:type="paragraph" w:customStyle="1" w:styleId="MiniTOCItem">
    <w:name w:val="MiniTOCItem"/>
    <w:basedOn w:val="ListBullet"/>
    <w:rsid w:val="000E7C1D"/>
    <w:pPr>
      <w:numPr>
        <w:numId w:val="0"/>
      </w:numPr>
      <w:tabs>
        <w:tab w:val="right" w:leader="dot" w:pos="6521"/>
      </w:tabs>
      <w:spacing w:before="0" w:after="0"/>
    </w:pPr>
  </w:style>
  <w:style w:type="paragraph" w:customStyle="1" w:styleId="TOFTitle">
    <w:name w:val="TOFTitle"/>
    <w:basedOn w:val="TOCTitle"/>
    <w:rsid w:val="000E7C1D"/>
  </w:style>
  <w:style w:type="paragraph" w:styleId="TableofFigures">
    <w:name w:val="table of figures"/>
    <w:basedOn w:val="Normal"/>
    <w:next w:val="Normal"/>
    <w:semiHidden/>
    <w:rsid w:val="000E7C1D"/>
    <w:pPr>
      <w:tabs>
        <w:tab w:val="right" w:leader="dot" w:pos="9072"/>
      </w:tabs>
      <w:ind w:left="970" w:hanging="403"/>
    </w:pPr>
    <w:rPr>
      <w:rFonts w:ascii="Times New Roman" w:hAnsi="Times New Roman"/>
      <w:b/>
    </w:rPr>
  </w:style>
  <w:style w:type="paragraph" w:styleId="ListNumber">
    <w:name w:val="List Number"/>
    <w:basedOn w:val="List"/>
    <w:rsid w:val="000E7C1D"/>
    <w:pPr>
      <w:numPr>
        <w:numId w:val="12"/>
      </w:numPr>
    </w:pPr>
  </w:style>
  <w:style w:type="character" w:customStyle="1" w:styleId="WingdingSymbols">
    <w:name w:val="Wingding Symbols"/>
    <w:rsid w:val="000E7C1D"/>
    <w:rPr>
      <w:rFonts w:ascii="Wingdings" w:hAnsi="Wingdings"/>
    </w:rPr>
  </w:style>
  <w:style w:type="paragraph" w:customStyle="1" w:styleId="TableHeading">
    <w:name w:val="Table Heading"/>
    <w:basedOn w:val="HeadingBase"/>
    <w:rsid w:val="000E7C1D"/>
    <w:pPr>
      <w:keepLines/>
      <w:pBdr>
        <w:bottom w:val="single" w:sz="6" w:space="1" w:color="918585"/>
      </w:pBdr>
      <w:spacing w:before="240"/>
    </w:pPr>
  </w:style>
  <w:style w:type="character" w:customStyle="1" w:styleId="HotSpot">
    <w:name w:val="HotSpot"/>
    <w:rsid w:val="000E7C1D"/>
    <w:rPr>
      <w:color w:val="0033CC"/>
      <w:u w:val="none"/>
    </w:rPr>
  </w:style>
  <w:style w:type="paragraph" w:customStyle="1" w:styleId="BodyTextRight">
    <w:name w:val="Body Text Right"/>
    <w:basedOn w:val="BodyText"/>
    <w:rsid w:val="000E7C1D"/>
    <w:pPr>
      <w:spacing w:before="0" w:after="0"/>
      <w:jc w:val="right"/>
    </w:pPr>
  </w:style>
  <w:style w:type="paragraph" w:styleId="Index3">
    <w:name w:val="index 3"/>
    <w:basedOn w:val="ListNumber2"/>
    <w:next w:val="Normal"/>
    <w:semiHidden/>
    <w:rsid w:val="000E7C1D"/>
    <w:pPr>
      <w:numPr>
        <w:numId w:val="0"/>
      </w:numPr>
      <w:tabs>
        <w:tab w:val="right" w:leader="dot" w:pos="4176"/>
      </w:tabs>
    </w:pPr>
  </w:style>
  <w:style w:type="paragraph" w:styleId="ListNumber2">
    <w:name w:val="List Number 2"/>
    <w:basedOn w:val="List2"/>
    <w:rsid w:val="000E7C1D"/>
    <w:pPr>
      <w:numPr>
        <w:numId w:val="11"/>
      </w:numPr>
      <w:tabs>
        <w:tab w:val="clear" w:pos="1060"/>
      </w:tabs>
    </w:pPr>
  </w:style>
  <w:style w:type="paragraph" w:customStyle="1" w:styleId="MarginNote">
    <w:name w:val="Margin Note"/>
    <w:basedOn w:val="BodyText"/>
    <w:rsid w:val="000E7C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7C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7C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7C1D"/>
    <w:rPr>
      <w:sz w:val="32"/>
    </w:rPr>
  </w:style>
  <w:style w:type="paragraph" w:customStyle="1" w:styleId="HeadingProcedure">
    <w:name w:val="Heading Procedure"/>
    <w:basedOn w:val="HeadingBase"/>
    <w:next w:val="Normal"/>
    <w:rsid w:val="000E7C1D"/>
    <w:pPr>
      <w:tabs>
        <w:tab w:val="left" w:pos="0"/>
      </w:tabs>
      <w:spacing w:before="120" w:after="60"/>
    </w:pPr>
    <w:rPr>
      <w:i/>
      <w:color w:val="918585"/>
      <w:sz w:val="22"/>
    </w:rPr>
  </w:style>
  <w:style w:type="paragraph" w:customStyle="1" w:styleId="TableBodyText">
    <w:name w:val="Table Body Text"/>
    <w:basedOn w:val="BodyText"/>
    <w:rsid w:val="000E7C1D"/>
    <w:pPr>
      <w:spacing w:before="60" w:after="60"/>
    </w:pPr>
  </w:style>
  <w:style w:type="paragraph" w:styleId="ListContinue">
    <w:name w:val="List Continue"/>
    <w:basedOn w:val="List"/>
    <w:rsid w:val="000E7C1D"/>
    <w:pPr>
      <w:ind w:firstLine="0"/>
    </w:pPr>
  </w:style>
  <w:style w:type="paragraph" w:customStyle="1" w:styleId="ListNote">
    <w:name w:val="List Note"/>
    <w:basedOn w:val="List"/>
    <w:rsid w:val="000E7C1D"/>
    <w:pPr>
      <w:pBdr>
        <w:top w:val="single" w:sz="6" w:space="2" w:color="918585"/>
        <w:bottom w:val="single" w:sz="6" w:space="2" w:color="918585"/>
      </w:pBdr>
      <w:tabs>
        <w:tab w:val="left" w:pos="1021"/>
      </w:tabs>
      <w:ind w:firstLine="0"/>
    </w:pPr>
  </w:style>
  <w:style w:type="paragraph" w:customStyle="1" w:styleId="Warning">
    <w:name w:val="Warning"/>
    <w:basedOn w:val="BodyText"/>
    <w:rsid w:val="000E7C1D"/>
    <w:pPr>
      <w:shd w:val="clear" w:color="auto" w:fill="D9D9D9"/>
      <w:tabs>
        <w:tab w:val="left" w:pos="992"/>
      </w:tabs>
      <w:ind w:left="119" w:right="119"/>
    </w:pPr>
    <w:rPr>
      <w:sz w:val="20"/>
    </w:rPr>
  </w:style>
  <w:style w:type="paragraph" w:customStyle="1" w:styleId="MarginIcons">
    <w:name w:val="Margin Icons"/>
    <w:basedOn w:val="BodyText"/>
    <w:rsid w:val="000E7C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7C1D"/>
    <w:rPr>
      <w:rFonts w:ascii="Courier New" w:hAnsi="Courier New"/>
    </w:rPr>
  </w:style>
  <w:style w:type="paragraph" w:customStyle="1" w:styleId="NoteBullet">
    <w:name w:val="Note Bullet"/>
    <w:basedOn w:val="Note"/>
    <w:rsid w:val="000E7C1D"/>
    <w:pPr>
      <w:tabs>
        <w:tab w:val="clear" w:pos="680"/>
      </w:tabs>
      <w:spacing w:before="60" w:after="60"/>
    </w:pPr>
  </w:style>
  <w:style w:type="paragraph" w:customStyle="1" w:styleId="SubHeading2">
    <w:name w:val="SubHeading2"/>
    <w:basedOn w:val="HeadingBase"/>
    <w:rsid w:val="000E7C1D"/>
    <w:pPr>
      <w:spacing w:before="240" w:after="60"/>
    </w:pPr>
    <w:rPr>
      <w:sz w:val="20"/>
    </w:rPr>
  </w:style>
  <w:style w:type="paragraph" w:customStyle="1" w:styleId="SubHeading1">
    <w:name w:val="SubHeading1"/>
    <w:basedOn w:val="HeadingBase"/>
    <w:rsid w:val="000E7C1D"/>
    <w:pPr>
      <w:spacing w:before="240" w:after="60"/>
    </w:pPr>
    <w:rPr>
      <w:color w:val="918585"/>
      <w:sz w:val="22"/>
    </w:rPr>
  </w:style>
  <w:style w:type="paragraph" w:customStyle="1" w:styleId="SideHeading">
    <w:name w:val="Side Heading"/>
    <w:basedOn w:val="HeadingBase"/>
    <w:rsid w:val="000E7C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7C1D"/>
    <w:pPr>
      <w:numPr>
        <w:numId w:val="13"/>
      </w:numPr>
    </w:pPr>
  </w:style>
  <w:style w:type="paragraph" w:styleId="PlainText">
    <w:name w:val="Plain Text"/>
    <w:basedOn w:val="Normal"/>
    <w:link w:val="PlainTextChar"/>
    <w:rsid w:val="000E7C1D"/>
    <w:rPr>
      <w:sz w:val="20"/>
    </w:rPr>
  </w:style>
  <w:style w:type="character" w:customStyle="1" w:styleId="PlainTextChar">
    <w:name w:val="Plain Text Char"/>
    <w:basedOn w:val="DefaultParagraphFont"/>
    <w:link w:val="PlainText"/>
    <w:rsid w:val="000E7C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7C1D"/>
    <w:rPr>
      <w:b/>
      <w:smallCaps/>
    </w:rPr>
  </w:style>
  <w:style w:type="paragraph" w:customStyle="1" w:styleId="TableListNumber">
    <w:name w:val="Table List Number"/>
    <w:basedOn w:val="ListNumber"/>
    <w:rsid w:val="000E7C1D"/>
    <w:pPr>
      <w:numPr>
        <w:numId w:val="0"/>
      </w:numPr>
    </w:pPr>
  </w:style>
  <w:style w:type="paragraph" w:styleId="TOC4">
    <w:name w:val="toc 4"/>
    <w:basedOn w:val="TOCBase"/>
    <w:next w:val="Normal"/>
    <w:semiHidden/>
    <w:rsid w:val="000E7C1D"/>
    <w:pPr>
      <w:tabs>
        <w:tab w:val="right" w:leader="dot" w:pos="9071"/>
      </w:tabs>
      <w:ind w:left="1701"/>
    </w:pPr>
  </w:style>
  <w:style w:type="paragraph" w:customStyle="1" w:styleId="ListAlpha">
    <w:name w:val="List Alpha"/>
    <w:basedOn w:val="List"/>
    <w:rsid w:val="000E7C1D"/>
    <w:pPr>
      <w:numPr>
        <w:numId w:val="10"/>
      </w:numPr>
    </w:pPr>
  </w:style>
  <w:style w:type="paragraph" w:customStyle="1" w:styleId="ListAlpha2">
    <w:name w:val="List Alpha 2"/>
    <w:basedOn w:val="List2"/>
    <w:rsid w:val="000E7C1D"/>
    <w:pPr>
      <w:numPr>
        <w:numId w:val="9"/>
      </w:numPr>
    </w:pPr>
  </w:style>
  <w:style w:type="paragraph" w:styleId="List2">
    <w:name w:val="List 2"/>
    <w:basedOn w:val="BodyText"/>
    <w:rsid w:val="000E7C1D"/>
    <w:pPr>
      <w:tabs>
        <w:tab w:val="left" w:pos="680"/>
      </w:tabs>
      <w:spacing w:before="60" w:after="60"/>
      <w:ind w:left="680" w:hanging="340"/>
    </w:pPr>
  </w:style>
  <w:style w:type="paragraph" w:styleId="List3">
    <w:name w:val="List 3"/>
    <w:basedOn w:val="BodyText"/>
    <w:rsid w:val="000E7C1D"/>
    <w:pPr>
      <w:tabs>
        <w:tab w:val="left" w:pos="1021"/>
      </w:tabs>
      <w:spacing w:before="60" w:after="60"/>
      <w:ind w:left="1020" w:hanging="340"/>
    </w:pPr>
  </w:style>
  <w:style w:type="paragraph" w:styleId="List4">
    <w:name w:val="List 4"/>
    <w:basedOn w:val="BodyText"/>
    <w:rsid w:val="000E7C1D"/>
    <w:pPr>
      <w:tabs>
        <w:tab w:val="left" w:pos="1361"/>
      </w:tabs>
      <w:spacing w:before="60" w:after="60"/>
      <w:ind w:left="1361" w:hanging="340"/>
    </w:pPr>
  </w:style>
  <w:style w:type="paragraph" w:styleId="List5">
    <w:name w:val="List 5"/>
    <w:basedOn w:val="BodyText"/>
    <w:rsid w:val="000E7C1D"/>
    <w:pPr>
      <w:tabs>
        <w:tab w:val="left" w:pos="1701"/>
      </w:tabs>
      <w:spacing w:before="60" w:after="60"/>
      <w:ind w:left="1701" w:hanging="340"/>
    </w:pPr>
  </w:style>
  <w:style w:type="paragraph" w:styleId="ListBullet4">
    <w:name w:val="List Bullet 4"/>
    <w:basedOn w:val="List4"/>
    <w:rsid w:val="000E7C1D"/>
    <w:pPr>
      <w:numPr>
        <w:numId w:val="4"/>
      </w:numPr>
    </w:pPr>
  </w:style>
  <w:style w:type="paragraph" w:styleId="ListBullet5">
    <w:name w:val="List Bullet 5"/>
    <w:basedOn w:val="List5"/>
    <w:rsid w:val="000E7C1D"/>
    <w:pPr>
      <w:numPr>
        <w:numId w:val="5"/>
      </w:numPr>
    </w:pPr>
  </w:style>
  <w:style w:type="paragraph" w:styleId="ListContinue2">
    <w:name w:val="List Continue 2"/>
    <w:basedOn w:val="List2"/>
    <w:rsid w:val="000E7C1D"/>
    <w:pPr>
      <w:ind w:firstLine="0"/>
    </w:pPr>
  </w:style>
  <w:style w:type="paragraph" w:styleId="ListContinue3">
    <w:name w:val="List Continue 3"/>
    <w:basedOn w:val="List3"/>
    <w:rsid w:val="000E7C1D"/>
    <w:pPr>
      <w:ind w:left="1021" w:firstLine="0"/>
    </w:pPr>
  </w:style>
  <w:style w:type="paragraph" w:styleId="ListContinue4">
    <w:name w:val="List Continue 4"/>
    <w:basedOn w:val="List4"/>
    <w:rsid w:val="000E7C1D"/>
    <w:pPr>
      <w:ind w:firstLine="0"/>
    </w:pPr>
  </w:style>
  <w:style w:type="paragraph" w:styleId="ListContinue5">
    <w:name w:val="List Continue 5"/>
    <w:basedOn w:val="List5"/>
    <w:rsid w:val="000E7C1D"/>
    <w:pPr>
      <w:ind w:firstLine="0"/>
    </w:pPr>
  </w:style>
  <w:style w:type="paragraph" w:styleId="ListNumber3">
    <w:name w:val="List Number 3"/>
    <w:basedOn w:val="List3"/>
    <w:rsid w:val="000E7C1D"/>
    <w:pPr>
      <w:numPr>
        <w:numId w:val="6"/>
      </w:numPr>
    </w:pPr>
  </w:style>
  <w:style w:type="paragraph" w:styleId="ListNumber4">
    <w:name w:val="List Number 4"/>
    <w:basedOn w:val="List4"/>
    <w:rsid w:val="000E7C1D"/>
    <w:pPr>
      <w:numPr>
        <w:numId w:val="7"/>
      </w:numPr>
    </w:pPr>
  </w:style>
  <w:style w:type="paragraph" w:styleId="ListNumber5">
    <w:name w:val="List Number 5"/>
    <w:basedOn w:val="List5"/>
    <w:rsid w:val="000E7C1D"/>
    <w:pPr>
      <w:numPr>
        <w:numId w:val="8"/>
      </w:numPr>
    </w:pPr>
  </w:style>
  <w:style w:type="paragraph" w:styleId="BlockText">
    <w:name w:val="Block Text"/>
    <w:basedOn w:val="Normal"/>
    <w:rsid w:val="000E7C1D"/>
    <w:pPr>
      <w:spacing w:after="120"/>
      <w:ind w:left="1440" w:right="1440"/>
    </w:pPr>
  </w:style>
  <w:style w:type="character" w:customStyle="1" w:styleId="Subscript">
    <w:name w:val="Subscript"/>
    <w:basedOn w:val="DefaultParagraphFont"/>
    <w:rsid w:val="000E7C1D"/>
    <w:rPr>
      <w:sz w:val="16"/>
      <w:vertAlign w:val="subscript"/>
    </w:rPr>
  </w:style>
  <w:style w:type="character" w:customStyle="1" w:styleId="Superscript">
    <w:name w:val="Superscript"/>
    <w:basedOn w:val="DefaultParagraphFont"/>
    <w:rsid w:val="000E7C1D"/>
    <w:rPr>
      <w:sz w:val="16"/>
      <w:vertAlign w:val="superscript"/>
    </w:rPr>
  </w:style>
  <w:style w:type="character" w:customStyle="1" w:styleId="Symbols">
    <w:name w:val="Symbols"/>
    <w:basedOn w:val="DefaultParagraphFont"/>
    <w:rsid w:val="000E7C1D"/>
    <w:rPr>
      <w:rFonts w:ascii="Symbol" w:hAnsi="Symbol"/>
    </w:rPr>
  </w:style>
  <w:style w:type="character" w:customStyle="1" w:styleId="MenuOptions">
    <w:name w:val="Menu Options"/>
    <w:basedOn w:val="DefaultParagraphFont"/>
    <w:rsid w:val="000E7C1D"/>
    <w:rPr>
      <w:rFonts w:ascii="Arial Narrow" w:hAnsi="Arial Narrow"/>
      <w:smallCaps/>
    </w:rPr>
  </w:style>
  <w:style w:type="character" w:customStyle="1" w:styleId="Buttons">
    <w:name w:val="Buttons"/>
    <w:basedOn w:val="DefaultParagraphFont"/>
    <w:rsid w:val="000E7C1D"/>
    <w:rPr>
      <w:b/>
    </w:rPr>
  </w:style>
  <w:style w:type="character" w:customStyle="1" w:styleId="Underlined">
    <w:name w:val="Underlined"/>
    <w:basedOn w:val="DefaultParagraphFont"/>
    <w:rsid w:val="000E7C1D"/>
    <w:rPr>
      <w:u w:val="single"/>
    </w:rPr>
  </w:style>
  <w:style w:type="paragraph" w:customStyle="1" w:styleId="TableBodyTextRight">
    <w:name w:val="Table Body Text Right"/>
    <w:basedOn w:val="TableBodyText"/>
    <w:rsid w:val="000E7C1D"/>
    <w:pPr>
      <w:widowControl w:val="0"/>
      <w:autoSpaceDE w:val="0"/>
      <w:autoSpaceDN w:val="0"/>
      <w:adjustRightInd w:val="0"/>
      <w:jc w:val="right"/>
    </w:pPr>
    <w:rPr>
      <w:rFonts w:cs="Arial"/>
      <w:szCs w:val="18"/>
    </w:rPr>
  </w:style>
  <w:style w:type="paragraph" w:customStyle="1" w:styleId="CopyrightText">
    <w:name w:val="Copyright Text"/>
    <w:basedOn w:val="BodyText"/>
    <w:rsid w:val="000E7C1D"/>
    <w:rPr>
      <w:sz w:val="18"/>
    </w:rPr>
  </w:style>
  <w:style w:type="paragraph" w:customStyle="1" w:styleId="BodySmallRight">
    <w:name w:val="Body Small Right"/>
    <w:basedOn w:val="BodyTextRight"/>
    <w:rsid w:val="000E7C1D"/>
    <w:rPr>
      <w:sz w:val="18"/>
      <w:szCs w:val="18"/>
    </w:rPr>
  </w:style>
  <w:style w:type="paragraph" w:customStyle="1" w:styleId="MarginEdition">
    <w:name w:val="Margin Edition"/>
    <w:basedOn w:val="MarginNote"/>
    <w:rsid w:val="000E7C1D"/>
    <w:pPr>
      <w:spacing w:before="0" w:after="0"/>
    </w:pPr>
    <w:rPr>
      <w:rFonts w:ascii="Times New Roman" w:hAnsi="Times New Roman"/>
      <w:color w:val="999999"/>
    </w:rPr>
  </w:style>
  <w:style w:type="paragraph" w:customStyle="1" w:styleId="Spacer">
    <w:name w:val="Spacer"/>
    <w:basedOn w:val="Normal"/>
    <w:rsid w:val="000E7C1D"/>
    <w:rPr>
      <w:sz w:val="2"/>
      <w:szCs w:val="2"/>
    </w:rPr>
  </w:style>
  <w:style w:type="character" w:customStyle="1" w:styleId="Small">
    <w:name w:val="Small"/>
    <w:basedOn w:val="DefaultParagraphFont"/>
    <w:rsid w:val="000E7C1D"/>
    <w:rPr>
      <w:sz w:val="16"/>
    </w:rPr>
  </w:style>
  <w:style w:type="paragraph" w:customStyle="1" w:styleId="WideTable">
    <w:name w:val="Wide Table"/>
    <w:basedOn w:val="Normal"/>
    <w:rsid w:val="000E7C1D"/>
    <w:pPr>
      <w:ind w:left="-1418"/>
    </w:pPr>
    <w:rPr>
      <w:sz w:val="2"/>
      <w:szCs w:val="2"/>
    </w:rPr>
  </w:style>
  <w:style w:type="character" w:styleId="PageNumber">
    <w:name w:val="page number"/>
    <w:basedOn w:val="DefaultParagraphFont"/>
    <w:rsid w:val="000E7C1D"/>
  </w:style>
  <w:style w:type="paragraph" w:styleId="Quote">
    <w:name w:val="Quote"/>
    <w:basedOn w:val="Heading1"/>
    <w:link w:val="QuoteChar"/>
    <w:qFormat/>
    <w:rsid w:val="000E7C1D"/>
    <w:rPr>
      <w:b w:val="0"/>
      <w:sz w:val="72"/>
      <w:szCs w:val="72"/>
      <w:lang w:val="en-NZ"/>
    </w:rPr>
  </w:style>
  <w:style w:type="character" w:customStyle="1" w:styleId="QuoteChar">
    <w:name w:val="Quote Char"/>
    <w:basedOn w:val="DefaultParagraphFont"/>
    <w:link w:val="Quote"/>
    <w:rsid w:val="000E7C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7C1D"/>
    <w:pPr>
      <w:pageBreakBefore/>
    </w:pPr>
  </w:style>
  <w:style w:type="paragraph" w:customStyle="1" w:styleId="Border">
    <w:name w:val="Border"/>
    <w:basedOn w:val="Normal"/>
    <w:qFormat/>
    <w:rsid w:val="000E7C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7C1D"/>
    <w:rPr>
      <w:b/>
      <w:bCs/>
      <w:i/>
      <w:iCs/>
      <w:color w:val="auto"/>
    </w:rPr>
  </w:style>
  <w:style w:type="paragraph" w:styleId="IntenseQuote">
    <w:name w:val="Intense Quote"/>
    <w:basedOn w:val="Normal"/>
    <w:next w:val="Normal"/>
    <w:link w:val="IntenseQuoteChar"/>
    <w:uiPriority w:val="30"/>
    <w:qFormat/>
    <w:rsid w:val="000E7C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7C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7C1D"/>
    <w:rPr>
      <w:smallCaps/>
      <w:color w:val="auto"/>
      <w:u w:val="single"/>
    </w:rPr>
  </w:style>
  <w:style w:type="character" w:styleId="IntenseReference">
    <w:name w:val="Intense Reference"/>
    <w:basedOn w:val="DefaultParagraphFont"/>
    <w:uiPriority w:val="32"/>
    <w:qFormat/>
    <w:rsid w:val="000E7C1D"/>
    <w:rPr>
      <w:b/>
      <w:bCs/>
      <w:smallCaps/>
      <w:color w:val="auto"/>
      <w:spacing w:val="5"/>
      <w:u w:val="single"/>
    </w:rPr>
  </w:style>
  <w:style w:type="paragraph" w:customStyle="1" w:styleId="2ColumnHeading">
    <w:name w:val="2Column Heading"/>
    <w:basedOn w:val="BodyText"/>
    <w:qFormat/>
    <w:rsid w:val="000E7C1D"/>
    <w:pPr>
      <w:spacing w:after="60"/>
      <w:ind w:left="-2268"/>
    </w:pPr>
    <w:rPr>
      <w:b/>
    </w:rPr>
  </w:style>
  <w:style w:type="paragraph" w:customStyle="1" w:styleId="Heading1TOC">
    <w:name w:val="Heading1 TOC"/>
    <w:basedOn w:val="Normal"/>
    <w:qFormat/>
    <w:rsid w:val="000E7C1D"/>
    <w:pPr>
      <w:spacing w:before="240" w:after="120"/>
    </w:pPr>
    <w:rPr>
      <w:rFonts w:ascii="Times New Roman" w:hAnsi="Times New Roman"/>
      <w:b/>
      <w:sz w:val="32"/>
    </w:rPr>
  </w:style>
  <w:style w:type="paragraph" w:customStyle="1" w:styleId="Heading2TOC">
    <w:name w:val="Heading2 TOC"/>
    <w:basedOn w:val="Normal"/>
    <w:qFormat/>
    <w:rsid w:val="000E7C1D"/>
    <w:pPr>
      <w:spacing w:before="240" w:after="60"/>
    </w:pPr>
    <w:rPr>
      <w:rFonts w:ascii="Times New Roman" w:hAnsi="Times New Roman"/>
      <w:b/>
      <w:sz w:val="28"/>
    </w:rPr>
  </w:style>
  <w:style w:type="character" w:customStyle="1" w:styleId="Underline">
    <w:name w:val="Underline"/>
    <w:basedOn w:val="DefaultParagraphFont"/>
    <w:qFormat/>
    <w:rsid w:val="000E7C1D"/>
    <w:rPr>
      <w:u w:val="single"/>
    </w:rPr>
  </w:style>
  <w:style w:type="character" w:customStyle="1" w:styleId="BoldandItalics">
    <w:name w:val="Bold and Italics"/>
    <w:qFormat/>
    <w:rsid w:val="000E7C1D"/>
    <w:rPr>
      <w:b/>
      <w:i/>
      <w:u w:val="none"/>
    </w:rPr>
  </w:style>
  <w:style w:type="paragraph" w:styleId="BalloonText">
    <w:name w:val="Balloon Text"/>
    <w:basedOn w:val="Normal"/>
    <w:link w:val="BalloonTextChar"/>
    <w:rsid w:val="000E7C1D"/>
    <w:rPr>
      <w:rFonts w:ascii="Tahoma" w:hAnsi="Tahoma" w:cs="Tahoma"/>
      <w:sz w:val="16"/>
      <w:szCs w:val="16"/>
    </w:rPr>
  </w:style>
  <w:style w:type="character" w:customStyle="1" w:styleId="BalloonTextChar">
    <w:name w:val="Balloon Text Char"/>
    <w:basedOn w:val="DefaultParagraphFont"/>
    <w:link w:val="BalloonText"/>
    <w:rsid w:val="000E7C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7C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7C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2834</Words>
  <Characters>17914</Characters>
  <Application>Microsoft Office Word</Application>
  <DocSecurity>0</DocSecurity>
  <Lines>675</Lines>
  <Paragraphs>295</Paragraphs>
  <ScaleCrop>false</ScaleCrop>
  <Company>Author-it Software Corporation Ltd.</Company>
  <LinksUpToDate>false</LinksUpToDate>
  <CharactersWithSpaces>20568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UETTDRIS35A Perform remote community network field switching to a given schedule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2012-05-26T12:12:00Z</dcterms:created>
  <dcterms:modified xsi:type="dcterms:W3CDTF">2012-05-26T12:12:00Z</dcterms:modified>
</cp:coreProperties>
</file>