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438" w:rsidP="00B97438">
      <w:pPr>
        <w:pStyle w:val="Title"/>
      </w:pPr>
      <w:bookmarkStart w:id="0" w:name="_GoBack"/>
      <w:bookmarkEnd w:id="0"/>
      <w:r>
        <w:fldChar w:fldCharType="begin"/>
      </w:r>
      <w:r>
        <w:instrText xml:space="preserve"> TITLE   \* MERGEFORMAT </w:instrText>
      </w:r>
      <w:r>
        <w:fldChar w:fldCharType="separate"/>
      </w:r>
      <w:r>
        <w:t>UETTDREL21A Operate specialised data information equipment near live electrical apparatus</w:t>
      </w:r>
      <w:r>
        <w:fldChar w:fldCharType="end"/>
      </w:r>
    </w:p>
    <w:p w:rsidR="00B97438" w:rsidP="00B97438">
      <w:pPr>
        <w:pStyle w:val="Version"/>
        <w:sectPr w:rsidSect="00972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2C5E" w:rsidP="00972C5E">
      <w:pPr>
        <w:pStyle w:val="SuperHeading"/>
      </w:pPr>
      <w:r w:rsidRPr="00972C5E">
        <w:t>UETTDREL21A Operate specialised data information equipment near live electrical apparatus</w:t>
      </w:r>
    </w:p>
    <w:p w:rsidR="00000000" w:rsidRPr="00972C5E" w:rsidP="00972C5E">
      <w:pPr>
        <w:pStyle w:val="Heading1"/>
      </w:pPr>
      <w:bookmarkStart w:id="1" w:name="O_536269"/>
      <w:bookmarkEnd w:id="1"/>
      <w:r w:rsidRPr="00972C5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9743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Points</w:t>
            </w:r>
          </w:p>
        </w:tc>
      </w:tr>
      <w:tr w:rsidTr="00B9743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Corrected "Evidence shall show that knowledge has been acquired of" statement on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2" w:name="O_536268"/>
      <w:bookmarkEnd w:id="2"/>
      <w:r w:rsidRPr="00972C5E">
        <w:t>Unit Descriptor</w:t>
      </w:r>
    </w:p>
    <w:tbl>
      <w:tblPr>
        <w:tblW w:w="0" w:type="auto"/>
        <w:tblLayout w:type="fixed"/>
        <w:tblCellMar>
          <w:left w:w="62" w:type="dxa"/>
          <w:right w:w="62" w:type="dxa"/>
        </w:tblCellMar>
        <w:tblLook w:val="0000"/>
      </w:tblPr>
      <w:tblGrid>
        <w:gridCol w:w="2700"/>
        <w:gridCol w:w="5760"/>
      </w:tblGrid>
      <w:tr w:rsidTr="00B974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1)</w:t>
            </w:r>
            <w:r w:rsidRPr="00972C5E">
              <w:t xml:space="preserve"> </w:t>
            </w:r>
            <w:r w:rsidRPr="00972C5E">
              <w:rPr>
                <w:rStyle w:val="SpecialBold"/>
              </w:rPr>
              <w:t>Scope:</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2C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1.1) Descriptor</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This Competency Standard Unit covers the operation of specialised data information equipment near live electrical apparatus.</w:t>
            </w:r>
          </w:p>
          <w:p w:rsidR="00000000" w:rsidRPr="00972C5E" w:rsidP="00972C5E">
            <w:pPr>
              <w:pStyle w:val="BodyText"/>
            </w:pPr>
            <w:r w:rsidRPr="00972C5E">
              <w:t>Also included is the preparation of risk assessment control measures that encompass job safety assessment.</w:t>
            </w:r>
          </w:p>
          <w:p w:rsidR="00000000" w:rsidRPr="00972C5E" w:rsidP="00972C5E">
            <w:pPr>
              <w:pStyle w:val="BodyText"/>
            </w:pPr>
            <w:r w:rsidRPr="00972C5E">
              <w:t>It also includes complia</w:t>
            </w:r>
            <w:r w:rsidRPr="00972C5E">
              <w:t>nce with relevant State or Territory regulatory agencies/bodies, local government legislation, industry bi-partite body – Guidelines/Codes of Practices or other related requirements for safe use of equipment near live electrical apparatus.</w:t>
            </w:r>
          </w:p>
          <w:p w:rsidR="00000000" w:rsidRPr="00972C5E" w:rsidP="00972C5E">
            <w:pPr>
              <w:pStyle w:val="BodyText"/>
            </w:pPr>
            <w:r w:rsidRPr="00972C5E">
              <w:t>No licensing, le</w:t>
            </w:r>
            <w:r w:rsidRPr="00972C5E">
              <w:t>gislative, regulatory or certification requirements apply to this unit at the time of publication.</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3" w:name="O_536267"/>
      <w:bookmarkEnd w:id="3"/>
      <w:r w:rsidRPr="00972C5E">
        <w:t>Application of the Unit</w:t>
      </w:r>
    </w:p>
    <w:tbl>
      <w:tblPr>
        <w:tblW w:w="0" w:type="auto"/>
        <w:tblLayout w:type="fixed"/>
        <w:tblCellMar>
          <w:left w:w="62" w:type="dxa"/>
          <w:right w:w="62" w:type="dxa"/>
        </w:tblCellMar>
        <w:tblLook w:val="0000"/>
      </w:tblPr>
      <w:tblGrid>
        <w:gridCol w:w="2672"/>
        <w:gridCol w:w="5699"/>
      </w:tblGrid>
      <w:tr w:rsidTr="00B974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2)</w:t>
            </w:r>
          </w:p>
        </w:tc>
      </w:tr>
      <w:tr w:rsidTr="00B974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 xml:space="preserve">This competency standards unit would be applied </w:t>
            </w:r>
            <w:r w:rsidRPr="00972C5E">
              <w:t xml:space="preserve"> by asset inspectors engaged in the regular and methodical inspection and treatment poles and inspection of electrical apparatus in the transmission and distribution industry sector</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4" w:name="O_536266"/>
      <w:bookmarkEnd w:id="4"/>
      <w:r w:rsidRPr="00972C5E">
        <w:t>Licensing/Regulatory Information</w:t>
      </w:r>
    </w:p>
    <w:tbl>
      <w:tblPr>
        <w:tblW w:w="0" w:type="auto"/>
        <w:tblLayout w:type="fixed"/>
        <w:tblCellMar>
          <w:left w:w="62" w:type="dxa"/>
          <w:right w:w="62" w:type="dxa"/>
        </w:tblCellMar>
        <w:tblLook w:val="0000"/>
      </w:tblPr>
      <w:tblGrid>
        <w:gridCol w:w="2700"/>
        <w:gridCol w:w="5760"/>
      </w:tblGrid>
      <w:tr w:rsidTr="00B974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3)</w:t>
            </w:r>
            <w:r w:rsidRPr="00972C5E">
              <w:rPr>
                <w:rStyle w:val="SpecialBold"/>
              </w:rPr>
              <w:t xml:space="preserve"> </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The skills and knowledge described in this unit may require a licence/registration to practice in the work place subject to regulations for undertaking of electrical work. Practice in workplace and during training is also subject to regulations directl</w:t>
            </w:r>
            <w:r w:rsidRPr="00972C5E">
              <w:t>y related to Occupational Health and Safety, electricity/telecommunications/gas/water industry safety and compliance, industrial relations, environmental protection, anti discrimination and training. Commonwealth, State/Territory or Local Government legisl</w:t>
            </w:r>
            <w:r w:rsidRPr="00972C5E">
              <w:t>ation and regulations may exist that limits the age of operating certain equipment.</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5" w:name="O_536265"/>
      <w:bookmarkEnd w:id="5"/>
      <w:r w:rsidRPr="00972C5E">
        <w:t>Pre-Requisites</w:t>
      </w:r>
    </w:p>
    <w:tbl>
      <w:tblPr>
        <w:tblW w:w="0" w:type="auto"/>
        <w:tblLayout w:type="fixed"/>
        <w:tblCellMar>
          <w:left w:w="62" w:type="dxa"/>
          <w:right w:w="62" w:type="dxa"/>
        </w:tblCellMar>
        <w:tblLook w:val="0000"/>
      </w:tblPr>
      <w:tblGrid>
        <w:gridCol w:w="2700"/>
        <w:gridCol w:w="1800"/>
        <w:gridCol w:w="3960"/>
      </w:tblGrid>
      <w:tr w:rsidTr="00B974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 xml:space="preserve">4) </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4.1)</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Granting of competency in this unit shall be made only after competency in the following unit(s) has/have been confirmed.</w:t>
            </w:r>
          </w:p>
          <w:p w:rsidR="00000000" w:rsidRPr="00972C5E" w:rsidP="00972C5E">
            <w:pPr>
              <w:pStyle w:val="BodyText"/>
            </w:pPr>
            <w:r w:rsidRPr="00972C5E">
              <w:t>Where pre-requisite pathways have been identified. All competencies in the Common Unit Group must be have been completed.</w:t>
            </w:r>
          </w:p>
          <w:p w:rsidR="00000000" w:rsidP="00972C5E">
            <w:pPr>
              <w:pStyle w:val="BodyText"/>
              <w:rPr>
                <w:lang w:val="en-NZ"/>
              </w:rPr>
            </w:pPr>
            <w:r w:rsidRPr="00972C5E">
              <w:t xml:space="preserve">Common Unit </w:t>
            </w:r>
            <w:r w:rsidRPr="00972C5E">
              <w:t>Group</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Unit Code</w:t>
            </w:r>
          </w:p>
        </w:tc>
        <w:tc>
          <w:tcPr>
            <w:tcW w:w="39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Unit Title</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72C5E">
            <w:pPr>
              <w:pStyle w:val="BodyText"/>
              <w:rPr>
                <w:lang w:val="en-NZ"/>
              </w:rPr>
            </w:pPr>
            <w:r w:rsidRPr="00972C5E">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P="00972C5E">
            <w:pPr>
              <w:pStyle w:val="BodyText"/>
              <w:rPr>
                <w:lang w:val="en-NZ"/>
              </w:rPr>
            </w:pPr>
            <w:r w:rsidRPr="00972C5E">
              <w:t>Apply Occupational Health and Safety regulations, codes and practices in the workplace</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72C5E">
            <w:pPr>
              <w:pStyle w:val="BodyText"/>
              <w:rPr>
                <w:lang w:val="en-NZ"/>
              </w:rPr>
            </w:pPr>
            <w:r w:rsidRPr="00972C5E">
              <w:t>UETTDREL13A</w:t>
            </w:r>
          </w:p>
        </w:tc>
        <w:tc>
          <w:tcPr>
            <w:tcW w:w="3960" w:type="dxa"/>
            <w:tcBorders>
              <w:top w:val="nil"/>
              <w:left w:val="nil"/>
              <w:bottom w:val="nil"/>
              <w:right w:val="nil"/>
            </w:tcBorders>
            <w:tcMar>
              <w:top w:w="0" w:type="dxa"/>
              <w:left w:w="62" w:type="dxa"/>
              <w:bottom w:w="0" w:type="dxa"/>
              <w:right w:w="62" w:type="dxa"/>
            </w:tcMar>
            <w:vAlign w:val="center"/>
          </w:tcPr>
          <w:p w:rsidR="00000000" w:rsidP="00972C5E">
            <w:pPr>
              <w:pStyle w:val="BodyText"/>
              <w:rPr>
                <w:lang w:val="en-NZ"/>
              </w:rPr>
            </w:pPr>
            <w:r w:rsidRPr="00972C5E">
              <w:t>Comply with sustainability, environmental and incidental response policies and procedures</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72C5E">
            <w:pPr>
              <w:pStyle w:val="BodyText"/>
              <w:rPr>
                <w:lang w:val="en-NZ"/>
              </w:rPr>
            </w:pPr>
            <w:r w:rsidRPr="00972C5E">
              <w:t>UETTDREL14A</w:t>
            </w:r>
          </w:p>
        </w:tc>
        <w:tc>
          <w:tcPr>
            <w:tcW w:w="3960" w:type="dxa"/>
            <w:tcBorders>
              <w:top w:val="nil"/>
              <w:left w:val="nil"/>
              <w:bottom w:val="nil"/>
              <w:right w:val="nil"/>
            </w:tcBorders>
            <w:tcMar>
              <w:top w:w="0" w:type="dxa"/>
              <w:left w:w="62" w:type="dxa"/>
              <w:bottom w:w="0" w:type="dxa"/>
              <w:right w:w="62" w:type="dxa"/>
            </w:tcMar>
            <w:vAlign w:val="center"/>
          </w:tcPr>
          <w:p w:rsidR="00000000" w:rsidRPr="00972C5E" w:rsidP="00972C5E">
            <w:pPr>
              <w:pStyle w:val="BodyText"/>
            </w:pPr>
            <w:r w:rsidRPr="00972C5E">
              <w:t>Working safe near live electrical apparatus as a non-electrical worker</w:t>
            </w:r>
          </w:p>
        </w:tc>
      </w:tr>
    </w:tbl>
    <w:p w:rsidR="00000000" w:rsidRPr="00972C5E" w:rsidP="00972C5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743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 xml:space="preserve">4.2) </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Participants are best equipped to achieve this unit if they have reading, writing and numeracy skills indicated by the following scales. Description of each scale is given in Volume 2, Part 3 “Literacy and Numeracy”.</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Reading</w:t>
            </w:r>
          </w:p>
        </w:tc>
        <w:tc>
          <w:tcPr>
            <w:tcW w:w="81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w:t>
            </w:r>
          </w:p>
        </w:tc>
        <w:tc>
          <w:tcPr>
            <w:tcW w:w="99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Writing</w:t>
            </w: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w:t>
            </w:r>
          </w:p>
        </w:tc>
        <w:tc>
          <w:tcPr>
            <w:tcW w:w="12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Numeracy</w:t>
            </w:r>
          </w:p>
        </w:tc>
        <w:tc>
          <w:tcPr>
            <w:tcW w:w="72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3</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6" w:name="O_536264"/>
      <w:bookmarkEnd w:id="6"/>
      <w:r w:rsidRPr="00972C5E">
        <w:t>Employability Skills Information</w:t>
      </w:r>
    </w:p>
    <w:tbl>
      <w:tblPr>
        <w:tblW w:w="0" w:type="auto"/>
        <w:tblLayout w:type="fixed"/>
        <w:tblCellMar>
          <w:left w:w="62" w:type="dxa"/>
          <w:right w:w="62" w:type="dxa"/>
        </w:tblCellMar>
        <w:tblLook w:val="0000"/>
      </w:tblPr>
      <w:tblGrid>
        <w:gridCol w:w="2700"/>
        <w:gridCol w:w="5760"/>
      </w:tblGrid>
      <w:tr w:rsidTr="00B974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 xml:space="preserve">5) </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 xml:space="preserve">The required outcomes described in this unit of competency contain applicable facets of Employability Skills. The Employability Skills Summary of the qualification in which this </w:t>
            </w:r>
            <w:r w:rsidRPr="00972C5E">
              <w:t>unit of competency is packaged will assist in identifying Employability Skill requirements.</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7" w:name="O_536263"/>
      <w:bookmarkEnd w:id="7"/>
      <w:r w:rsidRPr="00972C5E">
        <w:t>Elements and Performance Criteria Pre-Content</w:t>
      </w:r>
    </w:p>
    <w:tbl>
      <w:tblPr>
        <w:tblW w:w="0" w:type="auto"/>
        <w:tblLayout w:type="fixed"/>
        <w:tblCellMar>
          <w:left w:w="62" w:type="dxa"/>
          <w:right w:w="62" w:type="dxa"/>
        </w:tblCellMar>
        <w:tblLook w:val="0000"/>
      </w:tblPr>
      <w:tblGrid>
        <w:gridCol w:w="2700"/>
        <w:gridCol w:w="5760"/>
      </w:tblGrid>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6)</w:t>
            </w:r>
            <w:r w:rsidRPr="00972C5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Performance Criteria describe the required performance needed to demonstrate achievement of the element. Assessment of performance is to be consistent with the Evidence Guide.</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8" w:name="O_536262"/>
      <w:bookmarkEnd w:id="8"/>
      <w:r w:rsidRPr="00972C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74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PERFORMANCE CRITER</w:t>
            </w:r>
            <w:r w:rsidRPr="00972C5E">
              <w:rPr>
                <w:rStyle w:val="SpecialBold"/>
              </w:rPr>
              <w:t>IA</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w:t>
            </w:r>
          </w:p>
        </w:tc>
        <w:tc>
          <w:tcPr>
            <w:tcW w:w="2296" w:type="dxa"/>
            <w:vMerge w:val="restart"/>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Prepare to operate specialised data information equipment near live electrical apparatus</w:t>
            </w: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1.1</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Works instructions are received, analysed and confirmed, if necessary by site inspection.</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1.2</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Relevant requirements and established procedures for the work are communicated to all personnel and identified for all work sites.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1.3</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OHS policies and procedures related to requirements and established procedures for the operation of specialised data information equipment near live electrical apparatus that are used on the poles are obtained and confirmed.</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1.4</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Work is prioritised and </w:t>
            </w:r>
            <w:r w:rsidRPr="00972C5E">
              <w:t>sequenced following consultation with others for completion within acceptable timeframes and in accordance with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1.5</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Hazards are identified; OHS risks assessed and control measures are prioritised, implemented and monitored accord</w:t>
            </w:r>
            <w:r w:rsidRPr="00972C5E">
              <w:t>ing to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1.6</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Relevant work permits are obtained, where necessary, to access and perform work according to requirements and/or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1.7</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Resources including specialised data information equipment, tools and personal protective equipment required for the job are obtained and, confirmed in working order.</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1.8</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Relevant person responsible for First Aid and / or related work safety procedures </w:t>
            </w:r>
            <w:r w:rsidRPr="00972C5E">
              <w:t>at the worksite are confirmed in accordance with established procedures to ensure safety measures are followed in the instance of an incident.</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1.9</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Liaison and communication issues with appropriate personnel, clients and land owners are resolved to carry</w:t>
            </w:r>
            <w:r w:rsidRPr="00972C5E">
              <w:t xml:space="preserve"> out work where necessary.</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1.10</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Site is prepared according to the work schedule and to minimise risk and damage to property, commerce, and individuals in accordance with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1.11</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Personnel participating </w:t>
            </w:r>
            <w:r w:rsidRPr="00972C5E">
              <w:t>in the work are fully briefed and respective responsibilities confirmed in accordance with established procedures, where necessary.</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1.12</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Traffic management plan is identified and road signs, barriers and warning devices are positioned in accordance with</w:t>
            </w:r>
            <w:r w:rsidRPr="00972C5E">
              <w:t xml:space="preserve"> requirements, where necessary.</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1.13</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Pre-operational checks are undertaken to confirm safe and correct operation of specialised data information equipment for safe use near live electrical apparatus according to requirements and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w:t>
            </w:r>
          </w:p>
        </w:tc>
        <w:tc>
          <w:tcPr>
            <w:tcW w:w="2296"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Operate specialised data information equipment near live electrical apparatus</w:t>
            </w: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2.1</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OHS and sustainable energy and environmental principles and practices to reduce the incidents of accidents and minimise waste are monitored and followed in accordance with</w:t>
            </w:r>
            <w:r w:rsidRPr="00972C5E">
              <w:t xml:space="preserve"> requirements and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2.2</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Specialised data information equipment is selected appropriate to the task requirements, and used to produce desired outcome.</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2.3</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Lifting and use of tools and equipment, techniques and practices are safely followed in accordance with established procedures, and confirmed to eliminate the prospects of incidents.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2.4</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Specialised data information equipment, techniques and practices a</w:t>
            </w:r>
            <w:r w:rsidRPr="00972C5E">
              <w:t>re safely followed in accordance with given instructions and requirements, and confirmed to eliminate the prospects of incidents, taking into account prevailing site condition.</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2.5</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Hazard warnings and safety signs are recognised, hazards identified and </w:t>
            </w:r>
            <w:r w:rsidRPr="00972C5E">
              <w:t>OHS risks reported to immediate appropriate personnel for directions according to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2.6</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Specialised data information equipment is safely operated near live electrical apparatus in accordance with the work schedule, requirements, </w:t>
            </w:r>
            <w:r w:rsidRPr="00972C5E">
              <w:t>given instructions and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2.7</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Non-routine events are referred to the immediate appropriate personnel for directions according to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2.8</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Problems associated with the operation of specialised data information eq</w:t>
            </w:r>
            <w:r w:rsidRPr="00972C5E">
              <w:t>uipment near live electrical apparatus is attended to using acquired known solutions and skills related to routine procedures to ensure work instructions and established procedures are met.</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2.9</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Unplanned events during the operation of specialised data i</w:t>
            </w:r>
            <w:r w:rsidRPr="00972C5E">
              <w:t>nformation equipment near live electrical apparatus near live electrical apparatus are undertaken within the scope of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2.10</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Known solutions to a variety of problems are applied using acquired knowledge and associated skills.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2.11</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On-going checks of quality of the work are undertaken in accordance with instructions and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w:t>
            </w:r>
          </w:p>
        </w:tc>
        <w:tc>
          <w:tcPr>
            <w:tcW w:w="2296" w:type="dxa"/>
            <w:vMerge w:val="restart"/>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Complete the operation of the specialised data information equipment near live electrical apparatus.</w:t>
            </w: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3.1</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Work undertaken is checked aga</w:t>
            </w:r>
            <w:r w:rsidRPr="00972C5E">
              <w:t>inst works schedule for conformance with requirements and anomalies reported in accordance with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3.2</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Accidents and/or injuries are reported in accordance with requirements/established procedures, where applicable.</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3.3</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Work site is rehabilitated, cleaned up and made safe in accordance with established procedures.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3.4</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Specialised data information equipment is cleaned, checked and returned to storage in accordance with established procedures </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3.5</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Post-operational checks, minor maintenance and/or relevant documentation of specialised data information equipment is conducted according to requirements.</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3.6</w:t>
            </w:r>
          </w:p>
        </w:tc>
        <w:tc>
          <w:tcPr>
            <w:tcW w:w="48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Relevant work permit(s) are signed off and poles and structures are returned to service in acc</w:t>
            </w:r>
            <w:r w:rsidRPr="00972C5E">
              <w:t>ordance with requirements, where required.</w:t>
            </w:r>
          </w:p>
        </w:tc>
      </w:tr>
      <w:tr w:rsidTr="00B974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3.7</w:t>
            </w:r>
          </w:p>
        </w:tc>
        <w:tc>
          <w:tcPr>
            <w:tcW w:w="48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Works completion records, reports and/or documentation and information are finalised and processed and appropriate personnel notified in accordance with established procedures.</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9" w:name="O_536261"/>
      <w:bookmarkEnd w:id="9"/>
      <w:r w:rsidRPr="00972C5E">
        <w:t>Required S</w:t>
      </w:r>
      <w:r w:rsidRPr="00972C5E">
        <w:t>kills and Knowledge</w:t>
      </w:r>
    </w:p>
    <w:tbl>
      <w:tblPr>
        <w:tblW w:w="0" w:type="auto"/>
        <w:tblLayout w:type="fixed"/>
        <w:tblCellMar>
          <w:left w:w="62" w:type="dxa"/>
          <w:right w:w="62" w:type="dxa"/>
        </w:tblCellMar>
        <w:tblLook w:val="0000"/>
      </w:tblPr>
      <w:tblGrid>
        <w:gridCol w:w="8460"/>
      </w:tblGrid>
      <w:tr w:rsidTr="00B974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REQUIRED SKILLS AND KNOWLEDGE</w:t>
            </w:r>
          </w:p>
        </w:tc>
      </w:tr>
      <w:tr w:rsidTr="00B9743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8)</w:t>
            </w:r>
            <w:r w:rsidRPr="00972C5E">
              <w:t xml:space="preserve"> This describes the essential skills and knowledge and their level, required for this unit.</w:t>
            </w:r>
          </w:p>
          <w:p w:rsidR="00000000" w:rsidRPr="00972C5E" w:rsidP="00972C5E">
            <w:pPr>
              <w:pStyle w:val="BodyText"/>
            </w:pPr>
            <w:r w:rsidRPr="00972C5E">
              <w:t>Evidence shall show that knowledge has been acquired of specialised data information equipment near live electrical apparatus.</w:t>
            </w:r>
          </w:p>
          <w:p w:rsidR="00000000" w:rsidRPr="00972C5E" w:rsidP="00972C5E">
            <w:pPr>
              <w:pStyle w:val="BodyText"/>
            </w:pPr>
            <w:r w:rsidRPr="00972C5E">
              <w:t>All knowledge and skills detailed in this unit should be contextualised to current industry practices and technologies.</w:t>
            </w:r>
          </w:p>
          <w:p w:rsidR="00000000" w:rsidRPr="00972C5E" w:rsidP="00972C5E">
            <w:pPr>
              <w:pStyle w:val="BodyText"/>
            </w:pPr>
            <w:r w:rsidRPr="00972C5E">
              <w:t>KS01-TEL2</w:t>
            </w:r>
            <w:r w:rsidRPr="00972C5E">
              <w:t xml:space="preserve">1A </w:t>
            </w:r>
            <w:r w:rsidRPr="00972C5E">
              <w:tab/>
              <w:t>Specialised data information equipment near live electrical apparatus</w:t>
            </w:r>
          </w:p>
          <w:p w:rsidR="00000000" w:rsidRPr="00972C5E" w:rsidP="00972C5E">
            <w:pPr>
              <w:pStyle w:val="BodyText"/>
            </w:pPr>
            <w:r w:rsidRPr="00972C5E">
              <w:t>Evidence shall show an understanding of specialised data information equipment near live electrical apparatus to an extent indicated by the following aspects:</w:t>
            </w:r>
          </w:p>
          <w:p w:rsidR="00000000" w:rsidRPr="00972C5E" w:rsidP="00972C5E">
            <w:pPr>
              <w:pStyle w:val="BodyText"/>
            </w:pPr>
            <w:r w:rsidRPr="00972C5E">
              <w:t>T1</w:t>
            </w:r>
            <w:r w:rsidRPr="00972C5E">
              <w:tab/>
              <w:t>Specialised data inf</w:t>
            </w:r>
            <w:r w:rsidRPr="00972C5E">
              <w:t>ormation equipment safety requirements encompassing:</w:t>
            </w:r>
          </w:p>
          <w:p w:rsidR="00000000" w:rsidRPr="00972C5E" w:rsidP="00972C5E">
            <w:pPr>
              <w:pStyle w:val="ListBullet"/>
            </w:pPr>
            <w:r w:rsidRPr="00972C5E">
              <w:t>OHS principles</w:t>
            </w:r>
          </w:p>
          <w:p w:rsidR="00000000" w:rsidRPr="00972C5E" w:rsidP="00972C5E">
            <w:pPr>
              <w:pStyle w:val="ListBullet"/>
            </w:pPr>
            <w:r w:rsidRPr="00972C5E">
              <w:t>The legal requirements covering OHS in the work place</w:t>
            </w:r>
          </w:p>
          <w:p w:rsidR="00000000" w:rsidRPr="00972C5E" w:rsidP="00972C5E">
            <w:pPr>
              <w:pStyle w:val="ListBullet"/>
            </w:pPr>
            <w:r w:rsidRPr="00972C5E">
              <w:t>Requirements for personal safety in the workplace</w:t>
            </w:r>
          </w:p>
          <w:p w:rsidR="00000000" w:rsidRPr="00972C5E" w:rsidP="00972C5E">
            <w:pPr>
              <w:pStyle w:val="ListBullet"/>
            </w:pPr>
            <w:r w:rsidRPr="00972C5E">
              <w:t>An understanding of working safely on an around electrical equipment through the ap</w:t>
            </w:r>
            <w:r w:rsidRPr="00972C5E">
              <w:t>plication of risk management principles and control measures</w:t>
            </w:r>
          </w:p>
          <w:p w:rsidR="00000000" w:rsidRPr="00972C5E" w:rsidP="00972C5E">
            <w:pPr>
              <w:pStyle w:val="ListBullet"/>
            </w:pPr>
            <w:r w:rsidRPr="00972C5E">
              <w:t>Identification of Hazards and risks associated with working on / near live electrical apparatus</w:t>
            </w:r>
          </w:p>
          <w:p w:rsidR="00000000" w:rsidRPr="00972C5E" w:rsidP="00972C5E">
            <w:pPr>
              <w:pStyle w:val="ListBullet"/>
            </w:pPr>
            <w:r w:rsidRPr="00972C5E">
              <w:t>Recognising hazards and OHS risks</w:t>
            </w:r>
          </w:p>
          <w:p w:rsidR="00000000" w:rsidRPr="00972C5E" w:rsidP="00972C5E">
            <w:pPr>
              <w:pStyle w:val="ListBullet"/>
            </w:pPr>
            <w:r w:rsidRPr="00972C5E">
              <w:t>Implementing emergency procedures for the rescue of an electric s</w:t>
            </w:r>
            <w:r w:rsidRPr="00972C5E">
              <w:t>hock victim</w:t>
            </w:r>
          </w:p>
          <w:p w:rsidR="00000000" w:rsidRPr="00972C5E" w:rsidP="00972C5E">
            <w:pPr>
              <w:pStyle w:val="ListBullet"/>
            </w:pPr>
            <w:r w:rsidRPr="00972C5E">
              <w:t>Providing emergency first aid for an electric shock victim</w:t>
            </w:r>
          </w:p>
          <w:p w:rsidR="00000000" w:rsidRPr="00972C5E" w:rsidP="00972C5E">
            <w:pPr>
              <w:pStyle w:val="ListBullet"/>
            </w:pPr>
            <w:r w:rsidRPr="00972C5E">
              <w:t>Selecting and using Personal Protecting Equipment (PPE)</w:t>
            </w:r>
          </w:p>
          <w:p w:rsidR="00000000" w:rsidRPr="00972C5E" w:rsidP="00972C5E">
            <w:pPr>
              <w:pStyle w:val="BodyText"/>
            </w:pPr>
            <w:r w:rsidRPr="00972C5E">
              <w:t>T2</w:t>
            </w:r>
            <w:r w:rsidRPr="00972C5E">
              <w:tab/>
              <w:t>Specialised data information equipment encompassing:</w:t>
            </w:r>
          </w:p>
          <w:p w:rsidR="00000000" w:rsidRPr="00972C5E" w:rsidP="00972C5E">
            <w:pPr>
              <w:pStyle w:val="ListBullet"/>
            </w:pPr>
            <w:r w:rsidRPr="00972C5E">
              <w:t>Standards, codes, legislation, supply author</w:t>
            </w:r>
            <w:r w:rsidRPr="00972C5E">
              <w:t xml:space="preserve">ity regulations and or enterprise policies and procedures </w:t>
            </w:r>
          </w:p>
          <w:p w:rsidR="00000000" w:rsidRPr="00972C5E" w:rsidP="00972C5E">
            <w:pPr>
              <w:pStyle w:val="ListBullet"/>
            </w:pPr>
            <w:r w:rsidRPr="00972C5E">
              <w:t>Reading and following information on standard operating procedures</w:t>
            </w:r>
          </w:p>
          <w:p w:rsidR="00000000" w:rsidRPr="00972C5E" w:rsidP="00972C5E">
            <w:pPr>
              <w:pStyle w:val="ListBullet"/>
            </w:pPr>
            <w:r w:rsidRPr="00972C5E">
              <w:t>Following verbal instructions</w:t>
            </w:r>
          </w:p>
          <w:p w:rsidR="00000000" w:rsidRPr="00972C5E" w:rsidP="00972C5E">
            <w:pPr>
              <w:pStyle w:val="ListBullet"/>
            </w:pPr>
            <w:r w:rsidRPr="00972C5E">
              <w:t>Identifying specialised data information equipment defects</w:t>
            </w:r>
          </w:p>
          <w:p w:rsidR="00000000" w:rsidRPr="00972C5E" w:rsidP="00972C5E">
            <w:pPr>
              <w:pStyle w:val="ListBullet"/>
            </w:pPr>
            <w:r w:rsidRPr="00972C5E">
              <w:t xml:space="preserve">Maintaining specialised data information </w:t>
            </w:r>
            <w:r w:rsidRPr="00972C5E">
              <w:t>equipment using appropriate techniques</w:t>
            </w:r>
          </w:p>
          <w:p w:rsidR="00000000" w:rsidRPr="00972C5E" w:rsidP="00972C5E">
            <w:pPr>
              <w:pStyle w:val="ListBullet"/>
            </w:pPr>
            <w:r w:rsidRPr="00972C5E">
              <w:t>Safe use of enterprise vehicles</w:t>
            </w:r>
          </w:p>
          <w:p w:rsidR="00000000" w:rsidRPr="00972C5E" w:rsidP="00972C5E">
            <w:pPr>
              <w:pStyle w:val="ListBullet"/>
            </w:pPr>
            <w:r w:rsidRPr="00972C5E">
              <w:t>Operation of specialised data information equipment - pre-operational checks, safe use of specialised data information equipment, safe transporting and storage procedures according to m</w:t>
            </w:r>
            <w:r w:rsidRPr="00972C5E">
              <w:t>anufacturers’/ standard operating procedures</w:t>
            </w:r>
          </w:p>
          <w:p w:rsidR="00000000" w:rsidRPr="00972C5E" w:rsidP="00972C5E">
            <w:pPr>
              <w:pStyle w:val="ListBullet"/>
            </w:pPr>
            <w:r w:rsidRPr="00972C5E">
              <w:t xml:space="preserve">Completing of records, reports and documentation </w:t>
            </w:r>
          </w:p>
          <w:p w:rsidR="00000000" w:rsidRPr="00972C5E" w:rsidP="00972C5E">
            <w:pPr>
              <w:pStyle w:val="ListBullet"/>
            </w:pPr>
            <w:r w:rsidRPr="00972C5E">
              <w:t>Adjustments/alignments to a range of specialised data information equipment</w:t>
            </w:r>
          </w:p>
          <w:p w:rsidR="00000000" w:rsidRPr="00972C5E" w:rsidP="00972C5E">
            <w:pPr>
              <w:pStyle w:val="ListBullet"/>
            </w:pPr>
            <w:r w:rsidRPr="00972C5E">
              <w:t>Routine maintenance requirements of a range of specialised data information equipment</w:t>
            </w:r>
          </w:p>
          <w:p w:rsidR="00000000" w:rsidRPr="00972C5E" w:rsidP="00972C5E">
            <w:pPr>
              <w:pStyle w:val="ListBullet"/>
            </w:pPr>
            <w:r w:rsidRPr="00972C5E">
              <w:t>Safe use of specialised data information equipment</w:t>
            </w:r>
          </w:p>
          <w:p w:rsidR="00000000" w:rsidRPr="00972C5E" w:rsidP="00972C5E">
            <w:pPr>
              <w:pStyle w:val="ListBullet"/>
            </w:pPr>
            <w:r w:rsidRPr="00972C5E">
              <w:t>Maintenance and storage of specialised data information equipment.</w:t>
            </w:r>
          </w:p>
        </w:tc>
      </w:tr>
    </w:tbl>
    <w:p w:rsidR="00B97438" w:rsidP="00972C5E">
      <w:pPr>
        <w:pStyle w:val="BodyText"/>
      </w:pPr>
    </w:p>
    <w:p w:rsidR="00B97438" w:rsidP="00972C5E">
      <w:pPr>
        <w:pStyle w:val="BodyText"/>
      </w:pPr>
    </w:p>
    <w:p w:rsidR="00000000" w:rsidRPr="00972C5E" w:rsidP="00972C5E">
      <w:pPr>
        <w:pStyle w:val="Heading1"/>
      </w:pPr>
      <w:bookmarkStart w:id="10" w:name="O_536260"/>
      <w:bookmarkEnd w:id="10"/>
      <w:r w:rsidRPr="00972C5E">
        <w:t>Evidence Guide</w:t>
      </w:r>
    </w:p>
    <w:tbl>
      <w:tblPr>
        <w:tblW w:w="0" w:type="auto"/>
        <w:tblLayout w:type="fixed"/>
        <w:tblCellMar>
          <w:left w:w="62" w:type="dxa"/>
          <w:right w:w="62" w:type="dxa"/>
        </w:tblCellMar>
        <w:tblLook w:val="0000"/>
      </w:tblPr>
      <w:tblGrid>
        <w:gridCol w:w="8460"/>
      </w:tblGrid>
      <w:tr w:rsidTr="00B974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EVIDENCE GUIDE</w:t>
            </w:r>
          </w:p>
        </w:tc>
      </w:tr>
      <w:tr w:rsidTr="00B974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9)</w:t>
            </w:r>
            <w:r w:rsidRPr="00972C5E">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72C5E" w:rsidP="00972C5E">
            <w:pPr>
              <w:pStyle w:val="BodyText"/>
            </w:pPr>
            <w:r w:rsidRPr="00972C5E">
              <w:t>The Evidenc</w:t>
            </w:r>
            <w:r w:rsidRPr="00972C5E">
              <w:t>e Guide forms an integral part of this Competency Standard Unit and shall be used in conjunction with all component parts of this unit and, performed in accordance with the Assessment Guidelines of this Training Package.</w:t>
            </w:r>
          </w:p>
        </w:tc>
      </w:tr>
    </w:tbl>
    <w:p w:rsidR="00000000" w:rsidRPr="00972C5E" w:rsidP="00972C5E">
      <w:pPr>
        <w:pStyle w:val="BodyText"/>
      </w:pPr>
    </w:p>
    <w:tbl>
      <w:tblPr>
        <w:tblW w:w="0" w:type="auto"/>
        <w:tblLayout w:type="fixed"/>
        <w:tblCellMar>
          <w:left w:w="62" w:type="dxa"/>
          <w:right w:w="62" w:type="dxa"/>
        </w:tblCellMar>
        <w:tblLook w:val="0000"/>
      </w:tblPr>
      <w:tblGrid>
        <w:gridCol w:w="1890"/>
        <w:gridCol w:w="6570"/>
      </w:tblGrid>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9.1)</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Longitudinal competency development approaches to assessment, such as Profiling, require data to be reliably gathered in a form that can be consistently interpreted over time. This approach is best utilised in Apprenticeship programs and reduces assessment</w:t>
            </w:r>
            <w:r w:rsidRPr="00972C5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72C5E">
              <w:t>tency in a realistically simulated work environment. It is recognised that, in some circumstances, assessment in part or full can occur outside the workplace. However, it must be in accord with Industry and, Regulatory policy in this regard.</w:t>
            </w:r>
          </w:p>
          <w:p w:rsidR="00000000" w:rsidRPr="00972C5E" w:rsidP="00972C5E">
            <w:pPr>
              <w:pStyle w:val="BodyText"/>
            </w:pPr>
            <w:r w:rsidRPr="00972C5E">
              <w:t>Methods chosen</w:t>
            </w:r>
            <w:r w:rsidRPr="00972C5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972C5E">
              <w:t>equired and the critical nature of the competencies being assessed.</w:t>
            </w:r>
          </w:p>
          <w:p w:rsidR="00000000" w:rsidRPr="00972C5E" w:rsidP="00972C5E">
            <w:pPr>
              <w:pStyle w:val="BodyText"/>
            </w:pPr>
            <w:r w:rsidRPr="00972C5E">
              <w:t>The critical safety nature of working with electricity, electrical equipment, gas or any other hazardous substance/material carries risk in deeming a person competent. Hence, sources of ev</w:t>
            </w:r>
            <w:r w:rsidRPr="00972C5E">
              <w:t>idence need to be ‘rich’ in nature so as to minimise error in judgment.</w:t>
            </w:r>
          </w:p>
          <w:p w:rsidR="00000000" w:rsidRPr="00972C5E" w:rsidP="00972C5E">
            <w:pPr>
              <w:pStyle w:val="BodyText"/>
            </w:pPr>
            <w:r w:rsidRPr="00972C5E">
              <w:t>Activities associated with normal every day work have a bearing on the decision as to how much and how detailed the data gathered will contribute to its ‘richness’. Some skills are mor</w:t>
            </w:r>
            <w:r w:rsidRPr="00972C5E">
              <w:t>e critical to safety and operational requirements while the same skills may be more or less frequently practiced. These points are raised for the assessors to consider when choosing an assessment method and developing assessment instruments. Sample assessm</w:t>
            </w:r>
            <w:r w:rsidRPr="00972C5E">
              <w:t>ent instruments are included for Assessors in the Assessment Guidelines of this Training Package.</w:t>
            </w:r>
          </w:p>
        </w:tc>
      </w:tr>
    </w:tbl>
    <w:p w:rsidR="00000000" w:rsidRPr="00972C5E" w:rsidP="00972C5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9.2)</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Before the critical aspects of evidence are considered all prerequisi</w:t>
            </w:r>
            <w:r w:rsidRPr="00972C5E">
              <w:t>tes shall be met.</w:t>
            </w:r>
          </w:p>
          <w:p w:rsidR="00000000" w:rsidRPr="00972C5E" w:rsidP="00972C5E">
            <w:pPr>
              <w:pStyle w:val="BodyText"/>
            </w:pPr>
            <w:r w:rsidRPr="00972C5E">
              <w:t>Evidence for competence in this unit shall be considered holistically. Each Element and associated Performance Criteria shall be demonstrated on at least two occasions. Evidence shall also comprise:</w:t>
            </w:r>
          </w:p>
          <w:p w:rsidR="00000000" w:rsidRPr="00972C5E" w:rsidP="00972C5E">
            <w:pPr>
              <w:pStyle w:val="ListBullet"/>
            </w:pPr>
            <w:r w:rsidRPr="00972C5E">
              <w:t>A representative body of Performance Criteria demonstrated within the timeframes typically expected of the discipline, work function and industrial environment. In particular this shall incorporate evidence that shows a candidate is able to:</w:t>
            </w:r>
          </w:p>
          <w:p w:rsidR="00000000" w:rsidRPr="00972C5E" w:rsidP="00972C5E">
            <w:pPr>
              <w:pStyle w:val="ListBullet2"/>
            </w:pPr>
            <w:r w:rsidRPr="00972C5E">
              <w:t>Implement Occ</w:t>
            </w:r>
            <w:r w:rsidRPr="00972C5E">
              <w:t>upational Health and Safety workplace procedures and practices including the use of risk control measures as specified in the Performance Criteria and range; and</w:t>
            </w:r>
          </w:p>
          <w:p w:rsidR="00000000" w:rsidRPr="00972C5E" w:rsidP="00972C5E">
            <w:pPr>
              <w:pStyle w:val="ListBullet2"/>
            </w:pPr>
            <w:r w:rsidRPr="00972C5E">
              <w:t>Apply sustainable energy principles and practices as specified in the Performance Criteria and</w:t>
            </w:r>
            <w:r w:rsidRPr="00972C5E">
              <w:t xml:space="preserve"> range; and</w:t>
            </w:r>
          </w:p>
          <w:p w:rsidR="00000000" w:rsidRPr="00972C5E" w:rsidP="00972C5E">
            <w:pPr>
              <w:pStyle w:val="ListBullet2"/>
            </w:pPr>
            <w:r w:rsidRPr="00972C5E">
              <w:t>Demonstrate an understanding of the essential knowledge and associated skills as described in this unit to such an extent that the learner’s performance outcome is reported in accordance with the preferred approach; namely a percentile graded r</w:t>
            </w:r>
            <w:r w:rsidRPr="00972C5E">
              <w:t>esult, where required by the regulated environment; and</w:t>
            </w:r>
          </w:p>
          <w:p w:rsidR="00000000" w:rsidRPr="00972C5E" w:rsidP="00972C5E">
            <w:pPr>
              <w:pStyle w:val="ListBullet2"/>
            </w:pPr>
            <w:r w:rsidRPr="00972C5E">
              <w:t>Demonstrate an appropriate level of employability skills; and</w:t>
            </w:r>
          </w:p>
          <w:p w:rsidR="00000000" w:rsidRPr="00972C5E" w:rsidP="00972C5E">
            <w:pPr>
              <w:pStyle w:val="ListBullet"/>
            </w:pPr>
            <w:r w:rsidRPr="00972C5E">
              <w:t>Conduct work observing the relevant Anti Discrimination legislation, regulations, policies and workplace procedures; and</w:t>
            </w:r>
          </w:p>
          <w:p w:rsidR="00000000" w:rsidP="00972C5E">
            <w:pPr>
              <w:pStyle w:val="ListBullet2"/>
              <w:rPr>
                <w:lang w:val="en-NZ"/>
              </w:rPr>
            </w:pPr>
            <w:r w:rsidRPr="00972C5E">
              <w:t>Demonstrated pe</w:t>
            </w:r>
            <w:r w:rsidRPr="00972C5E">
              <w:t>rformance across a representative range of contexts from the prescribed items below:</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72C5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rPr>
                <w:rStyle w:val="SpecialBold"/>
              </w:rPr>
              <w:t>Range of tools/equipment/materials/procedures/workplaces/other variables</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72C5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rPr>
                <w:rStyle w:val="SpecialBold"/>
              </w:rPr>
              <w:t>Item List</w:t>
            </w:r>
          </w:p>
        </w:tc>
      </w:tr>
      <w:tr w:rsidTr="00B97438">
        <w:tblPrEx>
          <w:tblW w:w="0" w:type="auto"/>
          <w:tblLayout w:type="fixed"/>
          <w:tblCellMar>
            <w:left w:w="62" w:type="dxa"/>
            <w:right w:w="62" w:type="dxa"/>
          </w:tblCellMar>
          <w:tblLook w:val="0000"/>
        </w:tblPrEx>
        <w:trPr>
          <w:trHeight w:val="470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Confirm operational knowledge associated with the operation of specialised data information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t>Recognition of aerial voltage systems.</w:t>
            </w:r>
          </w:p>
          <w:p w:rsidR="00000000" w:rsidRPr="00972C5E" w:rsidP="00972C5E">
            <w:pPr>
              <w:pStyle w:val="BodyText"/>
            </w:pPr>
            <w:r w:rsidRPr="00972C5E">
              <w:t>Identification of Low Voltage Aerial Circuits.</w:t>
            </w:r>
          </w:p>
          <w:p w:rsidR="00000000" w:rsidRPr="00972C5E" w:rsidP="00972C5E">
            <w:pPr>
              <w:pStyle w:val="BodyText"/>
            </w:pPr>
            <w:r w:rsidRPr="00972C5E">
              <w:t>Identifica</w:t>
            </w:r>
            <w:r w:rsidRPr="00972C5E">
              <w:t>tion of High Voltage Aerial Circuits.</w:t>
            </w:r>
          </w:p>
          <w:p w:rsidR="00000000" w:rsidRPr="00972C5E" w:rsidP="00972C5E">
            <w:pPr>
              <w:pStyle w:val="BodyText"/>
            </w:pPr>
            <w:r w:rsidRPr="00972C5E">
              <w:t>"Safe approach distance" so defined by relevant authorities.</w:t>
            </w:r>
          </w:p>
          <w:p w:rsidR="00000000" w:rsidRPr="00972C5E" w:rsidP="00972C5E">
            <w:pPr>
              <w:pStyle w:val="BodyText"/>
            </w:pPr>
            <w:r w:rsidRPr="00972C5E">
              <w:t>Use of technical standards, acts, regulations, codes /guidelines and established/enterprise/asset owner’s procedures.</w:t>
            </w:r>
          </w:p>
          <w:p w:rsidR="00000000" w:rsidP="00972C5E">
            <w:pPr>
              <w:pStyle w:val="BodyText"/>
              <w:rPr>
                <w:lang w:val="en-NZ"/>
              </w:rPr>
            </w:pPr>
            <w:r w:rsidRPr="00972C5E">
              <w:t xml:space="preserve">Vicinity Permit – Information required </w:t>
            </w:r>
            <w:r w:rsidRPr="00972C5E">
              <w:t>and function.</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 xml:space="preserve">Confirm safe practices associated with the operation specialised </w:t>
            </w:r>
            <w:r w:rsidRPr="00972C5E">
              <w:t>data information equipment near live electrical apparatus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t>OHS safety practices and procedures.</w:t>
            </w:r>
          </w:p>
          <w:p w:rsidR="00000000" w:rsidRPr="00972C5E" w:rsidP="00972C5E">
            <w:pPr>
              <w:pStyle w:val="BodyText"/>
            </w:pPr>
            <w:r w:rsidRPr="00972C5E">
              <w:t xml:space="preserve">Electric shock and </w:t>
            </w:r>
            <w:r w:rsidRPr="00972C5E">
              <w:t>resuscitation.</w:t>
            </w:r>
          </w:p>
          <w:p w:rsidR="00000000" w:rsidRPr="00972C5E" w:rsidP="00972C5E">
            <w:pPr>
              <w:pStyle w:val="BodyText"/>
            </w:pPr>
            <w:r w:rsidRPr="00972C5E">
              <w:t>Events constituting an incident.</w:t>
            </w:r>
          </w:p>
          <w:p w:rsidR="00000000" w:rsidRPr="00972C5E" w:rsidP="00972C5E">
            <w:pPr>
              <w:pStyle w:val="BodyText"/>
            </w:pPr>
            <w:r w:rsidRPr="00972C5E">
              <w:t>Procedures in the event of/responding to, incidents.</w:t>
            </w:r>
          </w:p>
          <w:p w:rsidR="00000000" w:rsidRPr="00972C5E" w:rsidP="00972C5E">
            <w:pPr>
              <w:pStyle w:val="BodyText"/>
            </w:pPr>
            <w:r w:rsidRPr="00972C5E">
              <w:t>Methods of identifying hazards.</w:t>
            </w:r>
          </w:p>
          <w:p w:rsidR="00000000" w:rsidRPr="00972C5E" w:rsidP="00972C5E">
            <w:pPr>
              <w:pStyle w:val="BodyText"/>
            </w:pPr>
            <w:r w:rsidRPr="00972C5E">
              <w:t>Risk assessment procedures.</w:t>
            </w:r>
          </w:p>
          <w:p w:rsidR="00000000" w:rsidP="00972C5E">
            <w:pPr>
              <w:pStyle w:val="BodyText"/>
              <w:rPr>
                <w:lang w:val="en-NZ"/>
              </w:rPr>
            </w:pPr>
            <w:r w:rsidRPr="00972C5E">
              <w:t xml:space="preserve">Constant analysis and decision making relevant to the safety of the work, taking into account prevailing site </w:t>
            </w:r>
            <w:r w:rsidRPr="00972C5E">
              <w:t>conditions (lay of the land) and on-going weather conditions</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 xml:space="preserve">Confirm the safe deployment in varying conditions, and undertake pre and post operational checks, inspections and minor maintenance of specialised </w:t>
            </w:r>
            <w:r w:rsidRPr="00972C5E">
              <w:t>data information equipment in at least 3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t xml:space="preserve">Infrared and/or digital video camera, </w:t>
            </w:r>
          </w:p>
          <w:p w:rsidR="00000000" w:rsidRPr="00972C5E" w:rsidP="00972C5E">
            <w:pPr>
              <w:pStyle w:val="BodyText"/>
            </w:pPr>
            <w:r w:rsidRPr="00972C5E">
              <w:t>Wireless camera</w:t>
            </w:r>
          </w:p>
          <w:p w:rsidR="00000000" w:rsidRPr="00972C5E" w:rsidP="00972C5E">
            <w:pPr>
              <w:pStyle w:val="BodyText"/>
            </w:pPr>
            <w:r w:rsidRPr="00972C5E">
              <w:t>Telescopic stick</w:t>
            </w:r>
          </w:p>
          <w:p w:rsidR="00000000" w:rsidRPr="00972C5E" w:rsidP="00972C5E">
            <w:pPr>
              <w:pStyle w:val="BodyText"/>
            </w:pPr>
            <w:r w:rsidRPr="00972C5E">
              <w:t xml:space="preserve">Stills digital cameras, </w:t>
            </w:r>
          </w:p>
          <w:p w:rsidR="00000000" w:rsidRPr="00972C5E" w:rsidP="00972C5E">
            <w:pPr>
              <w:pStyle w:val="BodyText"/>
            </w:pPr>
            <w:r w:rsidRPr="00972C5E">
              <w:t xml:space="preserve">SLR cameras, </w:t>
            </w:r>
          </w:p>
          <w:p w:rsidR="00000000" w:rsidRPr="00972C5E" w:rsidP="00972C5E">
            <w:pPr>
              <w:pStyle w:val="BodyText"/>
            </w:pPr>
            <w:r w:rsidRPr="00972C5E">
              <w:t xml:space="preserve">Computers / PDA, </w:t>
            </w:r>
          </w:p>
          <w:p w:rsidR="00000000" w:rsidRPr="00972C5E" w:rsidP="00972C5E">
            <w:pPr>
              <w:pStyle w:val="BodyText"/>
            </w:pPr>
            <w:r w:rsidRPr="00972C5E">
              <w:t xml:space="preserve">Sonic testing devices, </w:t>
            </w:r>
          </w:p>
          <w:p w:rsidR="00000000" w:rsidRPr="00972C5E" w:rsidP="00972C5E">
            <w:pPr>
              <w:pStyle w:val="BodyText"/>
            </w:pPr>
            <w:r w:rsidRPr="00972C5E">
              <w:t>Pneumatic height telescopic cameras</w:t>
            </w:r>
          </w:p>
          <w:p w:rsidR="00000000" w:rsidRPr="00972C5E" w:rsidP="00972C5E">
            <w:pPr>
              <w:pStyle w:val="BodyText"/>
            </w:pPr>
            <w:r w:rsidRPr="00972C5E">
              <w:t>Laser di</w:t>
            </w:r>
            <w:r w:rsidRPr="00972C5E">
              <w:t>stance measuring equipment</w:t>
            </w:r>
          </w:p>
          <w:p w:rsidR="00000000" w:rsidP="00972C5E">
            <w:pPr>
              <w:pStyle w:val="BodyText"/>
              <w:rPr>
                <w:lang w:val="en-NZ"/>
              </w:rPr>
            </w:pP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C5E">
            <w:pPr>
              <w:pStyle w:val="BodyText"/>
              <w:rPr>
                <w:lang w:val="en-NZ"/>
              </w:rPr>
            </w:pPr>
            <w:r w:rsidRPr="00972C5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C5E" w:rsidP="00972C5E">
            <w:pPr>
              <w:pStyle w:val="BodyText"/>
            </w:pPr>
            <w:r w:rsidRPr="00972C5E">
              <w:t>Dealing with an unplanned event by drawing on knowledge and associated skills to provide appropriate solutions incorporated in the holistic assessment with the above listed items.</w:t>
            </w:r>
          </w:p>
        </w:tc>
      </w:tr>
    </w:tbl>
    <w:p w:rsidR="00000000" w:rsidRPr="00972C5E" w:rsidP="00972C5E">
      <w:pPr>
        <w:pStyle w:val="BodyText"/>
      </w:pPr>
    </w:p>
    <w:tbl>
      <w:tblPr>
        <w:tblW w:w="0" w:type="auto"/>
        <w:tblLayout w:type="fixed"/>
        <w:tblCellMar>
          <w:left w:w="62" w:type="dxa"/>
          <w:right w:w="62" w:type="dxa"/>
        </w:tblCellMar>
        <w:tblLook w:val="0000"/>
      </w:tblPr>
      <w:tblGrid>
        <w:gridCol w:w="1890"/>
        <w:gridCol w:w="6570"/>
      </w:tblGrid>
      <w:tr w:rsidTr="00B9743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9.3)</w:t>
            </w:r>
          </w:p>
        </w:tc>
      </w:tr>
      <w:tr w:rsidTr="00B9743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This unit should be assessed as it relates to normal work practice using procedures, information and resources typical of a workplace. This should include:</w:t>
            </w:r>
          </w:p>
          <w:p w:rsidR="00000000" w:rsidRPr="00972C5E" w:rsidP="00972C5E">
            <w:pPr>
              <w:pStyle w:val="ListBullet"/>
            </w:pPr>
            <w:r w:rsidRPr="00972C5E">
              <w:t>OHS policy and work procedures and instruct</w:t>
            </w:r>
            <w:r w:rsidRPr="00972C5E">
              <w:t>ions.</w:t>
            </w:r>
          </w:p>
          <w:p w:rsidR="00000000" w:rsidRPr="00972C5E" w:rsidP="00972C5E">
            <w:pPr>
              <w:pStyle w:val="ListBullet"/>
            </w:pPr>
            <w:r w:rsidRPr="00972C5E">
              <w:t>Suitable work environment, facilities, equipment and materials to safely undertake actual work near live electrical apparatus</w:t>
            </w:r>
          </w:p>
          <w:p w:rsidR="00000000" w:rsidRPr="00972C5E" w:rsidP="00972C5E">
            <w:pPr>
              <w:pStyle w:val="BodyText"/>
            </w:pPr>
            <w:r w:rsidRPr="00972C5E">
              <w:t>In addition to the resources listed above, in context of and specific resources for assessment, evidence should show demonstrated competency working below ground, in limited spaces, with different structural/construction types and method and in a variety o</w:t>
            </w:r>
            <w:r w:rsidRPr="00972C5E">
              <w:t>f environments.</w:t>
            </w:r>
          </w:p>
        </w:tc>
      </w:tr>
    </w:tbl>
    <w:p w:rsidR="00000000" w:rsidRPr="00972C5E" w:rsidP="00972C5E">
      <w:pPr>
        <w:pStyle w:val="BodyText"/>
      </w:pPr>
    </w:p>
    <w:tbl>
      <w:tblPr>
        <w:tblW w:w="0" w:type="auto"/>
        <w:tblLayout w:type="fixed"/>
        <w:tblCellMar>
          <w:left w:w="62" w:type="dxa"/>
          <w:right w:w="62" w:type="dxa"/>
        </w:tblCellMar>
        <w:tblLook w:val="0000"/>
      </w:tblPr>
      <w:tblGrid>
        <w:gridCol w:w="1890"/>
        <w:gridCol w:w="6570"/>
      </w:tblGrid>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9.4)</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This Competency Standard Unit shall be assessed by methods given in Volume 1, Part 3 “Assessment Guidelines”.</w:t>
            </w:r>
          </w:p>
          <w:p w:rsidR="00000000" w:rsidRPr="00972C5E" w:rsidP="00972C5E">
            <w:pPr>
              <w:pStyle w:val="BodyText"/>
            </w:pPr>
            <w:r w:rsidRPr="00972C5E">
              <w:t>Note:</w:t>
            </w:r>
          </w:p>
          <w:p w:rsidR="00000000" w:rsidRPr="00972C5E" w:rsidP="00972C5E">
            <w:pPr>
              <w:pStyle w:val="BodyText"/>
            </w:pPr>
            <w:r w:rsidRPr="00972C5E">
              <w:t>Competent performance with inherent safe working practices is expected in the Industry to which this Competency Standard Unit applies. This requires that the specified essential knowledge and associated skills are assessed in a structured environment which</w:t>
            </w:r>
            <w:r w:rsidRPr="00972C5E">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972C5E" w:rsidP="00972C5E">
      <w:pPr>
        <w:pStyle w:val="BodyText"/>
      </w:pPr>
    </w:p>
    <w:tbl>
      <w:tblPr>
        <w:tblW w:w="0" w:type="auto"/>
        <w:tblLayout w:type="fixed"/>
        <w:tblCellMar>
          <w:left w:w="62" w:type="dxa"/>
          <w:right w:w="62" w:type="dxa"/>
        </w:tblCellMar>
        <w:tblLook w:val="0000"/>
      </w:tblPr>
      <w:tblGrid>
        <w:gridCol w:w="1890"/>
        <w:gridCol w:w="6570"/>
      </w:tblGrid>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Concurrent assessment and relationship wi</w:t>
            </w:r>
            <w:r w:rsidRPr="00972C5E">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9.5)</w:t>
            </w:r>
          </w:p>
        </w:tc>
      </w:tr>
      <w:tr w:rsidTr="00B974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For optimisation of training and assessment effort, competence in this unit is not recommended to be assessed concurrently with any other unit.</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11" w:name="O_536259"/>
      <w:bookmarkEnd w:id="11"/>
      <w:r w:rsidRPr="00972C5E">
        <w:t>Range Statement</w:t>
      </w:r>
    </w:p>
    <w:tbl>
      <w:tblPr>
        <w:tblW w:w="0" w:type="auto"/>
        <w:tblLayout w:type="fixed"/>
        <w:tblCellMar>
          <w:left w:w="62" w:type="dxa"/>
          <w:right w:w="62" w:type="dxa"/>
        </w:tblCellMar>
        <w:tblLook w:val="0000"/>
      </w:tblPr>
      <w:tblGrid>
        <w:gridCol w:w="2150"/>
        <w:gridCol w:w="6310"/>
      </w:tblGrid>
      <w:tr w:rsidTr="00B9743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RANGE STATEMENT</w:t>
            </w:r>
          </w:p>
        </w:tc>
      </w:tr>
      <w:tr w:rsidTr="00B9743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10)</w:t>
            </w:r>
            <w:r w:rsidRPr="00972C5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72C5E" w:rsidP="00972C5E">
            <w:pPr>
              <w:pStyle w:val="BodyText"/>
            </w:pPr>
            <w:r w:rsidRPr="00972C5E">
              <w:t>The Range Statement rela</w:t>
            </w:r>
            <w:r w:rsidRPr="00972C5E">
              <w:t>tes to the unit of competency as a whole.  It allows for different work environments and situations that may affect performance.</w:t>
            </w:r>
          </w:p>
          <w:p w:rsidR="00000000" w:rsidP="00972C5E">
            <w:pPr>
              <w:pStyle w:val="BodyText"/>
              <w:rPr>
                <w:lang w:val="en-NZ"/>
              </w:rPr>
            </w:pPr>
            <w:r w:rsidRPr="00972C5E">
              <w:t>The following constants and variables included in the element/Performance Criteria in this unit are fully described in the Defi</w:t>
            </w:r>
            <w:r w:rsidRPr="00972C5E">
              <w:t>nitions Section 1 of this volume and form an integral part of the Range Statement of this unit:</w:t>
            </w:r>
          </w:p>
        </w:tc>
      </w:tr>
      <w:tr w:rsidTr="00B9743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Work permits may include:</w:t>
            </w:r>
          </w:p>
        </w:tc>
        <w:tc>
          <w:tcPr>
            <w:tcW w:w="631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 xml:space="preserve">Safe Approach Distances Zones / Safe Working Clearance, Work Permit(s) and/or Access Authorisation Permits and those required under </w:t>
            </w:r>
            <w:r w:rsidRPr="00972C5E">
              <w:t>Technical Standards and Industry Guidelines.</w:t>
            </w:r>
          </w:p>
        </w:tc>
      </w:tr>
      <w:tr w:rsidTr="00B9743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Specialised data information equipment may include:</w:t>
            </w:r>
          </w:p>
        </w:tc>
        <w:tc>
          <w:tcPr>
            <w:tcW w:w="631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Infrared and/or digital video camera, stills cameras, SLR cameras, computers, sonic testing devices, stress tester, and other related associated equipment use</w:t>
            </w:r>
            <w:r w:rsidRPr="00972C5E">
              <w:t>d near live electrical apparatus</w:t>
            </w:r>
          </w:p>
        </w:tc>
      </w:tr>
      <w:tr w:rsidTr="00B9743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Tools may include:</w:t>
            </w:r>
          </w:p>
        </w:tc>
        <w:tc>
          <w:tcPr>
            <w:tcW w:w="631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Power operated tools such as chainsaws, brush cutters, power pruners, powered drills, augers, air compressors, generators, jack hammers, demolition saws, measuring devices.</w:t>
            </w:r>
          </w:p>
          <w:p w:rsidR="00000000" w:rsidRPr="00972C5E" w:rsidP="00972C5E">
            <w:pPr>
              <w:pStyle w:val="BodyText"/>
            </w:pPr>
            <w:r w:rsidRPr="00972C5E">
              <w:t>Excludes plant and machinery that encompasses driving/flying and associated licenses, such as aerial croppers, slashers, boom-operated mowers, stump grinders, insulated elevating work platforms and the like</w:t>
            </w:r>
          </w:p>
          <w:p w:rsidR="00000000" w:rsidP="00972C5E">
            <w:pPr>
              <w:pStyle w:val="BodyText"/>
              <w:rPr>
                <w:lang w:val="en-NZ"/>
              </w:rPr>
            </w:pPr>
            <w:r w:rsidRPr="00972C5E">
              <w:t>Hand tools such as hacksaws, hammers, screwdriver</w:t>
            </w:r>
            <w:r w:rsidRPr="00972C5E">
              <w:t>s, sockets, wrenches, scrapers, chisels, files, tape measures, bolt cutters, knives and other related associated</w:t>
            </w:r>
          </w:p>
        </w:tc>
      </w:tr>
      <w:tr w:rsidTr="00B9743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Prevailing site conditions may include:</w:t>
            </w:r>
          </w:p>
        </w:tc>
        <w:tc>
          <w:tcPr>
            <w:tcW w:w="631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t>Lay of the land and on-going weather conditions.</w:t>
            </w:r>
          </w:p>
        </w:tc>
      </w:tr>
      <w:tr w:rsidTr="00B97438">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Electrical apparatus may include:</w:t>
            </w:r>
          </w:p>
        </w:tc>
        <w:tc>
          <w:tcPr>
            <w:tcW w:w="631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 xml:space="preserve">Single Wire Earth </w:t>
            </w:r>
            <w:r w:rsidRPr="00972C5E">
              <w:t>Return (SWER), High Voltage (HV) and Low Voltage (LV) overhead conductors and cables, underground cables (as attached to the poles) and overhead transition points, conductor terminations, insulators, conductor ties, cross arms, cross arm mountings and brac</w:t>
            </w:r>
            <w:r w:rsidRPr="00972C5E">
              <w:t>kets, switches, HV fuses and fuse carriers, pole mounted transformers, sub stations, air-break switches, surge diverters, auto reclose relays, possum guards, earth guards, angle of the pole, lights, bolts and associated pole fixings. Hand tools such as hac</w:t>
            </w:r>
            <w:r w:rsidRPr="00972C5E">
              <w:t>ksaws, hammers, screwdrivers, sockets, wrenches, scrapers, chisels, files, tape measures, bolt cutters, knives and other related associated</w:t>
            </w:r>
          </w:p>
        </w:tc>
      </w:tr>
    </w:tbl>
    <w:p w:rsidR="00000000" w:rsidRPr="00972C5E" w:rsidP="00972C5E">
      <w:pPr>
        <w:pStyle w:val="BodyText"/>
      </w:pPr>
    </w:p>
    <w:p w:rsidR="00000000" w:rsidRPr="00972C5E" w:rsidP="00972C5E">
      <w:pPr>
        <w:pStyle w:val="AllowPageBreak"/>
      </w:pPr>
    </w:p>
    <w:p w:rsidR="00000000" w:rsidRPr="00972C5E" w:rsidP="00972C5E">
      <w:pPr>
        <w:pStyle w:val="Heading1"/>
      </w:pPr>
      <w:bookmarkStart w:id="12" w:name="O_536258"/>
      <w:bookmarkEnd w:id="12"/>
      <w:r w:rsidRPr="00972C5E">
        <w:t>Unit Sector(s)</w:t>
      </w:r>
    </w:p>
    <w:p w:rsidR="00000000" w:rsidRPr="00972C5E" w:rsidP="00972C5E">
      <w:pPr>
        <w:pStyle w:val="BodyText"/>
      </w:pPr>
      <w:r w:rsidRPr="00972C5E">
        <w:t>Not applicable.</w:t>
      </w:r>
    </w:p>
    <w:p w:rsidR="00000000" w:rsidRPr="00972C5E" w:rsidP="00972C5E">
      <w:pPr>
        <w:pStyle w:val="AllowPageBreak"/>
      </w:pPr>
    </w:p>
    <w:p w:rsidR="00000000" w:rsidRPr="00972C5E" w:rsidP="00972C5E">
      <w:pPr>
        <w:pStyle w:val="Heading1"/>
      </w:pPr>
      <w:bookmarkStart w:id="13" w:name="O_536257"/>
      <w:bookmarkEnd w:id="13"/>
      <w:r w:rsidRPr="00972C5E">
        <w:t>Competency Field</w:t>
      </w:r>
    </w:p>
    <w:tbl>
      <w:tblPr>
        <w:tblW w:w="0" w:type="auto"/>
        <w:tblLayout w:type="fixed"/>
        <w:tblCellMar>
          <w:left w:w="62" w:type="dxa"/>
          <w:right w:w="62" w:type="dxa"/>
        </w:tblCellMar>
        <w:tblLook w:val="0000"/>
      </w:tblPr>
      <w:tblGrid>
        <w:gridCol w:w="2700"/>
        <w:gridCol w:w="5760"/>
      </w:tblGrid>
      <w:tr w:rsidTr="00B974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2C5E">
            <w:pPr>
              <w:pStyle w:val="BodyText"/>
              <w:rPr>
                <w:lang w:val="en-NZ"/>
              </w:rPr>
            </w:pPr>
            <w:r w:rsidRPr="00972C5E">
              <w:rPr>
                <w:rStyle w:val="SpecialBold"/>
              </w:rPr>
              <w:t xml:space="preserve">11) </w:t>
            </w:r>
          </w:p>
        </w:tc>
      </w:tr>
      <w:tr w:rsidTr="00B974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2C5E" w:rsidP="00972C5E">
            <w:pPr>
              <w:pStyle w:val="BodyText"/>
            </w:pPr>
            <w:r w:rsidRPr="00972C5E">
              <w:t>Entry Level – Cross Discipline Units.</w:t>
            </w:r>
          </w:p>
        </w:tc>
      </w:tr>
    </w:tbl>
    <w:p w:rsidR="00000000" w:rsidRPr="00972C5E" w:rsidP="00972C5E">
      <w:pPr>
        <w:pStyle w:val="BodyText"/>
      </w:pPr>
    </w:p>
    <w:p w:rsidR="00000000" w:rsidRPr="00972C5E" w:rsidP="00972C5E"/>
    <w:sectPr w:rsidSect="00972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rsidRPr="00B97438" w:rsidP="00B974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38" w:rsidP="00972C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97438" w:rsidP="00972C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B97438" w:rsidP="00972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rsidRPr="00B97438" w:rsidP="00B974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38" w:rsidRPr="002D2AF8" w:rsidP="00972C5E">
    <w:pPr>
      <w:pStyle w:val="Header"/>
      <w:framePr w:wrap="around"/>
    </w:pPr>
    <w:r>
      <w:fldChar w:fldCharType="begin"/>
    </w:r>
    <w:r>
      <w:instrText xml:space="preserve"> TITLE   \* MERGEFORMAT </w:instrText>
    </w:r>
    <w:r>
      <w:fldChar w:fldCharType="separate"/>
    </w:r>
    <w:r>
      <w:t>UETTDREL21A Operate specialised data information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B97438" w:rsidP="00972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446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904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699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C5E"/>
    <w:pPr>
      <w:spacing w:before="360" w:after="60"/>
      <w:outlineLvl w:val="0"/>
    </w:pPr>
    <w:rPr>
      <w:sz w:val="32"/>
    </w:rPr>
  </w:style>
  <w:style w:type="paragraph" w:styleId="Heading2">
    <w:name w:val="heading 2"/>
    <w:basedOn w:val="HeadingBase"/>
    <w:next w:val="BodyText"/>
    <w:link w:val="Heading2Char"/>
    <w:qFormat/>
    <w:rsid w:val="00972C5E"/>
    <w:pPr>
      <w:keepLines/>
      <w:spacing w:before="240" w:after="120"/>
      <w:outlineLvl w:val="1"/>
    </w:pPr>
    <w:rPr>
      <w:sz w:val="28"/>
      <w:szCs w:val="40"/>
    </w:rPr>
  </w:style>
  <w:style w:type="paragraph" w:styleId="Heading3">
    <w:name w:val="heading 3"/>
    <w:basedOn w:val="HeadingBase"/>
    <w:next w:val="BodyText"/>
    <w:link w:val="Heading3Char"/>
    <w:qFormat/>
    <w:rsid w:val="00972C5E"/>
    <w:pPr>
      <w:spacing w:before="180" w:after="120"/>
      <w:outlineLvl w:val="2"/>
    </w:pPr>
    <w:rPr>
      <w:spacing w:val="-10"/>
      <w:kern w:val="32"/>
    </w:rPr>
  </w:style>
  <w:style w:type="paragraph" w:styleId="Heading4">
    <w:name w:val="heading 4"/>
    <w:basedOn w:val="HeadingBase"/>
    <w:next w:val="BodyText"/>
    <w:link w:val="Heading4Char"/>
    <w:qFormat/>
    <w:rsid w:val="00972C5E"/>
    <w:pPr>
      <w:spacing w:before="160" w:after="120"/>
      <w:outlineLvl w:val="3"/>
    </w:pPr>
    <w:rPr>
      <w:sz w:val="22"/>
    </w:rPr>
  </w:style>
  <w:style w:type="paragraph" w:styleId="Heading5">
    <w:name w:val="heading 5"/>
    <w:basedOn w:val="HeadingBase"/>
    <w:next w:val="Normal"/>
    <w:link w:val="Heading5Char"/>
    <w:qFormat/>
    <w:rsid w:val="00972C5E"/>
    <w:pPr>
      <w:spacing w:before="80"/>
      <w:outlineLvl w:val="4"/>
    </w:pPr>
    <w:rPr>
      <w:color w:val="918585"/>
      <w:sz w:val="20"/>
    </w:rPr>
  </w:style>
  <w:style w:type="paragraph" w:styleId="Heading6">
    <w:name w:val="heading 6"/>
    <w:basedOn w:val="HeadingBase"/>
    <w:next w:val="Normal"/>
    <w:link w:val="Heading6Char"/>
    <w:qFormat/>
    <w:rsid w:val="00972C5E"/>
    <w:pPr>
      <w:spacing w:before="60"/>
      <w:outlineLvl w:val="5"/>
    </w:pPr>
    <w:rPr>
      <w:color w:val="918585"/>
      <w:sz w:val="20"/>
    </w:rPr>
  </w:style>
  <w:style w:type="paragraph" w:styleId="Heading7">
    <w:name w:val="heading 7"/>
    <w:basedOn w:val="Normal"/>
    <w:next w:val="Normal"/>
    <w:link w:val="Heading7Char"/>
    <w:qFormat/>
    <w:rsid w:val="00972C5E"/>
    <w:pPr>
      <w:ind w:left="720"/>
      <w:outlineLvl w:val="6"/>
    </w:pPr>
    <w:rPr>
      <w:i/>
    </w:rPr>
  </w:style>
  <w:style w:type="paragraph" w:styleId="Heading8">
    <w:name w:val="heading 8"/>
    <w:basedOn w:val="Normal"/>
    <w:next w:val="Normal"/>
    <w:link w:val="Heading8Char"/>
    <w:qFormat/>
    <w:rsid w:val="00972C5E"/>
    <w:pPr>
      <w:ind w:left="720"/>
      <w:outlineLvl w:val="7"/>
    </w:pPr>
    <w:rPr>
      <w:i/>
    </w:rPr>
  </w:style>
  <w:style w:type="paragraph" w:styleId="Heading9">
    <w:name w:val="heading 9"/>
    <w:basedOn w:val="Normal"/>
    <w:next w:val="Normal"/>
    <w:link w:val="Heading9Char"/>
    <w:qFormat/>
    <w:rsid w:val="00972C5E"/>
    <w:pPr>
      <w:ind w:left="720"/>
      <w:outlineLvl w:val="8"/>
    </w:pPr>
    <w:rPr>
      <w:i/>
    </w:rPr>
  </w:style>
  <w:style w:type="character" w:default="1" w:styleId="DefaultParagraphFont">
    <w:name w:val="Default Paragraph Font"/>
    <w:uiPriority w:val="1"/>
    <w:unhideWhenUsed/>
    <w:rsid w:val="00972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C5E"/>
  </w:style>
  <w:style w:type="character" w:customStyle="1" w:styleId="Heading1Char">
    <w:name w:val="Heading 1 Char"/>
    <w:basedOn w:val="DefaultParagraphFont"/>
    <w:link w:val="Heading1"/>
    <w:rsid w:val="00972C5E"/>
    <w:rPr>
      <w:rFonts w:ascii="Times New Roman" w:eastAsia="Times New Roman" w:hAnsi="Times New Roman" w:cs="Times New Roman"/>
      <w:b/>
      <w:sz w:val="32"/>
      <w:szCs w:val="20"/>
      <w:lang w:eastAsia="en-US"/>
    </w:rPr>
  </w:style>
  <w:style w:type="paragraph" w:styleId="BodyText">
    <w:name w:val="Body Text"/>
    <w:basedOn w:val="Normal"/>
    <w:link w:val="BodyTextChar"/>
    <w:rsid w:val="00972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C5E"/>
    <w:rPr>
      <w:rFonts w:ascii="Times New Roman" w:eastAsia="Times New Roman" w:hAnsi="Times New Roman" w:cs="Times New Roman"/>
      <w:sz w:val="24"/>
      <w:lang w:eastAsia="en-US"/>
    </w:rPr>
  </w:style>
  <w:style w:type="paragraph" w:styleId="ListBullet">
    <w:name w:val="List Bullet"/>
    <w:basedOn w:val="List"/>
    <w:rsid w:val="00972C5E"/>
    <w:pPr>
      <w:numPr>
        <w:numId w:val="13"/>
      </w:numPr>
      <w:tabs>
        <w:tab w:val="clear" w:pos="340"/>
      </w:tabs>
      <w:spacing w:before="40" w:after="40"/>
    </w:pPr>
  </w:style>
  <w:style w:type="character" w:customStyle="1" w:styleId="SpecialBold">
    <w:name w:val="Special Bold"/>
    <w:basedOn w:val="DefaultParagraphFont"/>
    <w:rsid w:val="00972C5E"/>
    <w:rPr>
      <w:b/>
      <w:spacing w:val="0"/>
    </w:rPr>
  </w:style>
  <w:style w:type="paragraph" w:styleId="ListBullet2">
    <w:name w:val="List Bullet 2"/>
    <w:basedOn w:val="List2"/>
    <w:rsid w:val="00972C5E"/>
    <w:pPr>
      <w:numPr>
        <w:numId w:val="14"/>
      </w:numPr>
      <w:tabs>
        <w:tab w:val="clear" w:pos="680"/>
      </w:tabs>
    </w:pPr>
  </w:style>
  <w:style w:type="paragraph" w:customStyle="1" w:styleId="SuperHeading">
    <w:name w:val="SuperHeading"/>
    <w:basedOn w:val="Normal"/>
    <w:rsid w:val="00972C5E"/>
    <w:pPr>
      <w:spacing w:before="240" w:after="120"/>
      <w:outlineLvl w:val="0"/>
    </w:pPr>
    <w:rPr>
      <w:rFonts w:ascii="Times New Roman" w:hAnsi="Times New Roman"/>
      <w:b/>
      <w:sz w:val="32"/>
    </w:rPr>
  </w:style>
  <w:style w:type="paragraph" w:customStyle="1" w:styleId="AllowPageBreak">
    <w:name w:val="AllowPageBreak"/>
    <w:rsid w:val="00972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C5E"/>
    <w:rPr>
      <w:rFonts w:ascii="Courier New" w:eastAsia="Times New Roman" w:hAnsi="Courier New" w:cs="Times New Roman"/>
      <w:i/>
      <w:szCs w:val="20"/>
      <w:lang w:eastAsia="en-US"/>
    </w:rPr>
  </w:style>
  <w:style w:type="paragraph" w:customStyle="1" w:styleId="HeadingBase">
    <w:name w:val="Heading Base"/>
    <w:rsid w:val="00972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C5E"/>
    <w:pPr>
      <w:tabs>
        <w:tab w:val="right" w:leader="dot" w:pos="9072"/>
      </w:tabs>
      <w:ind w:left="567"/>
    </w:pPr>
    <w:rPr>
      <w:szCs w:val="22"/>
    </w:rPr>
  </w:style>
  <w:style w:type="paragraph" w:customStyle="1" w:styleId="TOCBase">
    <w:name w:val="TOC Base"/>
    <w:rsid w:val="00972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C5E"/>
    <w:pPr>
      <w:tabs>
        <w:tab w:val="right" w:leader="dot" w:pos="9072"/>
      </w:tabs>
      <w:spacing w:before="40" w:after="40"/>
      <w:ind w:left="284"/>
    </w:pPr>
    <w:rPr>
      <w:rFonts w:ascii="Times New Roman" w:hAnsi="Times New Roman"/>
    </w:rPr>
  </w:style>
  <w:style w:type="paragraph" w:styleId="TOC1">
    <w:name w:val="toc 1"/>
    <w:basedOn w:val="TOCBase"/>
    <w:next w:val="Normal"/>
    <w:rsid w:val="00972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C5E"/>
    <w:rPr>
      <w:rFonts w:ascii="Times New Roman" w:eastAsia="Times New Roman" w:hAnsi="Times New Roman" w:cs="Times New Roman"/>
      <w:sz w:val="16"/>
      <w:lang w:eastAsia="en-US"/>
    </w:rPr>
  </w:style>
  <w:style w:type="paragraph" w:styleId="Title">
    <w:name w:val="Title"/>
    <w:basedOn w:val="HeadingBase"/>
    <w:link w:val="TitleChar"/>
    <w:qFormat/>
    <w:rsid w:val="00972C5E"/>
    <w:pPr>
      <w:spacing w:before="5040"/>
      <w:jc w:val="center"/>
    </w:pPr>
    <w:rPr>
      <w:sz w:val="48"/>
      <w:szCs w:val="72"/>
      <w:lang w:val="en-US"/>
    </w:rPr>
  </w:style>
  <w:style w:type="character" w:customStyle="1" w:styleId="TitleChar">
    <w:name w:val="Title Char"/>
    <w:basedOn w:val="DefaultParagraphFont"/>
    <w:link w:val="Title"/>
    <w:rsid w:val="00972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C5E"/>
    <w:pPr>
      <w:tabs>
        <w:tab w:val="left" w:pos="3600"/>
        <w:tab w:val="left" w:pos="3958"/>
      </w:tabs>
    </w:pPr>
  </w:style>
  <w:style w:type="paragraph" w:styleId="List">
    <w:name w:val="List"/>
    <w:basedOn w:val="BodyText"/>
    <w:next w:val="BodyText"/>
    <w:rsid w:val="00972C5E"/>
    <w:pPr>
      <w:tabs>
        <w:tab w:val="left" w:pos="340"/>
      </w:tabs>
      <w:spacing w:before="60" w:after="60"/>
      <w:ind w:left="340" w:hanging="340"/>
    </w:pPr>
  </w:style>
  <w:style w:type="paragraph" w:customStyle="1" w:styleId="Note">
    <w:name w:val="Note"/>
    <w:basedOn w:val="BodyText"/>
    <w:rsid w:val="00972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C5E"/>
    <w:pPr>
      <w:framePr w:wrap="auto" w:hAnchor="text" w:y="6049"/>
    </w:pPr>
    <w:rPr>
      <w:color w:val="000000"/>
      <w:sz w:val="40"/>
    </w:rPr>
  </w:style>
  <w:style w:type="paragraph" w:customStyle="1" w:styleId="TOCTitle">
    <w:name w:val="TOCTitle"/>
    <w:basedOn w:val="Heading1"/>
    <w:rsid w:val="00972C5E"/>
    <w:pPr>
      <w:spacing w:after="240"/>
      <w:jc w:val="center"/>
      <w:outlineLvl w:val="9"/>
    </w:pPr>
    <w:rPr>
      <w:caps/>
    </w:rPr>
  </w:style>
  <w:style w:type="paragraph" w:customStyle="1" w:styleId="Version">
    <w:name w:val="Version"/>
    <w:rsid w:val="00972C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C5E"/>
    <w:pPr>
      <w:keepNext w:val="0"/>
      <w:tabs>
        <w:tab w:val="right" w:pos="4176"/>
      </w:tabs>
      <w:ind w:left="198" w:hanging="198"/>
    </w:pPr>
    <w:rPr>
      <w:rFonts w:ascii="Garamond" w:hAnsi="Garamond"/>
    </w:rPr>
  </w:style>
  <w:style w:type="paragraph" w:styleId="IndexHeading">
    <w:name w:val="index heading"/>
    <w:basedOn w:val="Normal"/>
    <w:next w:val="Index1"/>
    <w:semiHidden/>
    <w:rsid w:val="00972C5E"/>
    <w:pPr>
      <w:spacing w:before="120" w:after="120"/>
    </w:pPr>
    <w:rPr>
      <w:rFonts w:ascii="Arial" w:hAnsi="Arial"/>
      <w:b/>
      <w:color w:val="918585"/>
      <w:sz w:val="24"/>
    </w:rPr>
  </w:style>
  <w:style w:type="paragraph" w:styleId="Header">
    <w:name w:val="header"/>
    <w:basedOn w:val="Normal"/>
    <w:link w:val="HeaderChar"/>
    <w:rsid w:val="00972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C5E"/>
    <w:rPr>
      <w:rFonts w:ascii="Times New Roman" w:eastAsia="Times New Roman" w:hAnsi="Times New Roman" w:cs="Times New Roman"/>
      <w:sz w:val="16"/>
      <w:szCs w:val="20"/>
      <w:lang w:val="en-GB" w:eastAsia="en-US"/>
    </w:rPr>
  </w:style>
  <w:style w:type="paragraph" w:customStyle="1" w:styleId="Chapter">
    <w:name w:val="Chapter"/>
    <w:basedOn w:val="Normal"/>
    <w:rsid w:val="00972C5E"/>
    <w:pPr>
      <w:spacing w:before="240"/>
    </w:pPr>
    <w:rPr>
      <w:rFonts w:ascii="Times New Roman" w:hAnsi="Times New Roman"/>
      <w:smallCaps/>
      <w:spacing w:val="80"/>
      <w:sz w:val="28"/>
    </w:rPr>
  </w:style>
  <w:style w:type="paragraph" w:customStyle="1" w:styleId="InChapter">
    <w:name w:val="InChapter"/>
    <w:basedOn w:val="Heading3"/>
    <w:rsid w:val="00972C5E"/>
    <w:pPr>
      <w:spacing w:after="240"/>
      <w:outlineLvl w:val="9"/>
    </w:pPr>
    <w:rPr>
      <w:noProof/>
    </w:rPr>
  </w:style>
  <w:style w:type="paragraph" w:styleId="Index2">
    <w:name w:val="index 2"/>
    <w:basedOn w:val="Normal"/>
    <w:next w:val="Normal"/>
    <w:semiHidden/>
    <w:rsid w:val="00972C5E"/>
    <w:pPr>
      <w:tabs>
        <w:tab w:val="right" w:pos="4176"/>
      </w:tabs>
      <w:ind w:left="568" w:hanging="284"/>
    </w:pPr>
    <w:rPr>
      <w:rFonts w:ascii="Garamond" w:hAnsi="Garamond"/>
    </w:rPr>
  </w:style>
  <w:style w:type="paragraph" w:customStyle="1" w:styleId="Byline">
    <w:name w:val="Byline"/>
    <w:rsid w:val="00972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C5E"/>
    <w:pPr>
      <w:tabs>
        <w:tab w:val="clear" w:pos="3600"/>
        <w:tab w:val="clear" w:pos="3958"/>
      </w:tabs>
      <w:jc w:val="right"/>
    </w:pPr>
  </w:style>
  <w:style w:type="character" w:styleId="Emphasis">
    <w:name w:val="Emphasis"/>
    <w:basedOn w:val="DefaultParagraphFont"/>
    <w:qFormat/>
    <w:rsid w:val="00972C5E"/>
    <w:rPr>
      <w:i/>
    </w:rPr>
  </w:style>
  <w:style w:type="paragraph" w:styleId="Caption">
    <w:name w:val="caption"/>
    <w:basedOn w:val="BodyText"/>
    <w:next w:val="Normal"/>
    <w:qFormat/>
    <w:rsid w:val="00972C5E"/>
    <w:pPr>
      <w:framePr w:w="2268" w:hSpace="181" w:vSpace="181" w:wrap="around" w:vAnchor="text" w:hAnchor="page" w:x="1135" w:y="285" w:anchorLock="1"/>
    </w:pPr>
    <w:rPr>
      <w:i/>
    </w:rPr>
  </w:style>
  <w:style w:type="paragraph" w:customStyle="1" w:styleId="MiniTOCTitle">
    <w:name w:val="MiniTOCTitle"/>
    <w:basedOn w:val="Heading4"/>
    <w:rsid w:val="00972C5E"/>
    <w:pPr>
      <w:spacing w:before="240"/>
      <w:outlineLvl w:val="9"/>
    </w:pPr>
    <w:rPr>
      <w:noProof/>
      <w:sz w:val="24"/>
    </w:rPr>
  </w:style>
  <w:style w:type="paragraph" w:customStyle="1" w:styleId="MiniTOCItem">
    <w:name w:val="MiniTOCItem"/>
    <w:basedOn w:val="ListBullet"/>
    <w:rsid w:val="00972C5E"/>
    <w:pPr>
      <w:numPr>
        <w:numId w:val="0"/>
      </w:numPr>
      <w:tabs>
        <w:tab w:val="right" w:leader="dot" w:pos="6521"/>
      </w:tabs>
      <w:spacing w:before="0" w:after="0"/>
    </w:pPr>
  </w:style>
  <w:style w:type="paragraph" w:customStyle="1" w:styleId="TOFTitle">
    <w:name w:val="TOFTitle"/>
    <w:basedOn w:val="TOCTitle"/>
    <w:rsid w:val="00972C5E"/>
  </w:style>
  <w:style w:type="paragraph" w:styleId="TableofFigures">
    <w:name w:val="table of figures"/>
    <w:basedOn w:val="Normal"/>
    <w:next w:val="Normal"/>
    <w:semiHidden/>
    <w:rsid w:val="00972C5E"/>
    <w:pPr>
      <w:tabs>
        <w:tab w:val="right" w:leader="dot" w:pos="9072"/>
      </w:tabs>
      <w:ind w:left="970" w:hanging="403"/>
    </w:pPr>
    <w:rPr>
      <w:rFonts w:ascii="Times New Roman" w:hAnsi="Times New Roman"/>
      <w:b/>
    </w:rPr>
  </w:style>
  <w:style w:type="paragraph" w:styleId="ListNumber">
    <w:name w:val="List Number"/>
    <w:basedOn w:val="List"/>
    <w:rsid w:val="00972C5E"/>
    <w:pPr>
      <w:numPr>
        <w:numId w:val="11"/>
      </w:numPr>
    </w:pPr>
  </w:style>
  <w:style w:type="character" w:customStyle="1" w:styleId="WingdingSymbols">
    <w:name w:val="Wingding Symbols"/>
    <w:rsid w:val="00972C5E"/>
    <w:rPr>
      <w:rFonts w:ascii="Wingdings" w:hAnsi="Wingdings"/>
    </w:rPr>
  </w:style>
  <w:style w:type="paragraph" w:customStyle="1" w:styleId="TableHeading">
    <w:name w:val="Table Heading"/>
    <w:basedOn w:val="HeadingBase"/>
    <w:rsid w:val="00972C5E"/>
    <w:pPr>
      <w:keepLines/>
      <w:pBdr>
        <w:bottom w:val="single" w:sz="6" w:space="1" w:color="918585"/>
      </w:pBdr>
      <w:spacing w:before="240"/>
    </w:pPr>
  </w:style>
  <w:style w:type="character" w:customStyle="1" w:styleId="HotSpot">
    <w:name w:val="HotSpot"/>
    <w:rsid w:val="00972C5E"/>
    <w:rPr>
      <w:color w:val="0033CC"/>
      <w:u w:val="none"/>
    </w:rPr>
  </w:style>
  <w:style w:type="paragraph" w:customStyle="1" w:styleId="BodyTextRight">
    <w:name w:val="Body Text Right"/>
    <w:basedOn w:val="BodyText"/>
    <w:rsid w:val="00972C5E"/>
    <w:pPr>
      <w:spacing w:before="0" w:after="0"/>
      <w:jc w:val="right"/>
    </w:pPr>
  </w:style>
  <w:style w:type="paragraph" w:styleId="Index3">
    <w:name w:val="index 3"/>
    <w:basedOn w:val="ListNumber2"/>
    <w:next w:val="Normal"/>
    <w:semiHidden/>
    <w:rsid w:val="00972C5E"/>
    <w:pPr>
      <w:numPr>
        <w:numId w:val="0"/>
      </w:numPr>
      <w:tabs>
        <w:tab w:val="right" w:leader="dot" w:pos="4176"/>
      </w:tabs>
    </w:pPr>
  </w:style>
  <w:style w:type="paragraph" w:styleId="ListNumber2">
    <w:name w:val="List Number 2"/>
    <w:basedOn w:val="List2"/>
    <w:rsid w:val="00972C5E"/>
    <w:pPr>
      <w:numPr>
        <w:numId w:val="10"/>
      </w:numPr>
      <w:tabs>
        <w:tab w:val="clear" w:pos="1060"/>
      </w:tabs>
    </w:pPr>
  </w:style>
  <w:style w:type="paragraph" w:customStyle="1" w:styleId="MarginNote">
    <w:name w:val="Margin Note"/>
    <w:basedOn w:val="BodyText"/>
    <w:rsid w:val="00972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C5E"/>
    <w:rPr>
      <w:sz w:val="32"/>
    </w:rPr>
  </w:style>
  <w:style w:type="paragraph" w:customStyle="1" w:styleId="HeadingProcedure">
    <w:name w:val="Heading Procedure"/>
    <w:basedOn w:val="HeadingBase"/>
    <w:next w:val="Normal"/>
    <w:rsid w:val="00972C5E"/>
    <w:pPr>
      <w:tabs>
        <w:tab w:val="left" w:pos="0"/>
      </w:tabs>
      <w:spacing w:before="120" w:after="60"/>
    </w:pPr>
    <w:rPr>
      <w:i/>
      <w:color w:val="918585"/>
      <w:sz w:val="22"/>
    </w:rPr>
  </w:style>
  <w:style w:type="paragraph" w:customStyle="1" w:styleId="TableBodyText">
    <w:name w:val="Table Body Text"/>
    <w:basedOn w:val="BodyText"/>
    <w:rsid w:val="00972C5E"/>
    <w:pPr>
      <w:spacing w:before="60" w:after="60"/>
    </w:pPr>
  </w:style>
  <w:style w:type="paragraph" w:styleId="ListContinue">
    <w:name w:val="List Continue"/>
    <w:basedOn w:val="List"/>
    <w:rsid w:val="00972C5E"/>
    <w:pPr>
      <w:ind w:firstLine="0"/>
    </w:pPr>
  </w:style>
  <w:style w:type="paragraph" w:customStyle="1" w:styleId="ListNote">
    <w:name w:val="List Note"/>
    <w:basedOn w:val="List"/>
    <w:rsid w:val="00972C5E"/>
    <w:pPr>
      <w:pBdr>
        <w:top w:val="single" w:sz="6" w:space="2" w:color="918585"/>
        <w:bottom w:val="single" w:sz="6" w:space="2" w:color="918585"/>
      </w:pBdr>
      <w:tabs>
        <w:tab w:val="left" w:pos="1021"/>
      </w:tabs>
      <w:ind w:firstLine="0"/>
    </w:pPr>
  </w:style>
  <w:style w:type="paragraph" w:customStyle="1" w:styleId="Warning">
    <w:name w:val="Warning"/>
    <w:basedOn w:val="BodyText"/>
    <w:rsid w:val="00972C5E"/>
    <w:pPr>
      <w:shd w:val="clear" w:color="auto" w:fill="D9D9D9"/>
      <w:tabs>
        <w:tab w:val="left" w:pos="992"/>
      </w:tabs>
      <w:ind w:left="119" w:right="119"/>
    </w:pPr>
    <w:rPr>
      <w:sz w:val="20"/>
    </w:rPr>
  </w:style>
  <w:style w:type="paragraph" w:customStyle="1" w:styleId="MarginIcons">
    <w:name w:val="Margin Icons"/>
    <w:basedOn w:val="BodyText"/>
    <w:rsid w:val="00972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C5E"/>
    <w:rPr>
      <w:rFonts w:ascii="Courier New" w:hAnsi="Courier New"/>
    </w:rPr>
  </w:style>
  <w:style w:type="paragraph" w:customStyle="1" w:styleId="NoteBullet">
    <w:name w:val="Note Bullet"/>
    <w:basedOn w:val="Note"/>
    <w:rsid w:val="00972C5E"/>
    <w:pPr>
      <w:tabs>
        <w:tab w:val="clear" w:pos="680"/>
      </w:tabs>
      <w:spacing w:before="60" w:after="60"/>
    </w:pPr>
  </w:style>
  <w:style w:type="paragraph" w:customStyle="1" w:styleId="SubHeading2">
    <w:name w:val="SubHeading2"/>
    <w:basedOn w:val="HeadingBase"/>
    <w:rsid w:val="00972C5E"/>
    <w:pPr>
      <w:spacing w:before="240" w:after="60"/>
    </w:pPr>
    <w:rPr>
      <w:sz w:val="20"/>
    </w:rPr>
  </w:style>
  <w:style w:type="paragraph" w:customStyle="1" w:styleId="SubHeading1">
    <w:name w:val="SubHeading1"/>
    <w:basedOn w:val="HeadingBase"/>
    <w:rsid w:val="00972C5E"/>
    <w:pPr>
      <w:spacing w:before="240" w:after="60"/>
    </w:pPr>
    <w:rPr>
      <w:color w:val="918585"/>
      <w:sz w:val="22"/>
    </w:rPr>
  </w:style>
  <w:style w:type="paragraph" w:customStyle="1" w:styleId="SideHeading">
    <w:name w:val="Side Heading"/>
    <w:basedOn w:val="HeadingBase"/>
    <w:rsid w:val="00972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C5E"/>
    <w:pPr>
      <w:numPr>
        <w:numId w:val="12"/>
      </w:numPr>
    </w:pPr>
  </w:style>
  <w:style w:type="paragraph" w:styleId="PlainText">
    <w:name w:val="Plain Text"/>
    <w:basedOn w:val="Normal"/>
    <w:link w:val="PlainTextChar"/>
    <w:rsid w:val="00972C5E"/>
    <w:rPr>
      <w:sz w:val="20"/>
    </w:rPr>
  </w:style>
  <w:style w:type="character" w:customStyle="1" w:styleId="PlainTextChar">
    <w:name w:val="Plain Text Char"/>
    <w:basedOn w:val="DefaultParagraphFont"/>
    <w:link w:val="PlainText"/>
    <w:rsid w:val="00972C5E"/>
    <w:rPr>
      <w:rFonts w:ascii="Courier New" w:eastAsia="Times New Roman" w:hAnsi="Courier New" w:cs="Times New Roman"/>
      <w:sz w:val="20"/>
      <w:szCs w:val="20"/>
      <w:lang w:eastAsia="en-US"/>
    </w:rPr>
  </w:style>
  <w:style w:type="character" w:customStyle="1" w:styleId="MenuOption">
    <w:name w:val="Menu Option"/>
    <w:basedOn w:val="DefaultParagraphFont"/>
    <w:rsid w:val="00972C5E"/>
    <w:rPr>
      <w:b/>
      <w:smallCaps/>
    </w:rPr>
  </w:style>
  <w:style w:type="paragraph" w:customStyle="1" w:styleId="TableListNumber">
    <w:name w:val="Table List Number"/>
    <w:basedOn w:val="ListNumber"/>
    <w:rsid w:val="00972C5E"/>
    <w:pPr>
      <w:numPr>
        <w:numId w:val="0"/>
      </w:numPr>
    </w:pPr>
  </w:style>
  <w:style w:type="paragraph" w:styleId="TOC4">
    <w:name w:val="toc 4"/>
    <w:basedOn w:val="TOCBase"/>
    <w:next w:val="Normal"/>
    <w:semiHidden/>
    <w:rsid w:val="00972C5E"/>
    <w:pPr>
      <w:tabs>
        <w:tab w:val="right" w:leader="dot" w:pos="9071"/>
      </w:tabs>
      <w:ind w:left="1701"/>
    </w:pPr>
  </w:style>
  <w:style w:type="paragraph" w:customStyle="1" w:styleId="ListAlpha">
    <w:name w:val="List Alpha"/>
    <w:basedOn w:val="List"/>
    <w:rsid w:val="00972C5E"/>
    <w:pPr>
      <w:numPr>
        <w:numId w:val="9"/>
      </w:numPr>
    </w:pPr>
  </w:style>
  <w:style w:type="paragraph" w:customStyle="1" w:styleId="ListAlpha2">
    <w:name w:val="List Alpha 2"/>
    <w:basedOn w:val="List2"/>
    <w:rsid w:val="00972C5E"/>
    <w:pPr>
      <w:numPr>
        <w:numId w:val="8"/>
      </w:numPr>
    </w:pPr>
  </w:style>
  <w:style w:type="paragraph" w:styleId="List2">
    <w:name w:val="List 2"/>
    <w:basedOn w:val="BodyText"/>
    <w:rsid w:val="00972C5E"/>
    <w:pPr>
      <w:tabs>
        <w:tab w:val="left" w:pos="680"/>
      </w:tabs>
      <w:spacing w:before="60" w:after="60"/>
      <w:ind w:left="680" w:hanging="340"/>
    </w:pPr>
  </w:style>
  <w:style w:type="paragraph" w:styleId="List3">
    <w:name w:val="List 3"/>
    <w:basedOn w:val="BodyText"/>
    <w:rsid w:val="00972C5E"/>
    <w:pPr>
      <w:tabs>
        <w:tab w:val="left" w:pos="1021"/>
      </w:tabs>
      <w:spacing w:before="60" w:after="60"/>
      <w:ind w:left="1020" w:hanging="340"/>
    </w:pPr>
  </w:style>
  <w:style w:type="paragraph" w:styleId="List4">
    <w:name w:val="List 4"/>
    <w:basedOn w:val="BodyText"/>
    <w:rsid w:val="00972C5E"/>
    <w:pPr>
      <w:tabs>
        <w:tab w:val="left" w:pos="1361"/>
      </w:tabs>
      <w:spacing w:before="60" w:after="60"/>
      <w:ind w:left="1361" w:hanging="340"/>
    </w:pPr>
  </w:style>
  <w:style w:type="paragraph" w:styleId="List5">
    <w:name w:val="List 5"/>
    <w:basedOn w:val="BodyText"/>
    <w:rsid w:val="00972C5E"/>
    <w:pPr>
      <w:tabs>
        <w:tab w:val="left" w:pos="1701"/>
      </w:tabs>
      <w:spacing w:before="60" w:after="60"/>
      <w:ind w:left="1701" w:hanging="340"/>
    </w:pPr>
  </w:style>
  <w:style w:type="paragraph" w:styleId="ListBullet3">
    <w:name w:val="List Bullet 3"/>
    <w:basedOn w:val="List3"/>
    <w:rsid w:val="00972C5E"/>
    <w:pPr>
      <w:numPr>
        <w:numId w:val="15"/>
      </w:numPr>
      <w:tabs>
        <w:tab w:val="clear" w:pos="1021"/>
      </w:tabs>
      <w:ind w:left="1037" w:hanging="357"/>
    </w:pPr>
  </w:style>
  <w:style w:type="paragraph" w:styleId="ListBullet4">
    <w:name w:val="List Bullet 4"/>
    <w:basedOn w:val="List4"/>
    <w:rsid w:val="00972C5E"/>
    <w:pPr>
      <w:numPr>
        <w:numId w:val="3"/>
      </w:numPr>
    </w:pPr>
  </w:style>
  <w:style w:type="paragraph" w:styleId="ListBullet5">
    <w:name w:val="List Bullet 5"/>
    <w:basedOn w:val="List5"/>
    <w:rsid w:val="00972C5E"/>
    <w:pPr>
      <w:numPr>
        <w:numId w:val="4"/>
      </w:numPr>
    </w:pPr>
  </w:style>
  <w:style w:type="paragraph" w:styleId="ListContinue2">
    <w:name w:val="List Continue 2"/>
    <w:basedOn w:val="List2"/>
    <w:rsid w:val="00972C5E"/>
    <w:pPr>
      <w:ind w:firstLine="0"/>
    </w:pPr>
  </w:style>
  <w:style w:type="paragraph" w:styleId="ListContinue3">
    <w:name w:val="List Continue 3"/>
    <w:basedOn w:val="List3"/>
    <w:rsid w:val="00972C5E"/>
    <w:pPr>
      <w:ind w:left="1021" w:firstLine="0"/>
    </w:pPr>
  </w:style>
  <w:style w:type="paragraph" w:styleId="ListContinue4">
    <w:name w:val="List Continue 4"/>
    <w:basedOn w:val="List4"/>
    <w:rsid w:val="00972C5E"/>
    <w:pPr>
      <w:ind w:firstLine="0"/>
    </w:pPr>
  </w:style>
  <w:style w:type="paragraph" w:styleId="ListContinue5">
    <w:name w:val="List Continue 5"/>
    <w:basedOn w:val="List5"/>
    <w:rsid w:val="00972C5E"/>
    <w:pPr>
      <w:ind w:firstLine="0"/>
    </w:pPr>
  </w:style>
  <w:style w:type="paragraph" w:styleId="ListNumber3">
    <w:name w:val="List Number 3"/>
    <w:basedOn w:val="List3"/>
    <w:rsid w:val="00972C5E"/>
    <w:pPr>
      <w:numPr>
        <w:numId w:val="5"/>
      </w:numPr>
    </w:pPr>
  </w:style>
  <w:style w:type="paragraph" w:styleId="ListNumber4">
    <w:name w:val="List Number 4"/>
    <w:basedOn w:val="List4"/>
    <w:rsid w:val="00972C5E"/>
    <w:pPr>
      <w:numPr>
        <w:numId w:val="6"/>
      </w:numPr>
    </w:pPr>
  </w:style>
  <w:style w:type="paragraph" w:styleId="ListNumber5">
    <w:name w:val="List Number 5"/>
    <w:basedOn w:val="List5"/>
    <w:rsid w:val="00972C5E"/>
    <w:pPr>
      <w:numPr>
        <w:numId w:val="7"/>
      </w:numPr>
    </w:pPr>
  </w:style>
  <w:style w:type="paragraph" w:styleId="BlockText">
    <w:name w:val="Block Text"/>
    <w:basedOn w:val="Normal"/>
    <w:rsid w:val="00972C5E"/>
    <w:pPr>
      <w:spacing w:after="120"/>
      <w:ind w:left="1440" w:right="1440"/>
    </w:pPr>
  </w:style>
  <w:style w:type="character" w:customStyle="1" w:styleId="Subscript">
    <w:name w:val="Subscript"/>
    <w:basedOn w:val="DefaultParagraphFont"/>
    <w:rsid w:val="00972C5E"/>
    <w:rPr>
      <w:sz w:val="16"/>
      <w:vertAlign w:val="subscript"/>
    </w:rPr>
  </w:style>
  <w:style w:type="character" w:customStyle="1" w:styleId="Superscript">
    <w:name w:val="Superscript"/>
    <w:basedOn w:val="DefaultParagraphFont"/>
    <w:rsid w:val="00972C5E"/>
    <w:rPr>
      <w:sz w:val="16"/>
      <w:vertAlign w:val="superscript"/>
    </w:rPr>
  </w:style>
  <w:style w:type="character" w:customStyle="1" w:styleId="Symbols">
    <w:name w:val="Symbols"/>
    <w:basedOn w:val="DefaultParagraphFont"/>
    <w:rsid w:val="00972C5E"/>
    <w:rPr>
      <w:rFonts w:ascii="Symbol" w:hAnsi="Symbol"/>
    </w:rPr>
  </w:style>
  <w:style w:type="character" w:customStyle="1" w:styleId="MenuOptions">
    <w:name w:val="Menu Options"/>
    <w:basedOn w:val="DefaultParagraphFont"/>
    <w:rsid w:val="00972C5E"/>
    <w:rPr>
      <w:rFonts w:ascii="Arial Narrow" w:hAnsi="Arial Narrow"/>
      <w:smallCaps/>
    </w:rPr>
  </w:style>
  <w:style w:type="character" w:customStyle="1" w:styleId="Buttons">
    <w:name w:val="Buttons"/>
    <w:basedOn w:val="DefaultParagraphFont"/>
    <w:rsid w:val="00972C5E"/>
    <w:rPr>
      <w:b/>
    </w:rPr>
  </w:style>
  <w:style w:type="character" w:customStyle="1" w:styleId="Underlined">
    <w:name w:val="Underlined"/>
    <w:basedOn w:val="DefaultParagraphFont"/>
    <w:rsid w:val="00972C5E"/>
    <w:rPr>
      <w:u w:val="single"/>
    </w:rPr>
  </w:style>
  <w:style w:type="paragraph" w:customStyle="1" w:styleId="TableBodyTextRight">
    <w:name w:val="Table Body Text Right"/>
    <w:basedOn w:val="TableBodyText"/>
    <w:rsid w:val="00972C5E"/>
    <w:pPr>
      <w:widowControl w:val="0"/>
      <w:autoSpaceDE w:val="0"/>
      <w:autoSpaceDN w:val="0"/>
      <w:adjustRightInd w:val="0"/>
      <w:jc w:val="right"/>
    </w:pPr>
    <w:rPr>
      <w:rFonts w:cs="Arial"/>
      <w:szCs w:val="18"/>
    </w:rPr>
  </w:style>
  <w:style w:type="paragraph" w:customStyle="1" w:styleId="CopyrightText">
    <w:name w:val="Copyright Text"/>
    <w:basedOn w:val="BodyText"/>
    <w:rsid w:val="00972C5E"/>
    <w:rPr>
      <w:sz w:val="18"/>
    </w:rPr>
  </w:style>
  <w:style w:type="paragraph" w:customStyle="1" w:styleId="BodySmallRight">
    <w:name w:val="Body Small Right"/>
    <w:basedOn w:val="BodyTextRight"/>
    <w:rsid w:val="00972C5E"/>
    <w:rPr>
      <w:sz w:val="18"/>
      <w:szCs w:val="18"/>
    </w:rPr>
  </w:style>
  <w:style w:type="paragraph" w:customStyle="1" w:styleId="MarginEdition">
    <w:name w:val="Margin Edition"/>
    <w:basedOn w:val="MarginNote"/>
    <w:rsid w:val="00972C5E"/>
    <w:pPr>
      <w:spacing w:before="0" w:after="0"/>
    </w:pPr>
    <w:rPr>
      <w:rFonts w:ascii="Times New Roman" w:hAnsi="Times New Roman"/>
      <w:color w:val="999999"/>
    </w:rPr>
  </w:style>
  <w:style w:type="paragraph" w:customStyle="1" w:styleId="Spacer">
    <w:name w:val="Spacer"/>
    <w:basedOn w:val="Normal"/>
    <w:rsid w:val="00972C5E"/>
    <w:rPr>
      <w:sz w:val="2"/>
      <w:szCs w:val="2"/>
    </w:rPr>
  </w:style>
  <w:style w:type="character" w:customStyle="1" w:styleId="Small">
    <w:name w:val="Small"/>
    <w:basedOn w:val="DefaultParagraphFont"/>
    <w:rsid w:val="00972C5E"/>
    <w:rPr>
      <w:sz w:val="16"/>
    </w:rPr>
  </w:style>
  <w:style w:type="paragraph" w:customStyle="1" w:styleId="WideTable">
    <w:name w:val="Wide Table"/>
    <w:basedOn w:val="Normal"/>
    <w:rsid w:val="00972C5E"/>
    <w:pPr>
      <w:ind w:left="-1418"/>
    </w:pPr>
    <w:rPr>
      <w:sz w:val="2"/>
      <w:szCs w:val="2"/>
    </w:rPr>
  </w:style>
  <w:style w:type="character" w:styleId="PageNumber">
    <w:name w:val="page number"/>
    <w:basedOn w:val="DefaultParagraphFont"/>
    <w:rsid w:val="00972C5E"/>
  </w:style>
  <w:style w:type="paragraph" w:styleId="Quote">
    <w:name w:val="Quote"/>
    <w:basedOn w:val="Heading1"/>
    <w:link w:val="QuoteChar"/>
    <w:qFormat/>
    <w:rsid w:val="00972C5E"/>
    <w:rPr>
      <w:b w:val="0"/>
      <w:sz w:val="72"/>
      <w:szCs w:val="72"/>
      <w:lang w:val="en-NZ"/>
    </w:rPr>
  </w:style>
  <w:style w:type="character" w:customStyle="1" w:styleId="QuoteChar">
    <w:name w:val="Quote Char"/>
    <w:basedOn w:val="DefaultParagraphFont"/>
    <w:link w:val="Quote"/>
    <w:rsid w:val="00972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C5E"/>
    <w:pPr>
      <w:pageBreakBefore/>
    </w:pPr>
  </w:style>
  <w:style w:type="paragraph" w:customStyle="1" w:styleId="Border">
    <w:name w:val="Border"/>
    <w:basedOn w:val="Normal"/>
    <w:qFormat/>
    <w:rsid w:val="00972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C5E"/>
    <w:rPr>
      <w:b/>
      <w:bCs/>
      <w:i/>
      <w:iCs/>
      <w:color w:val="auto"/>
    </w:rPr>
  </w:style>
  <w:style w:type="paragraph" w:styleId="IntenseQuote">
    <w:name w:val="Intense Quote"/>
    <w:basedOn w:val="Normal"/>
    <w:next w:val="Normal"/>
    <w:link w:val="IntenseQuoteChar"/>
    <w:uiPriority w:val="30"/>
    <w:qFormat/>
    <w:rsid w:val="00972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C5E"/>
    <w:rPr>
      <w:smallCaps/>
      <w:color w:val="auto"/>
      <w:u w:val="single"/>
    </w:rPr>
  </w:style>
  <w:style w:type="character" w:styleId="IntenseReference">
    <w:name w:val="Intense Reference"/>
    <w:basedOn w:val="DefaultParagraphFont"/>
    <w:uiPriority w:val="32"/>
    <w:qFormat/>
    <w:rsid w:val="00972C5E"/>
    <w:rPr>
      <w:b/>
      <w:bCs/>
      <w:smallCaps/>
      <w:color w:val="auto"/>
      <w:spacing w:val="5"/>
      <w:u w:val="single"/>
    </w:rPr>
  </w:style>
  <w:style w:type="paragraph" w:customStyle="1" w:styleId="2ColumnHeading">
    <w:name w:val="2Column Heading"/>
    <w:basedOn w:val="BodyText"/>
    <w:qFormat/>
    <w:rsid w:val="00972C5E"/>
    <w:pPr>
      <w:spacing w:after="60"/>
      <w:ind w:left="-2268"/>
    </w:pPr>
    <w:rPr>
      <w:b/>
    </w:rPr>
  </w:style>
  <w:style w:type="paragraph" w:customStyle="1" w:styleId="Heading1TOC">
    <w:name w:val="Heading1 TOC"/>
    <w:basedOn w:val="Normal"/>
    <w:qFormat/>
    <w:rsid w:val="00972C5E"/>
    <w:pPr>
      <w:spacing w:before="240" w:after="120"/>
    </w:pPr>
    <w:rPr>
      <w:rFonts w:ascii="Times New Roman" w:hAnsi="Times New Roman"/>
      <w:b/>
      <w:sz w:val="32"/>
    </w:rPr>
  </w:style>
  <w:style w:type="paragraph" w:customStyle="1" w:styleId="Heading2TOC">
    <w:name w:val="Heading2 TOC"/>
    <w:basedOn w:val="Normal"/>
    <w:qFormat/>
    <w:rsid w:val="00972C5E"/>
    <w:pPr>
      <w:spacing w:before="240" w:after="60"/>
    </w:pPr>
    <w:rPr>
      <w:rFonts w:ascii="Times New Roman" w:hAnsi="Times New Roman"/>
      <w:b/>
      <w:sz w:val="28"/>
    </w:rPr>
  </w:style>
  <w:style w:type="character" w:customStyle="1" w:styleId="Underline">
    <w:name w:val="Underline"/>
    <w:basedOn w:val="DefaultParagraphFont"/>
    <w:qFormat/>
    <w:rsid w:val="00972C5E"/>
    <w:rPr>
      <w:u w:val="single"/>
    </w:rPr>
  </w:style>
  <w:style w:type="character" w:customStyle="1" w:styleId="BoldandItalics">
    <w:name w:val="Bold and Italics"/>
    <w:qFormat/>
    <w:rsid w:val="00972C5E"/>
    <w:rPr>
      <w:b/>
      <w:i/>
      <w:u w:val="none"/>
    </w:rPr>
  </w:style>
  <w:style w:type="paragraph" w:styleId="BalloonText">
    <w:name w:val="Balloon Text"/>
    <w:basedOn w:val="Normal"/>
    <w:link w:val="BalloonTextChar"/>
    <w:rsid w:val="00972C5E"/>
    <w:rPr>
      <w:rFonts w:ascii="Tahoma" w:hAnsi="Tahoma" w:cs="Tahoma"/>
      <w:sz w:val="16"/>
      <w:szCs w:val="16"/>
    </w:rPr>
  </w:style>
  <w:style w:type="character" w:customStyle="1" w:styleId="BalloonTextChar">
    <w:name w:val="Balloon Text Char"/>
    <w:basedOn w:val="DefaultParagraphFont"/>
    <w:link w:val="BalloonText"/>
    <w:rsid w:val="00972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C5E"/>
    <w:rPr>
      <w:b/>
      <w:color w:val="660033"/>
      <w:spacing w:val="0"/>
    </w:rPr>
  </w:style>
  <w:style w:type="paragraph" w:customStyle="1" w:styleId="Nameditemlist">
    <w:name w:val="Named item list"/>
    <w:basedOn w:val="BodyText"/>
    <w:qFormat/>
    <w:rsid w:val="00972C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2887</Words>
  <Characters>18152</Characters>
  <Application>Microsoft Office Word</Application>
  <DocSecurity>0</DocSecurity>
  <Lines>725</Lines>
  <Paragraphs>255</Paragraphs>
  <ScaleCrop>false</ScaleCrop>
  <Company>Author-it Software Corporation Ltd.</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UETTDREL21A Operate specialised data information equipment near live electrical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2013-03-15T13:14:00Z</dcterms:created>
  <dcterms:modified xsi:type="dcterms:W3CDTF">2013-03-15T13:14:00Z</dcterms:modified>
</cp:coreProperties>
</file>