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5AA" w:rsidP="00E465AA">
      <w:pPr>
        <w:pStyle w:val="Title"/>
      </w:pPr>
      <w:bookmarkStart w:id="0" w:name="_GoBack"/>
      <w:bookmarkEnd w:id="0"/>
      <w:r>
        <w:fldChar w:fldCharType="begin"/>
      </w:r>
      <w:r>
        <w:instrText xml:space="preserve"> TITLE   \* MERGEFORMAT </w:instrText>
      </w:r>
      <w:r>
        <w:fldChar w:fldCharType="separate"/>
      </w:r>
      <w:r>
        <w:t>UETTDREL18A Inspect and treat poles and inspect electrical apparatus</w:t>
      </w:r>
      <w:r>
        <w:fldChar w:fldCharType="end"/>
      </w:r>
    </w:p>
    <w:p w:rsidR="00E465AA" w:rsidP="00E465AA">
      <w:pPr>
        <w:pStyle w:val="Version"/>
        <w:sectPr w:rsidSect="00844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4E1B" w:rsidP="00844E1B">
      <w:pPr>
        <w:pStyle w:val="SuperHeading"/>
      </w:pPr>
      <w:r w:rsidRPr="00844E1B">
        <w:t>UETTDREL18A Inspect and treat poles and inspect electrical apparatus</w:t>
      </w:r>
    </w:p>
    <w:p w:rsidR="00000000" w:rsidRPr="00844E1B" w:rsidP="00844E1B">
      <w:pPr>
        <w:pStyle w:val="Heading1"/>
      </w:pPr>
      <w:bookmarkStart w:id="1" w:name="O_536224"/>
      <w:bookmarkEnd w:id="1"/>
      <w:r w:rsidRPr="00844E1B">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465A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Points</w:t>
            </w:r>
          </w:p>
        </w:tc>
      </w:tr>
      <w:tr w:rsidTr="00E465A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Corrected "Evidence shall show that knowledge has been acquired of" statement on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p>
        </w:tc>
      </w:tr>
    </w:tbl>
    <w:p w:rsidR="00E465AA" w:rsidP="00844E1B">
      <w:pPr>
        <w:pStyle w:val="BodyText"/>
      </w:pPr>
    </w:p>
    <w:p w:rsidR="00E465AA" w:rsidP="00844E1B">
      <w:pPr>
        <w:pStyle w:val="BodyText"/>
      </w:pPr>
    </w:p>
    <w:p w:rsidR="00000000" w:rsidRPr="00844E1B" w:rsidP="00844E1B">
      <w:pPr>
        <w:pStyle w:val="Heading1"/>
      </w:pPr>
      <w:bookmarkStart w:id="2" w:name="O_536223"/>
      <w:bookmarkEnd w:id="2"/>
      <w:r w:rsidRPr="00844E1B">
        <w:t>Unit Descriptor</w:t>
      </w:r>
    </w:p>
    <w:tbl>
      <w:tblPr>
        <w:tblW w:w="0" w:type="auto"/>
        <w:tblLayout w:type="fixed"/>
        <w:tblCellMar>
          <w:left w:w="62" w:type="dxa"/>
          <w:right w:w="62" w:type="dxa"/>
        </w:tblCellMar>
        <w:tblLook w:val="0000"/>
      </w:tblPr>
      <w:tblGrid>
        <w:gridCol w:w="2700"/>
        <w:gridCol w:w="5760"/>
      </w:tblGrid>
      <w:tr w:rsidTr="00E465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1)</w:t>
            </w:r>
            <w:r w:rsidRPr="00844E1B">
              <w:t xml:space="preserve"> </w:t>
            </w:r>
            <w:r w:rsidRPr="00844E1B">
              <w:rPr>
                <w:rStyle w:val="SpecialBold"/>
              </w:rPr>
              <w:t>Scope:</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4E1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1.1) Descriptor</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 xml:space="preserve">This Competency Standard Unit covers the treatment of poles and the inspection of poles and electrical apparatus in accordance with enterprise procedures. </w:t>
            </w:r>
          </w:p>
          <w:p w:rsidR="00000000" w:rsidRPr="00844E1B" w:rsidP="00844E1B">
            <w:pPr>
              <w:pStyle w:val="BodyText"/>
            </w:pPr>
            <w:r w:rsidRPr="00844E1B">
              <w:t>It includes work associated with testing or examining, at eye level to below ground and the visual c</w:t>
            </w:r>
            <w:r w:rsidRPr="00844E1B">
              <w:t xml:space="preserve">hecking above ground of the cross arm, conductors, hardware and equipment attached with the use of the un-aided eye, binoculars and electronic vision equipment so as to determine the integrity of the poles, structures and hardware attached to them. </w:t>
            </w:r>
          </w:p>
          <w:p w:rsidR="00000000" w:rsidRPr="00844E1B" w:rsidP="00844E1B">
            <w:pPr>
              <w:pStyle w:val="BodyText"/>
            </w:pPr>
            <w:r w:rsidRPr="00844E1B">
              <w:t>It als</w:t>
            </w:r>
            <w:r w:rsidRPr="00844E1B">
              <w:t>o encompasses the completion of inspection reports and the updating of records to enterprise requirements.</w:t>
            </w:r>
          </w:p>
          <w:p w:rsidR="00000000" w:rsidRPr="00844E1B" w:rsidP="00844E1B">
            <w:pPr>
              <w:pStyle w:val="BodyText"/>
            </w:pPr>
            <w:r w:rsidRPr="00844E1B">
              <w:t>No licensing, legislative, regulatory or certification requirements apply to this unit at the time of publication</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3" w:name="O_536222"/>
      <w:bookmarkEnd w:id="3"/>
      <w:r w:rsidRPr="00844E1B">
        <w:t>Application of t</w:t>
      </w:r>
      <w:r w:rsidRPr="00844E1B">
        <w:t>he Unit</w:t>
      </w:r>
    </w:p>
    <w:tbl>
      <w:tblPr>
        <w:tblW w:w="0" w:type="auto"/>
        <w:tblLayout w:type="fixed"/>
        <w:tblCellMar>
          <w:left w:w="62" w:type="dxa"/>
          <w:right w:w="62" w:type="dxa"/>
        </w:tblCellMar>
        <w:tblLook w:val="0000"/>
      </w:tblPr>
      <w:tblGrid>
        <w:gridCol w:w="2672"/>
        <w:gridCol w:w="5699"/>
      </w:tblGrid>
      <w:tr w:rsidTr="00E465A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2)</w:t>
            </w:r>
          </w:p>
        </w:tc>
      </w:tr>
      <w:tr w:rsidTr="00E465A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 xml:space="preserve">This competency standards unit would be applied  by asset inspectors engaged in the regular and methodical inspection and treatment poles and </w:t>
            </w:r>
            <w:r w:rsidRPr="00844E1B">
              <w:t xml:space="preserve">inspection of </w:t>
            </w:r>
            <w:r w:rsidRPr="00844E1B">
              <w:t>electrical apparatus in the transmission and distribution industry sector</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4" w:name="O_536221"/>
      <w:bookmarkEnd w:id="4"/>
      <w:r w:rsidRPr="00844E1B">
        <w:t>Licensing/Regulatory Information</w:t>
      </w:r>
    </w:p>
    <w:tbl>
      <w:tblPr>
        <w:tblW w:w="0" w:type="auto"/>
        <w:tblLayout w:type="fixed"/>
        <w:tblCellMar>
          <w:left w:w="62" w:type="dxa"/>
          <w:right w:w="62" w:type="dxa"/>
        </w:tblCellMar>
        <w:tblLook w:val="0000"/>
      </w:tblPr>
      <w:tblGrid>
        <w:gridCol w:w="2700"/>
        <w:gridCol w:w="5760"/>
      </w:tblGrid>
      <w:tr w:rsidTr="00E465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 xml:space="preserve">3) </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The skills and knowledge described in this unit may require a licence/registration to prac</w:t>
            </w:r>
            <w:r w:rsidRPr="00844E1B">
              <w:t>tice in the work place subject to regulations for undertaking of electrical work. Practice in workplace and during training is also subject to regulations directly related to Occupational Health and Safety, electricity/telecommunications/gas/water industry</w:t>
            </w:r>
            <w:r w:rsidRPr="00844E1B">
              <w:t xml:space="preserve"> safety and compliance, industrial relations, environmental protection, anti discrimination and training. Commonwealth, State/Territory or Local Government legislation and regulations may exist that limits the age of operating certain equipment.</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5" w:name="O_536220"/>
      <w:bookmarkEnd w:id="5"/>
      <w:r w:rsidRPr="00844E1B">
        <w:t>Pre-Requisites</w:t>
      </w:r>
    </w:p>
    <w:tbl>
      <w:tblPr>
        <w:tblW w:w="0" w:type="auto"/>
        <w:tblLayout w:type="fixed"/>
        <w:tblCellMar>
          <w:left w:w="62" w:type="dxa"/>
          <w:right w:w="62" w:type="dxa"/>
        </w:tblCellMar>
        <w:tblLook w:val="0000"/>
      </w:tblPr>
      <w:tblGrid>
        <w:gridCol w:w="2700"/>
        <w:gridCol w:w="1800"/>
        <w:gridCol w:w="3960"/>
      </w:tblGrid>
      <w:tr w:rsidTr="00E465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 xml:space="preserve">4) </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4.1)</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Granting of competency in this unit shall be made only after competency in the following unit(s) has/have been confirmed.</w:t>
            </w:r>
          </w:p>
          <w:p w:rsidR="00000000" w:rsidRPr="00844E1B" w:rsidP="00844E1B">
            <w:pPr>
              <w:pStyle w:val="BodyText"/>
            </w:pPr>
            <w:r w:rsidRPr="00844E1B">
              <w:t>Where pre-requisite pathways have been identified. All competencies in the Common Unit Group must be have been completed.</w:t>
            </w:r>
          </w:p>
          <w:p w:rsidR="00000000" w:rsidP="00844E1B">
            <w:pPr>
              <w:pStyle w:val="BodyText"/>
              <w:rPr>
                <w:lang w:val="en-NZ"/>
              </w:rPr>
            </w:pPr>
            <w:r w:rsidRPr="00844E1B">
              <w:t>Common Unit Group</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Unit Code</w:t>
            </w:r>
          </w:p>
        </w:tc>
        <w:tc>
          <w:tcPr>
            <w:tcW w:w="39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Unit Title</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844E1B">
            <w:pPr>
              <w:pStyle w:val="BodyText"/>
              <w:rPr>
                <w:lang w:val="en-NZ"/>
              </w:rPr>
            </w:pPr>
            <w:r w:rsidRPr="00844E1B">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844E1B">
            <w:pPr>
              <w:pStyle w:val="BodyText"/>
              <w:rPr>
                <w:lang w:val="en-NZ"/>
              </w:rPr>
            </w:pPr>
            <w:r w:rsidRPr="00844E1B">
              <w:t>Apply Occupational Health and Safety regulations, codes and practices in the w</w:t>
            </w:r>
            <w:r w:rsidRPr="00844E1B">
              <w:t>orkplace</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844E1B">
            <w:pPr>
              <w:pStyle w:val="BodyText"/>
              <w:rPr>
                <w:lang w:val="en-NZ"/>
              </w:rPr>
            </w:pPr>
            <w:r w:rsidRPr="00844E1B">
              <w:t>UETTDREL13A</w:t>
            </w:r>
          </w:p>
        </w:tc>
        <w:tc>
          <w:tcPr>
            <w:tcW w:w="3960" w:type="dxa"/>
            <w:tcBorders>
              <w:top w:val="nil"/>
              <w:left w:val="nil"/>
              <w:bottom w:val="nil"/>
              <w:right w:val="nil"/>
            </w:tcBorders>
            <w:tcMar>
              <w:top w:w="0" w:type="dxa"/>
              <w:left w:w="62" w:type="dxa"/>
              <w:bottom w:w="0" w:type="dxa"/>
              <w:right w:w="62" w:type="dxa"/>
            </w:tcMar>
            <w:vAlign w:val="center"/>
          </w:tcPr>
          <w:p w:rsidR="00000000" w:rsidP="00844E1B">
            <w:pPr>
              <w:pStyle w:val="BodyText"/>
              <w:rPr>
                <w:lang w:val="en-NZ"/>
              </w:rPr>
            </w:pPr>
            <w:r w:rsidRPr="00844E1B">
              <w:t>Comply with sustainability, environmental and incidental response policies and procedures</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844E1B">
            <w:pPr>
              <w:pStyle w:val="BodyText"/>
              <w:rPr>
                <w:lang w:val="en-NZ"/>
              </w:rPr>
            </w:pPr>
            <w:r w:rsidRPr="00844E1B">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RPr="00844E1B" w:rsidP="00844E1B">
            <w:pPr>
              <w:pStyle w:val="BodyText"/>
            </w:pPr>
            <w:r w:rsidRPr="00844E1B">
              <w:t>Working safe near live electrical apparatus as a non-electrical worker</w:t>
            </w:r>
          </w:p>
        </w:tc>
      </w:tr>
    </w:tbl>
    <w:p w:rsidR="00000000" w:rsidRPr="00844E1B" w:rsidP="00844E1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465AA">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 xml:space="preserve">4.2) </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Participants are best equipped to achieve this unit if they have reading, writing and numeracy skills indicated by the following scales. Description of each scale is given in Volume 2, Part 3 “Literacy and Numeracy”.</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Reading</w:t>
            </w:r>
          </w:p>
        </w:tc>
        <w:tc>
          <w:tcPr>
            <w:tcW w:w="81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w:t>
            </w:r>
          </w:p>
        </w:tc>
        <w:tc>
          <w:tcPr>
            <w:tcW w:w="99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Writing</w:t>
            </w: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w:t>
            </w:r>
          </w:p>
        </w:tc>
        <w:tc>
          <w:tcPr>
            <w:tcW w:w="12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Numeracy</w:t>
            </w:r>
          </w:p>
        </w:tc>
        <w:tc>
          <w:tcPr>
            <w:tcW w:w="72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3</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6" w:name="O_536219"/>
      <w:bookmarkEnd w:id="6"/>
      <w:r w:rsidRPr="00844E1B">
        <w:t>Employability Skills Information</w:t>
      </w:r>
    </w:p>
    <w:tbl>
      <w:tblPr>
        <w:tblW w:w="0" w:type="auto"/>
        <w:tblLayout w:type="fixed"/>
        <w:tblCellMar>
          <w:left w:w="62" w:type="dxa"/>
          <w:right w:w="62" w:type="dxa"/>
        </w:tblCellMar>
        <w:tblLook w:val="0000"/>
      </w:tblPr>
      <w:tblGrid>
        <w:gridCol w:w="2700"/>
        <w:gridCol w:w="5760"/>
      </w:tblGrid>
      <w:tr w:rsidTr="00E465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 xml:space="preserve">5) </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 xml:space="preserve">The required outcomes described in this unit of competency contain applicable facets of Employability Skills. The Employability Skills Summary of the qualification in which this </w:t>
            </w:r>
            <w:r w:rsidRPr="00844E1B">
              <w:t>unit of competency is packaged will assist in identifying Employability Skill requirements.</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7" w:name="O_536218"/>
      <w:bookmarkEnd w:id="7"/>
      <w:r w:rsidRPr="00844E1B">
        <w:t>Elements and Performance Criteria Pre-Content</w:t>
      </w:r>
    </w:p>
    <w:tbl>
      <w:tblPr>
        <w:tblW w:w="0" w:type="auto"/>
        <w:tblLayout w:type="fixed"/>
        <w:tblCellMar>
          <w:left w:w="62" w:type="dxa"/>
          <w:right w:w="62" w:type="dxa"/>
        </w:tblCellMar>
        <w:tblLook w:val="0000"/>
      </w:tblPr>
      <w:tblGrid>
        <w:gridCol w:w="2700"/>
        <w:gridCol w:w="5760"/>
      </w:tblGrid>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6)</w:t>
            </w:r>
            <w:r w:rsidRPr="00844E1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Performance Criteria describe the required performance needed to demonstrate achievement of the element. Assessment of performance is to be consistent with the Evidence Guide.</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8" w:name="O_536217"/>
      <w:bookmarkEnd w:id="8"/>
      <w:r w:rsidRPr="00844E1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465A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PERFORMANCE CRITER</w:t>
            </w:r>
            <w:r w:rsidRPr="00844E1B">
              <w:rPr>
                <w:rStyle w:val="SpecialBold"/>
              </w:rPr>
              <w:t>IA</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w:t>
            </w:r>
          </w:p>
        </w:tc>
        <w:tc>
          <w:tcPr>
            <w:tcW w:w="2296" w:type="dxa"/>
            <w:vMerge w:val="restart"/>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Prepare to Inspect and treat poles and inspect electrical apparatus.</w:t>
            </w: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1.1</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Works instructions are received, analysed and confirmed, if necessary by site inspection.</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1.2</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Relevant requirements and established procedures for the work are communicated to all personnel and identified for all work sites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1.3</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OHS policies and procedures related to requirements and established procedures for the visua</w:t>
            </w:r>
            <w:r w:rsidRPr="00844E1B">
              <w:t>l inspection and treatment of poles and structures, and the inspection of overhead structures and electrical apparatus used on the poles are obtained and confirmed.</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1.4</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 xml:space="preserve">Work is prioritised and sequenced following consultation with others for completion </w:t>
            </w:r>
            <w:r w:rsidRPr="00844E1B">
              <w:t>within acceptable timeframes and in accordance with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1.5</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Hazards are identified, OHS risks assessed and control measures are prioritised, implemented and monitored according to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1.6</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Relevant work permits are obtained, where necessary, to access and perform work according to requirements and/or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1.7</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Resources including equipment, tools and personal protective equipment required for the job are obtained and con</w:t>
            </w:r>
            <w:r w:rsidRPr="00844E1B">
              <w:t>firmed in working order.</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1.8</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Relevant person responsible for First Aid and / or related work safety procedures at the worksite are confirmed in accordance with established procedures to ensure safety measures are followed in the instance of an incident</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1.9</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Liaison and communication issues with appropriate personnel, authorities, clients and land owners are resolved to carry out work where necessary.</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1.10</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Site is prepared according to the work schedule and to minimise risk and</w:t>
            </w:r>
            <w:r w:rsidRPr="00844E1B">
              <w:t xml:space="preserve"> damage to property, commerce, and individuals in accordance with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1.11</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Personnel participating in the work are fully briefed and respective responsibilities confirmed in accordance with established procedures, where necessary.</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1.12</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Traffic management plan is identified and road signs, barriers and warning devices are positioned in accordance with requirements, where necessary.</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w:t>
            </w:r>
          </w:p>
        </w:tc>
        <w:tc>
          <w:tcPr>
            <w:tcW w:w="2296"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Conduct inspection and treatment of poles and inspect electrical apparatus</w:t>
            </w: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2.1</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 xml:space="preserve">OHS and sustainable </w:t>
            </w:r>
            <w:r w:rsidRPr="00844E1B">
              <w:t>energy and environmental principles and practices to reduce the incidents of accidents and minimise waste are monitored and followed in accordance with requirements and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2.2</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Tools and equipment are selected appropriate to the task</w:t>
            </w:r>
            <w:r w:rsidRPr="00844E1B">
              <w:t xml:space="preserve"> requirements and are used to produce desired outcomes.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2.3</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Lifting, and use of power tools/equipment, techniques and practices are safely followed in accordance with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2.4</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Essential knowledge and associated skills are applied for the inspection of poles and electrical apparatus, and the safe treatment of poles and structures to ensure completion in an agreed timeframe and, to quality standards with a minimum of waste accordi</w:t>
            </w:r>
            <w:r w:rsidRPr="00844E1B">
              <w:t>ng to requirements.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2.5</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Hazard warnings and safety signs are recognised, hazards identified and OHS risks reported to immediate appropriate personnel for directions according to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2.6</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Visual inspection of poles and overhead stru</w:t>
            </w:r>
            <w:r w:rsidRPr="00844E1B">
              <w:t>ctures, conductors, cables and electrical apparatus used on poles and / or structures is carried out in accordance with the work schedule to requirements and establish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2.7</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Poles and / or structures are tested or examined from approximately eye level to below ground to requirements and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2.8</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Visual checks are performed to identify fungal activity, dry rot, termite and borer infestation in accordance w</w:t>
            </w:r>
            <w:r w:rsidRPr="00844E1B">
              <w:t>ith established procedures, where required.</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2.9</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Treatment of poles and/or structures is carried out, in accordance with the work schedule to requirements and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2.10</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Defective or suspect poles are identified according to establis</w:t>
            </w:r>
            <w:r w:rsidRPr="00844E1B">
              <w:t>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2.11</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Unplanned events during the inspection of poles, structures electrical apparatus are undertaken within the scope of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2.12</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Known solutions to a variety of problems are applied using acquired knowledge and associated skills.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2.13</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On-going checks of quality of the work are undertaken in accordance with instructions and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w:t>
            </w:r>
          </w:p>
        </w:tc>
        <w:tc>
          <w:tcPr>
            <w:tcW w:w="2296" w:type="dxa"/>
            <w:vMerge w:val="restart"/>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Complete the Inspection and tre</w:t>
            </w:r>
            <w:r w:rsidRPr="00844E1B">
              <w:t>atment of poles and inspect electrical apparatus</w:t>
            </w: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3.1</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Work undertaken is checked against works schedule for conformance with requirements, with anomalies reported in accordance with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3.2</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Accidents and/or injuries are reported in accordance with requirements/established procedures, where applicable.</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3.3</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Work site is rehabilitated, cleaned up and made safe in accordance with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3.4</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Tools and any surplus resources and materials are, where appropriate, cleaned, checked and returned to storage according to established procedures.</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3.5</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Unsafe or faulty tools are identified and marked for repair in accordance with established procedures</w:t>
            </w:r>
            <w:r w:rsidRPr="00844E1B">
              <w:t xml:space="preserve"> before, during and after use.</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3.6</w:t>
            </w:r>
          </w:p>
        </w:tc>
        <w:tc>
          <w:tcPr>
            <w:tcW w:w="48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Relevant work permit(s) are signed off and poles and structures are returned to service in accordance with requirements, where applicable.</w:t>
            </w:r>
          </w:p>
        </w:tc>
      </w:tr>
      <w:tr w:rsidTr="00E465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t>3.7</w:t>
            </w:r>
          </w:p>
        </w:tc>
        <w:tc>
          <w:tcPr>
            <w:tcW w:w="486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Works completion records, reports and/or documentation and information a</w:t>
            </w:r>
            <w:r w:rsidRPr="00844E1B">
              <w:t>re finalised and processed and appropriate personnel notified to enterprise requirements.</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9" w:name="O_536216"/>
      <w:bookmarkEnd w:id="9"/>
      <w:r w:rsidRPr="00844E1B">
        <w:t>Required Skills and Knowledge</w:t>
      </w:r>
    </w:p>
    <w:tbl>
      <w:tblPr>
        <w:tblW w:w="0" w:type="auto"/>
        <w:tblLayout w:type="fixed"/>
        <w:tblCellMar>
          <w:left w:w="62" w:type="dxa"/>
          <w:right w:w="62" w:type="dxa"/>
        </w:tblCellMar>
        <w:tblLook w:val="0000"/>
      </w:tblPr>
      <w:tblGrid>
        <w:gridCol w:w="8460"/>
      </w:tblGrid>
      <w:tr w:rsidTr="00E465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REQUIRED SKILLS AND KNOWLEDGE</w:t>
            </w:r>
          </w:p>
        </w:tc>
      </w:tr>
      <w:tr w:rsidTr="00E465A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8)</w:t>
            </w:r>
            <w:r w:rsidRPr="00844E1B">
              <w:t xml:space="preserve"> Essential Knowledge and Associated Skills (EKAS): This describes the essential skills and knowledge and their level, required for this unit.</w:t>
            </w:r>
          </w:p>
          <w:p w:rsidR="00000000" w:rsidRPr="00844E1B" w:rsidP="00844E1B">
            <w:pPr>
              <w:pStyle w:val="BodyText"/>
            </w:pPr>
            <w:r w:rsidRPr="00844E1B">
              <w:t>Evidence shall show that knowledge has been acquired of inspecting poles and electrical apparatus.</w:t>
            </w:r>
          </w:p>
          <w:p w:rsidR="00000000" w:rsidRPr="00844E1B" w:rsidP="00844E1B">
            <w:pPr>
              <w:pStyle w:val="BodyText"/>
            </w:pPr>
            <w:r w:rsidRPr="00844E1B">
              <w:t>All knowledge a</w:t>
            </w:r>
            <w:r w:rsidRPr="00844E1B">
              <w:t>nd skills detailed in this unit should be contextualised to current industry practices and technologies.</w:t>
            </w:r>
          </w:p>
          <w:p w:rsidR="00000000" w:rsidRPr="00844E1B" w:rsidP="00844E1B">
            <w:pPr>
              <w:pStyle w:val="BodyText"/>
            </w:pPr>
            <w:r w:rsidRPr="00844E1B">
              <w:t xml:space="preserve">KS01-TEL18A </w:t>
            </w:r>
            <w:r w:rsidRPr="00844E1B">
              <w:tab/>
              <w:t>Inspection of poles and of electrical apparatus</w:t>
            </w:r>
          </w:p>
          <w:p w:rsidR="00000000" w:rsidRPr="00844E1B" w:rsidP="00844E1B">
            <w:pPr>
              <w:pStyle w:val="BodyText"/>
            </w:pPr>
            <w:r w:rsidRPr="00844E1B">
              <w:t>Evidence shall show an understanding of inspection of poles and of electrical apparatus to</w:t>
            </w:r>
            <w:r w:rsidRPr="00844E1B">
              <w:t xml:space="preserve"> an extent indicated by the following aspects:</w:t>
            </w:r>
          </w:p>
          <w:p w:rsidR="00000000" w:rsidRPr="00844E1B" w:rsidP="00844E1B">
            <w:pPr>
              <w:pStyle w:val="BodyText"/>
            </w:pPr>
            <w:r w:rsidRPr="00844E1B">
              <w:t>T1</w:t>
            </w:r>
            <w:r w:rsidRPr="00844E1B">
              <w:tab/>
              <w:t>Poles and of electrical apparatus inspection safety requirements encompassing:</w:t>
            </w:r>
          </w:p>
          <w:p w:rsidR="00000000" w:rsidRPr="00844E1B" w:rsidP="00844E1B">
            <w:pPr>
              <w:pStyle w:val="ListBullet"/>
            </w:pPr>
            <w:r w:rsidRPr="00844E1B">
              <w:t>Working safely with machinery and equipment near live electrical apparatus</w:t>
            </w:r>
          </w:p>
          <w:p w:rsidR="00000000" w:rsidRPr="00844E1B" w:rsidP="00844E1B">
            <w:pPr>
              <w:pStyle w:val="ListBullet"/>
            </w:pPr>
            <w:r w:rsidRPr="00844E1B">
              <w:t>An understanding of working safely on an around ele</w:t>
            </w:r>
            <w:r w:rsidRPr="00844E1B">
              <w:t>ctrical equipment through the application of risk management principles and control measures.</w:t>
            </w:r>
          </w:p>
          <w:p w:rsidR="00000000" w:rsidRPr="00844E1B" w:rsidP="00844E1B">
            <w:pPr>
              <w:pStyle w:val="ListBullet"/>
            </w:pPr>
            <w:r w:rsidRPr="00844E1B">
              <w:t>Selecting and using appropriate personal safety equipment</w:t>
            </w:r>
          </w:p>
          <w:p w:rsidR="00000000" w:rsidRPr="00844E1B" w:rsidP="00844E1B">
            <w:pPr>
              <w:pStyle w:val="ListBullet"/>
            </w:pPr>
            <w:r w:rsidRPr="00844E1B">
              <w:t>Implementing emergency procedures for the rescue of an electric shock victim</w:t>
            </w:r>
          </w:p>
          <w:p w:rsidR="00000000" w:rsidRPr="00844E1B" w:rsidP="00844E1B">
            <w:pPr>
              <w:pStyle w:val="ListBullet"/>
            </w:pPr>
            <w:r w:rsidRPr="00844E1B">
              <w:t>Providing emergency first aid for an electric shock victim</w:t>
            </w:r>
          </w:p>
          <w:p w:rsidR="00000000" w:rsidRPr="00844E1B" w:rsidP="00844E1B">
            <w:pPr>
              <w:pStyle w:val="ListBullet"/>
            </w:pPr>
            <w:r w:rsidRPr="00844E1B">
              <w:t>Selecting and using Personal Protecting Equipment (PPE)</w:t>
            </w:r>
          </w:p>
          <w:p w:rsidR="00000000" w:rsidRPr="00844E1B" w:rsidP="00844E1B">
            <w:pPr>
              <w:pStyle w:val="ListBullet"/>
            </w:pPr>
            <w:r w:rsidRPr="00844E1B">
              <w:t>Safe handling and use of chemical treatments</w:t>
            </w:r>
          </w:p>
          <w:p w:rsidR="00000000" w:rsidRPr="00844E1B" w:rsidP="00844E1B">
            <w:pPr>
              <w:pStyle w:val="ListBullet"/>
            </w:pPr>
            <w:r w:rsidRPr="00844E1B">
              <w:t xml:space="preserve">Visual checking and treatment of poles and structures </w:t>
            </w:r>
          </w:p>
          <w:p w:rsidR="00000000" w:rsidRPr="00844E1B" w:rsidP="00844E1B">
            <w:pPr>
              <w:pStyle w:val="ListBullet"/>
            </w:pPr>
            <w:r w:rsidRPr="00844E1B">
              <w:t>Inspecting of overhead structures and ele</w:t>
            </w:r>
            <w:r w:rsidRPr="00844E1B">
              <w:t>ctrical apparatus used on poles and / or structures</w:t>
            </w:r>
          </w:p>
          <w:p w:rsidR="00000000" w:rsidRPr="00844E1B" w:rsidP="00844E1B">
            <w:pPr>
              <w:pStyle w:val="ListBullet"/>
            </w:pPr>
            <w:r w:rsidRPr="00844E1B">
              <w:t>Documenting inspection findings in accordance with enterprise requirements.</w:t>
            </w:r>
          </w:p>
          <w:p w:rsidR="00000000" w:rsidRPr="00844E1B" w:rsidP="00844E1B">
            <w:pPr>
              <w:pStyle w:val="BodyText"/>
            </w:pPr>
            <w:r w:rsidRPr="00844E1B">
              <w:t>T2</w:t>
            </w:r>
            <w:r w:rsidRPr="00844E1B">
              <w:tab/>
              <w:t>Inspection of poles and electrical apparatus/equipment encompassing:</w:t>
            </w:r>
          </w:p>
          <w:p w:rsidR="00000000" w:rsidRPr="00844E1B" w:rsidP="00844E1B">
            <w:pPr>
              <w:pStyle w:val="ListBullet"/>
            </w:pPr>
            <w:r w:rsidRPr="00844E1B">
              <w:t>Standards, codes, legislation, supply authority regulat</w:t>
            </w:r>
            <w:r w:rsidRPr="00844E1B">
              <w:t>ions and or enterprise requirements</w:t>
            </w:r>
          </w:p>
          <w:p w:rsidR="00000000" w:rsidRPr="00844E1B" w:rsidP="00844E1B">
            <w:pPr>
              <w:pStyle w:val="ListBullet"/>
            </w:pPr>
            <w:r w:rsidRPr="00844E1B">
              <w:t xml:space="preserve">Characteristics of wood used for structures within the electrical distribution system - relationship between timber and water, faults that occur that influence the integrity of the structure, effects and types of fungal </w:t>
            </w:r>
            <w:r w:rsidRPr="00844E1B">
              <w:t>activity, effects of termite and borer activity, effects of rot</w:t>
            </w:r>
          </w:p>
          <w:p w:rsidR="00000000" w:rsidRPr="00844E1B" w:rsidP="00844E1B">
            <w:pPr>
              <w:pStyle w:val="ListBullet"/>
            </w:pPr>
            <w:r w:rsidRPr="00844E1B">
              <w:t>Deterioration prevention techniques - relationship between steel, concrete and wood, inspection procedures for deterioration, deterioration prevention procedures in steel, concrete and wood, p</w:t>
            </w:r>
            <w:r w:rsidRPr="00844E1B">
              <w:t>rocedures for the repair of deterioration in steel, concrete and wood</w:t>
            </w:r>
          </w:p>
          <w:p w:rsidR="00000000" w:rsidRPr="00844E1B" w:rsidP="00844E1B">
            <w:pPr>
              <w:pStyle w:val="ListBullet"/>
            </w:pPr>
            <w:r w:rsidRPr="00844E1B">
              <w:t>Ground line inspection procedures of electrical distribution structures - requirements for pole inspection on electrical distribution structures, use of specific equipment and testing de</w:t>
            </w:r>
            <w:r w:rsidRPr="00844E1B">
              <w:t>vices during testing/inspection, methods of recording data</w:t>
            </w:r>
          </w:p>
          <w:p w:rsidR="00000000" w:rsidRPr="00844E1B" w:rsidP="00844E1B">
            <w:pPr>
              <w:pStyle w:val="ListBullet"/>
            </w:pPr>
            <w:r w:rsidRPr="00844E1B">
              <w:t>Overhead line inspection procedures of electrical distribution structures - methods and requirements for overhead inspection on electrical distribution structures including cables, conductors and a</w:t>
            </w:r>
            <w:r w:rsidRPr="00844E1B">
              <w:t>pparatus, clearances for overhead conductors, cables and structures, use of specific equipment and testing devices during testing/inspection, methods of recording data.</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10" w:name="O_536215"/>
      <w:bookmarkEnd w:id="10"/>
      <w:r w:rsidRPr="00844E1B">
        <w:t>Evidence Guide</w:t>
      </w:r>
    </w:p>
    <w:tbl>
      <w:tblPr>
        <w:tblW w:w="0" w:type="auto"/>
        <w:tblLayout w:type="fixed"/>
        <w:tblCellMar>
          <w:left w:w="62" w:type="dxa"/>
          <w:right w:w="62" w:type="dxa"/>
        </w:tblCellMar>
        <w:tblLook w:val="0000"/>
      </w:tblPr>
      <w:tblGrid>
        <w:gridCol w:w="8460"/>
      </w:tblGrid>
      <w:tr w:rsidTr="00E465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EVIDENCE GUIDE</w:t>
            </w:r>
          </w:p>
        </w:tc>
      </w:tr>
      <w:tr w:rsidTr="00E465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9)</w:t>
            </w:r>
            <w:r w:rsidRPr="00844E1B">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844E1B" w:rsidP="00844E1B">
            <w:pPr>
              <w:pStyle w:val="BodyText"/>
            </w:pPr>
            <w:r w:rsidRPr="00844E1B">
              <w:t>The Evidenc</w:t>
            </w:r>
            <w:r w:rsidRPr="00844E1B">
              <w:t>e Guide forms an integral part of this Competency Standard Unit and shall be used in conjunction with all component parts of this unit and, performed in accordance with the Assessment Guidelines of this Training Package.</w:t>
            </w:r>
          </w:p>
        </w:tc>
      </w:tr>
    </w:tbl>
    <w:p w:rsidR="00000000" w:rsidRPr="00844E1B" w:rsidP="00844E1B">
      <w:pPr>
        <w:pStyle w:val="BodyText"/>
      </w:pPr>
    </w:p>
    <w:tbl>
      <w:tblPr>
        <w:tblW w:w="0" w:type="auto"/>
        <w:tblLayout w:type="fixed"/>
        <w:tblCellMar>
          <w:left w:w="62" w:type="dxa"/>
          <w:right w:w="62" w:type="dxa"/>
        </w:tblCellMar>
        <w:tblLook w:val="0000"/>
      </w:tblPr>
      <w:tblGrid>
        <w:gridCol w:w="1890"/>
        <w:gridCol w:w="6570"/>
      </w:tblGrid>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9.1)</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Longitudinal competency development approaches to assessment, such as Profiling, require data to be reliably gathered in a form that can be consistently interpreted over time. This approach is best utilised in Apprenticeship programs and reduces assessment</w:t>
            </w:r>
            <w:r w:rsidRPr="00844E1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44E1B">
              <w:t>tency in a realistically simulated work environment. It is recognised that, in some circumstances, assessment in part or full can occur outside the workplace. However, it must be in accord with Industry and, Regulatory policy in this regard.</w:t>
            </w:r>
          </w:p>
          <w:p w:rsidR="00000000" w:rsidRPr="00844E1B" w:rsidP="00844E1B">
            <w:pPr>
              <w:pStyle w:val="BodyText"/>
            </w:pPr>
            <w:r w:rsidRPr="00844E1B">
              <w:t>Methods chosen</w:t>
            </w:r>
            <w:r w:rsidRPr="00844E1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44E1B">
              <w:t>equired and the critical nature of the competencies being assessed.</w:t>
            </w:r>
          </w:p>
          <w:p w:rsidR="00000000" w:rsidRPr="00844E1B" w:rsidP="00844E1B">
            <w:pPr>
              <w:pStyle w:val="BodyText"/>
            </w:pPr>
            <w:r w:rsidRPr="00844E1B">
              <w:t>The critical safety nature of working with electricity, electrical equipment, gas or any other hazardous substance/material carries risk in deeming a person competent. Hence, sources of ev</w:t>
            </w:r>
            <w:r w:rsidRPr="00844E1B">
              <w:t>idence need to be ‘rich’ in nature so as to minimise error in judgment.</w:t>
            </w:r>
          </w:p>
          <w:p w:rsidR="00000000" w:rsidRPr="00844E1B" w:rsidP="00844E1B">
            <w:pPr>
              <w:pStyle w:val="BodyText"/>
            </w:pPr>
            <w:r w:rsidRPr="00844E1B">
              <w:t>Activities associated with normal every day work have a bearing on the decision as to how much and how detailed the data gathered will contribute to its ‘richness’. Some skills are mor</w:t>
            </w:r>
            <w:r w:rsidRPr="00844E1B">
              <w:t>e critical to safety and operational requirements while the same skills may be more or less frequently practiced. These points are raised for the assessors to consider when choosing an assessment method and developing assessment instruments. Sample assessm</w:t>
            </w:r>
            <w:r w:rsidRPr="00844E1B">
              <w:t>ent instruments are included for Assessors in the Assessment Guidelines of this Training Package.</w:t>
            </w:r>
          </w:p>
        </w:tc>
      </w:tr>
    </w:tbl>
    <w:p w:rsidR="00000000" w:rsidRPr="00844E1B" w:rsidP="00844E1B">
      <w:pPr>
        <w:pStyle w:val="BodyText"/>
      </w:pPr>
    </w:p>
    <w:tbl>
      <w:tblPr>
        <w:tblW w:w="0" w:type="auto"/>
        <w:tblLayout w:type="fixed"/>
        <w:tblCellMar>
          <w:left w:w="62" w:type="dxa"/>
          <w:right w:w="62" w:type="dxa"/>
        </w:tblCellMar>
        <w:tblLook w:val="0000"/>
      </w:tblPr>
      <w:tblGrid>
        <w:gridCol w:w="1890"/>
        <w:gridCol w:w="715"/>
        <w:gridCol w:w="869"/>
        <w:gridCol w:w="1737"/>
        <w:gridCol w:w="3249"/>
      </w:tblGrid>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9.2)</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Before the critical aspects of evidence are considered all prerequisi</w:t>
            </w:r>
            <w:r w:rsidRPr="00844E1B">
              <w:t>tes shall be met.</w:t>
            </w:r>
          </w:p>
          <w:p w:rsidR="00000000" w:rsidRPr="00844E1B" w:rsidP="00844E1B">
            <w:pPr>
              <w:pStyle w:val="BodyText"/>
            </w:pPr>
            <w:r w:rsidRPr="00844E1B">
              <w:t>Evidence for competence in this unit shall be considered holistically. Each Element and associated Performance Criteria shall be demonstrated on at least two occasions. Evidence shall also comprise:</w:t>
            </w:r>
          </w:p>
          <w:p w:rsidR="00000000" w:rsidRPr="00844E1B" w:rsidP="00844E1B">
            <w:pPr>
              <w:pStyle w:val="ListBullet"/>
            </w:pPr>
            <w:r w:rsidRPr="00844E1B">
              <w:t>A representative body of Performance Criteria demonstrated within the timeframes typically expected of the discipline, work function and industrial environment. In particular this shall incorporate evidence that shows a candidate is able to:</w:t>
            </w:r>
          </w:p>
          <w:p w:rsidR="00000000" w:rsidRPr="00844E1B" w:rsidP="00844E1B">
            <w:pPr>
              <w:pStyle w:val="ListBullet2"/>
            </w:pPr>
            <w:r w:rsidRPr="00844E1B">
              <w:t>Implement Occ</w:t>
            </w:r>
            <w:r w:rsidRPr="00844E1B">
              <w:t>upational Health and Safety workplace procedures and practices including the use of risk control measures as specified in the Performance Criteria and range; and</w:t>
            </w:r>
          </w:p>
          <w:p w:rsidR="00000000" w:rsidRPr="00844E1B" w:rsidP="00844E1B">
            <w:pPr>
              <w:pStyle w:val="ListBullet2"/>
            </w:pPr>
            <w:r w:rsidRPr="00844E1B">
              <w:t>Apply sustainable energy principles and practices as specified in the Performance Criteria and</w:t>
            </w:r>
            <w:r w:rsidRPr="00844E1B">
              <w:t xml:space="preserve"> range; and</w:t>
            </w:r>
          </w:p>
          <w:p w:rsidR="00000000" w:rsidRPr="00844E1B" w:rsidP="00844E1B">
            <w:pPr>
              <w:pStyle w:val="ListBullet2"/>
            </w:pPr>
            <w:r w:rsidRPr="00844E1B">
              <w:t>Demonstrate an understanding of the essential knowledge and associated skills as described in this unit to such an extent that the learner’s performance outcome is reported in accordance with the preferred approach; namely a percentile graded r</w:t>
            </w:r>
            <w:r w:rsidRPr="00844E1B">
              <w:t>esult, where required by the regulated environment; and</w:t>
            </w:r>
          </w:p>
          <w:p w:rsidR="00000000" w:rsidRPr="00844E1B" w:rsidP="00844E1B">
            <w:pPr>
              <w:pStyle w:val="ListBullet2"/>
            </w:pPr>
            <w:r w:rsidRPr="00844E1B">
              <w:t>Demonstrate an appropriate level of employability skills; and</w:t>
            </w:r>
          </w:p>
          <w:p w:rsidR="00000000" w:rsidRPr="00844E1B" w:rsidP="00844E1B">
            <w:pPr>
              <w:pStyle w:val="ListBullet"/>
            </w:pPr>
            <w:r w:rsidRPr="00844E1B">
              <w:t>Conduct work observing the relevant Anti Discrimination legislation, regulations, policies and workplace procedures; and</w:t>
            </w:r>
          </w:p>
          <w:p w:rsidR="00000000" w:rsidP="00844E1B">
            <w:pPr>
              <w:pStyle w:val="ListBullet2"/>
              <w:rPr>
                <w:lang w:val="en-NZ"/>
              </w:rPr>
            </w:pPr>
            <w:r w:rsidRPr="00844E1B">
              <w:t>Demonstrated pe</w:t>
            </w:r>
            <w:r w:rsidRPr="00844E1B">
              <w:t>rformance across a representative range of contexts from the prescribed items below:</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rsidRPr="00844E1B">
            <w:pPr>
              <w:pStyle w:val="BodyText"/>
              <w:keepNext w:val="0"/>
              <w:keepLines w:val="0"/>
              <w:contextualSpacing w:val="0"/>
            </w:pPr>
          </w:p>
        </w:tc>
        <w:tc>
          <w:tcPr>
            <w:tcW w:w="5855"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rPr>
                <w:rStyle w:val="SpecialBold"/>
              </w:rPr>
              <w:t>Range of tools/equipment/materials/procedures/workplaces/other variables</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rsidRPr="00844E1B">
            <w:pPr>
              <w:pStyle w:val="BodyText"/>
              <w:keepNext w:val="0"/>
              <w:keepLines w:val="0"/>
              <w:contextualSpacing w:val="0"/>
            </w:pPr>
          </w:p>
        </w:tc>
        <w:tc>
          <w:tcPr>
            <w:tcW w:w="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rPr>
                <w:rStyle w:val="SpecialBold"/>
              </w:rPr>
              <w:t>Group No</w:t>
            </w:r>
          </w:p>
        </w:tc>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rPr>
                <w:rStyle w:val="SpecialBold"/>
              </w:rPr>
              <w:t>The minimum number of items on which skill is to be demonstrated</w:t>
            </w:r>
          </w:p>
        </w:tc>
        <w:tc>
          <w:tcPr>
            <w:tcW w:w="3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rPr>
                <w:rStyle w:val="SpecialBold"/>
              </w:rPr>
              <w:t>Item List</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A</w:t>
            </w:r>
          </w:p>
        </w:tc>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Inspect and test at least four of the following:</w:t>
            </w:r>
          </w:p>
        </w:tc>
        <w:tc>
          <w:tcPr>
            <w:tcW w:w="3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t>Wood</w:t>
            </w:r>
          </w:p>
          <w:p w:rsidR="00000000" w:rsidRPr="00844E1B" w:rsidP="00844E1B">
            <w:pPr>
              <w:pStyle w:val="BodyText"/>
            </w:pPr>
            <w:r w:rsidRPr="00844E1B">
              <w:t>Steel</w:t>
            </w:r>
          </w:p>
          <w:p w:rsidR="00000000" w:rsidRPr="00844E1B" w:rsidP="00844E1B">
            <w:pPr>
              <w:pStyle w:val="BodyText"/>
            </w:pPr>
            <w:r w:rsidRPr="00844E1B">
              <w:t>Concrete</w:t>
            </w:r>
          </w:p>
          <w:p w:rsidR="00000000" w:rsidRPr="00844E1B" w:rsidP="00844E1B">
            <w:pPr>
              <w:pStyle w:val="BodyText"/>
            </w:pPr>
            <w:r w:rsidRPr="00844E1B">
              <w:t>Composite</w:t>
            </w:r>
          </w:p>
          <w:p w:rsidR="00000000" w:rsidP="00844E1B">
            <w:pPr>
              <w:pStyle w:val="BodyText"/>
              <w:rPr>
                <w:lang w:val="en-NZ"/>
              </w:rPr>
            </w:pPr>
            <w:r w:rsidRPr="00844E1B">
              <w:t>Reinforced Poles</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B</w:t>
            </w:r>
          </w:p>
        </w:tc>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Conduct all of the following:</w:t>
            </w:r>
          </w:p>
        </w:tc>
        <w:tc>
          <w:tcPr>
            <w:tcW w:w="3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t>Drill test</w:t>
            </w:r>
          </w:p>
          <w:p w:rsidR="00000000" w:rsidP="00844E1B">
            <w:pPr>
              <w:pStyle w:val="BodyText"/>
              <w:rPr>
                <w:lang w:val="en-NZ"/>
              </w:rPr>
            </w:pPr>
            <w:r w:rsidRPr="00844E1B">
              <w:t>Non intrusive test</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C</w:t>
            </w:r>
          </w:p>
        </w:tc>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Undertake all of the following activities:</w:t>
            </w:r>
          </w:p>
        </w:tc>
        <w:tc>
          <w:tcPr>
            <w:tcW w:w="3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t>Chemical treatment</w:t>
            </w:r>
          </w:p>
          <w:p w:rsidR="00000000" w:rsidRPr="00844E1B" w:rsidP="00844E1B">
            <w:pPr>
              <w:pStyle w:val="BodyText"/>
            </w:pPr>
            <w:r w:rsidRPr="00844E1B">
              <w:t>Reinforcement(remove)</w:t>
            </w:r>
          </w:p>
          <w:p w:rsidR="00000000" w:rsidP="00844E1B">
            <w:pPr>
              <w:pStyle w:val="BodyText"/>
              <w:rPr>
                <w:lang w:val="en-NZ"/>
              </w:rPr>
            </w:pPr>
            <w:r w:rsidRPr="00844E1B">
              <w:t>Fit a sleeve to stays/guys</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D</w:t>
            </w:r>
          </w:p>
        </w:tc>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Inspect all of the following:</w:t>
            </w:r>
          </w:p>
        </w:tc>
        <w:tc>
          <w:tcPr>
            <w:tcW w:w="3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t>Poles and structures,</w:t>
            </w:r>
          </w:p>
          <w:p w:rsidR="00000000" w:rsidRPr="00844E1B" w:rsidP="00844E1B">
            <w:pPr>
              <w:pStyle w:val="BodyText"/>
            </w:pPr>
            <w:r w:rsidRPr="00844E1B">
              <w:t>Overhead conductors/cables,</w:t>
            </w:r>
          </w:p>
          <w:p w:rsidR="00000000" w:rsidRPr="00844E1B" w:rsidP="00844E1B">
            <w:pPr>
              <w:pStyle w:val="BodyText"/>
            </w:pPr>
            <w:r w:rsidRPr="00844E1B">
              <w:t>Underground/overhead transition points,</w:t>
            </w:r>
          </w:p>
          <w:p w:rsidR="00000000" w:rsidRPr="00844E1B" w:rsidP="00844E1B">
            <w:pPr>
              <w:pStyle w:val="BodyText"/>
            </w:pPr>
            <w:r w:rsidRPr="00844E1B">
              <w:t>Electrical equipment,</w:t>
            </w:r>
          </w:p>
          <w:p w:rsidR="00000000" w:rsidRPr="00844E1B" w:rsidP="00844E1B">
            <w:pPr>
              <w:pStyle w:val="BodyText"/>
            </w:pPr>
            <w:r w:rsidRPr="00844E1B">
              <w:t>Hardware,</w:t>
            </w:r>
          </w:p>
          <w:p w:rsidR="00000000" w:rsidP="00844E1B">
            <w:pPr>
              <w:pStyle w:val="BodyText"/>
              <w:rPr>
                <w:lang w:val="en-NZ"/>
              </w:rPr>
            </w:pPr>
            <w:r w:rsidRPr="00844E1B">
              <w:t>Earthing systems,</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E</w:t>
            </w:r>
          </w:p>
        </w:tc>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Complete inspection reports and update records for all of the following:</w:t>
            </w:r>
          </w:p>
        </w:tc>
        <w:tc>
          <w:tcPr>
            <w:tcW w:w="3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t>Poles and structures,</w:t>
            </w:r>
          </w:p>
          <w:p w:rsidR="00000000" w:rsidRPr="00844E1B" w:rsidP="00844E1B">
            <w:pPr>
              <w:pStyle w:val="BodyText"/>
            </w:pPr>
            <w:r w:rsidRPr="00844E1B">
              <w:t>Overhead conductors/cables,</w:t>
            </w:r>
          </w:p>
          <w:p w:rsidR="00000000" w:rsidRPr="00844E1B" w:rsidP="00844E1B">
            <w:pPr>
              <w:pStyle w:val="BodyText"/>
            </w:pPr>
            <w:r w:rsidRPr="00844E1B">
              <w:t>Underground/overhead transition points,</w:t>
            </w:r>
          </w:p>
          <w:p w:rsidR="00000000" w:rsidRPr="00844E1B" w:rsidP="00844E1B">
            <w:pPr>
              <w:pStyle w:val="BodyText"/>
            </w:pPr>
            <w:r w:rsidRPr="00844E1B">
              <w:t>Electrical equipment,</w:t>
            </w:r>
          </w:p>
          <w:p w:rsidR="00000000" w:rsidRPr="00844E1B" w:rsidP="00844E1B">
            <w:pPr>
              <w:pStyle w:val="BodyText"/>
            </w:pPr>
            <w:r w:rsidRPr="00844E1B">
              <w:t>Hardware,</w:t>
            </w:r>
          </w:p>
          <w:p w:rsidR="00000000" w:rsidP="00844E1B">
            <w:pPr>
              <w:pStyle w:val="BodyText"/>
              <w:rPr>
                <w:lang w:val="en-NZ"/>
              </w:rPr>
            </w:pPr>
            <w:r w:rsidRPr="00844E1B">
              <w:t>Earthing systems,</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F</w:t>
            </w:r>
          </w:p>
        </w:tc>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Using at least two of the following:</w:t>
            </w:r>
          </w:p>
        </w:tc>
        <w:tc>
          <w:tcPr>
            <w:tcW w:w="3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t>U</w:t>
            </w:r>
            <w:r w:rsidRPr="00844E1B">
              <w:t xml:space="preserve">n-aided eye, </w:t>
            </w:r>
          </w:p>
          <w:p w:rsidR="00000000" w:rsidRPr="00844E1B" w:rsidP="00844E1B">
            <w:pPr>
              <w:pStyle w:val="BodyText"/>
            </w:pPr>
            <w:r w:rsidRPr="00844E1B">
              <w:t xml:space="preserve">Binoculars, </w:t>
            </w:r>
          </w:p>
          <w:p w:rsidR="00000000" w:rsidRPr="00844E1B" w:rsidP="00844E1B">
            <w:pPr>
              <w:pStyle w:val="BodyText"/>
            </w:pPr>
            <w:r w:rsidRPr="00844E1B">
              <w:t xml:space="preserve">Electronic data capture using infrared and/or digital video camera and / or computer, </w:t>
            </w:r>
          </w:p>
          <w:p w:rsidR="00000000" w:rsidRPr="00844E1B" w:rsidP="00844E1B">
            <w:pPr>
              <w:pStyle w:val="BodyText"/>
            </w:pPr>
            <w:r w:rsidRPr="00844E1B">
              <w:t xml:space="preserve">Sonic tester, </w:t>
            </w:r>
          </w:p>
          <w:p w:rsidR="00000000" w:rsidP="00844E1B">
            <w:pPr>
              <w:pStyle w:val="BodyText"/>
              <w:rPr>
                <w:lang w:val="en-NZ"/>
              </w:rPr>
            </w:pPr>
            <w:r w:rsidRPr="00844E1B">
              <w:t xml:space="preserve">Drill  </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G</w:t>
            </w:r>
          </w:p>
        </w:tc>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E1B">
            <w:pPr>
              <w:pStyle w:val="BodyText"/>
              <w:rPr>
                <w:lang w:val="en-NZ"/>
              </w:rPr>
            </w:pPr>
            <w:r w:rsidRPr="00844E1B">
              <w:t>At least one occasion</w:t>
            </w:r>
          </w:p>
        </w:tc>
        <w:tc>
          <w:tcPr>
            <w:tcW w:w="3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E1B" w:rsidP="00844E1B">
            <w:pPr>
              <w:pStyle w:val="BodyText"/>
            </w:pPr>
            <w:r w:rsidRPr="00844E1B">
              <w:t>Dealing with an unplanned event by drawing on essential knowledge and skills to provide appropriate solutions incorporated in the holistic assessment with the above listed items.</w:t>
            </w:r>
          </w:p>
        </w:tc>
      </w:tr>
    </w:tbl>
    <w:p w:rsidR="00000000" w:rsidRPr="00844E1B" w:rsidP="00844E1B">
      <w:pPr>
        <w:pStyle w:val="BodyText"/>
      </w:pPr>
    </w:p>
    <w:tbl>
      <w:tblPr>
        <w:tblW w:w="0" w:type="auto"/>
        <w:tblLayout w:type="fixed"/>
        <w:tblCellMar>
          <w:left w:w="62" w:type="dxa"/>
          <w:right w:w="62" w:type="dxa"/>
        </w:tblCellMar>
        <w:tblLook w:val="0000"/>
      </w:tblPr>
      <w:tblGrid>
        <w:gridCol w:w="1890"/>
        <w:gridCol w:w="6570"/>
      </w:tblGrid>
      <w:tr w:rsidTr="00E465A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9.3)</w:t>
            </w:r>
          </w:p>
        </w:tc>
      </w:tr>
      <w:tr w:rsidTr="00E465A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This unit should be</w:t>
            </w:r>
            <w:r w:rsidRPr="00844E1B">
              <w:t xml:space="preserve"> assessed as it relates to normal work practice using procedures, information and resources typical of a workplace. This should include:</w:t>
            </w:r>
          </w:p>
          <w:p w:rsidR="00000000" w:rsidRPr="00844E1B" w:rsidP="00844E1B">
            <w:pPr>
              <w:pStyle w:val="ListBullet"/>
            </w:pPr>
            <w:r w:rsidRPr="00844E1B">
              <w:t>OHS policy and work procedures and instructions.</w:t>
            </w:r>
          </w:p>
          <w:p w:rsidR="00000000" w:rsidRPr="00844E1B" w:rsidP="00844E1B">
            <w:pPr>
              <w:pStyle w:val="ListBullet"/>
            </w:pPr>
            <w:r w:rsidRPr="00844E1B">
              <w:t>Suitable work environment, facilities, equipment and materials to safely undertake actual work near live electrical apparatus</w:t>
            </w:r>
          </w:p>
          <w:p w:rsidR="00000000" w:rsidRPr="00844E1B" w:rsidP="00844E1B">
            <w:pPr>
              <w:pStyle w:val="BodyText"/>
            </w:pPr>
            <w:r w:rsidRPr="00844E1B">
              <w:t xml:space="preserve">In addition to the resources listed above, in context of and specific resources for assessment, evidence should show demonstrated </w:t>
            </w:r>
            <w:r w:rsidRPr="00844E1B">
              <w:t>competency working below ground, in limited spaces, with different structural/construction types and method and in a variety of environments.</w:t>
            </w:r>
          </w:p>
        </w:tc>
      </w:tr>
    </w:tbl>
    <w:p w:rsidR="00000000" w:rsidRPr="00844E1B" w:rsidP="00844E1B">
      <w:pPr>
        <w:pStyle w:val="BodyText"/>
      </w:pPr>
    </w:p>
    <w:tbl>
      <w:tblPr>
        <w:tblW w:w="0" w:type="auto"/>
        <w:tblLayout w:type="fixed"/>
        <w:tblCellMar>
          <w:left w:w="62" w:type="dxa"/>
          <w:right w:w="62" w:type="dxa"/>
        </w:tblCellMar>
        <w:tblLook w:val="0000"/>
      </w:tblPr>
      <w:tblGrid>
        <w:gridCol w:w="1890"/>
        <w:gridCol w:w="6570"/>
      </w:tblGrid>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Method of Asessment</w:t>
            </w:r>
          </w:p>
        </w:tc>
        <w:tc>
          <w:tcPr>
            <w:tcW w:w="657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9.4)</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 xml:space="preserve">This Competency Standard Unit shall be assessed by methods given in Volume 1, Part 3 </w:t>
            </w:r>
            <w:r w:rsidRPr="00844E1B">
              <w:t>“Assessment Guidelines”.</w:t>
            </w:r>
          </w:p>
          <w:p w:rsidR="00000000" w:rsidRPr="00844E1B" w:rsidP="00844E1B">
            <w:pPr>
              <w:pStyle w:val="BodyText"/>
            </w:pPr>
            <w:r w:rsidRPr="00844E1B">
              <w:t>Note:</w:t>
            </w:r>
          </w:p>
          <w:p w:rsidR="00000000" w:rsidRPr="00844E1B" w:rsidP="00844E1B">
            <w:pPr>
              <w:pStyle w:val="BodyText"/>
            </w:pPr>
            <w:r w:rsidRPr="00844E1B">
              <w:t>Competent performance with inherent safe working practices is expected in the Industry to which this Competency Standard Unit applies. This requires that the specified essential knowledge and associated skills are assessed in</w:t>
            </w:r>
            <w:r w:rsidRPr="00844E1B">
              <w:t xml:space="preserve">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844E1B" w:rsidP="00844E1B">
      <w:pPr>
        <w:pStyle w:val="BodyText"/>
      </w:pPr>
    </w:p>
    <w:tbl>
      <w:tblPr>
        <w:tblW w:w="0" w:type="auto"/>
        <w:tblLayout w:type="fixed"/>
        <w:tblCellMar>
          <w:left w:w="62" w:type="dxa"/>
          <w:right w:w="62" w:type="dxa"/>
        </w:tblCellMar>
        <w:tblLook w:val="0000"/>
      </w:tblPr>
      <w:tblGrid>
        <w:gridCol w:w="1890"/>
        <w:gridCol w:w="6570"/>
      </w:tblGrid>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Concurrent</w:t>
            </w:r>
            <w:r w:rsidRPr="00844E1B">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9.5)</w:t>
            </w:r>
          </w:p>
        </w:tc>
      </w:tr>
      <w:tr w:rsidTr="00E465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For optimisation of training and assessment effort, competence in this unit is not recommended to be assessed concurrently with any other unit.</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11" w:name="O_536214"/>
      <w:bookmarkEnd w:id="11"/>
      <w:r w:rsidRPr="00844E1B">
        <w:t>Range Statement</w:t>
      </w:r>
    </w:p>
    <w:tbl>
      <w:tblPr>
        <w:tblW w:w="0" w:type="auto"/>
        <w:tblLayout w:type="fixed"/>
        <w:tblCellMar>
          <w:left w:w="62" w:type="dxa"/>
          <w:right w:w="62" w:type="dxa"/>
        </w:tblCellMar>
        <w:tblLook w:val="0000"/>
      </w:tblPr>
      <w:tblGrid>
        <w:gridCol w:w="2150"/>
        <w:gridCol w:w="6310"/>
      </w:tblGrid>
      <w:tr w:rsidTr="00E465A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RANGE STATEMENT</w:t>
            </w:r>
          </w:p>
        </w:tc>
      </w:tr>
      <w:tr w:rsidTr="00E465A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 xml:space="preserve">10) </w:t>
            </w:r>
            <w:r w:rsidRPr="00844E1B">
              <w:t>This relates to the competency standard unit as a whole providing the range of contexts and conditions to which the Performance Criteria apply. It allows for different work environments and situations that will affect performance.</w:t>
            </w:r>
          </w:p>
          <w:p w:rsidR="00000000" w:rsidRPr="00844E1B" w:rsidP="00844E1B">
            <w:pPr>
              <w:pStyle w:val="BodyText"/>
            </w:pPr>
            <w:r w:rsidRPr="00844E1B">
              <w:t>The Range Statement relat</w:t>
            </w:r>
            <w:r w:rsidRPr="00844E1B">
              <w:t>es to the unit of competency as a whole.  It allows for different work environments and situations that may affect performance.</w:t>
            </w:r>
          </w:p>
          <w:p w:rsidR="00000000" w:rsidP="00844E1B">
            <w:pPr>
              <w:pStyle w:val="BodyText"/>
              <w:rPr>
                <w:lang w:val="en-NZ"/>
              </w:rPr>
            </w:pPr>
            <w:r w:rsidRPr="00844E1B">
              <w:t>The following constants and variables included in the element/Performance Criteria in this unit are fully described in the Defin</w:t>
            </w:r>
            <w:r w:rsidRPr="00844E1B">
              <w:t>itions Section 1 of this volume and form an integral part of the Range Statement of this unit:</w:t>
            </w:r>
          </w:p>
        </w:tc>
      </w:tr>
      <w:tr w:rsidTr="00E465AA">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Visual inspection may include:</w:t>
            </w:r>
          </w:p>
        </w:tc>
        <w:tc>
          <w:tcPr>
            <w:tcW w:w="6310" w:type="dxa"/>
            <w:tcBorders>
              <w:top w:val="nil"/>
              <w:left w:val="nil"/>
              <w:bottom w:val="nil"/>
              <w:right w:val="nil"/>
            </w:tcBorders>
            <w:tcMar>
              <w:top w:w="0" w:type="dxa"/>
              <w:left w:w="62" w:type="dxa"/>
              <w:bottom w:w="0" w:type="dxa"/>
              <w:right w:w="62" w:type="dxa"/>
            </w:tcMar>
          </w:tcPr>
          <w:p w:rsidR="00000000" w:rsidRPr="00844E1B" w:rsidP="00844E1B">
            <w:pPr>
              <w:pStyle w:val="ListBullet"/>
            </w:pPr>
            <w:r w:rsidRPr="00844E1B">
              <w:t>Inspection may be carried out on foot or by conventional ground-based vehicle.</w:t>
            </w:r>
          </w:p>
          <w:p w:rsidR="00000000" w:rsidRPr="00844E1B" w:rsidP="00844E1B">
            <w:pPr>
              <w:pStyle w:val="ListBullet"/>
            </w:pPr>
            <w:r w:rsidRPr="00844E1B">
              <w:t>Inspection techniques may include the use of un-</w:t>
            </w:r>
            <w:r w:rsidRPr="00844E1B">
              <w:t>aided eye, binoculars, electronic data capture using infrared and/or digital video camera, computers, sonic testing devices and drill testing.</w:t>
            </w:r>
          </w:p>
          <w:p w:rsidR="00000000" w:rsidP="00844E1B">
            <w:pPr>
              <w:pStyle w:val="ListBullet"/>
              <w:rPr>
                <w:lang w:val="en-NZ"/>
              </w:rPr>
            </w:pPr>
            <w:r w:rsidRPr="00844E1B">
              <w:t>Items to be inspected may include overhead poles, structures and / or electrical apparatus, but not transmission towers</w:t>
            </w:r>
          </w:p>
        </w:tc>
      </w:tr>
      <w:tr w:rsidTr="00E465AA">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Electrical apparatus may include:</w:t>
            </w:r>
          </w:p>
        </w:tc>
        <w:tc>
          <w:tcPr>
            <w:tcW w:w="6310" w:type="dxa"/>
            <w:tcBorders>
              <w:top w:val="nil"/>
              <w:left w:val="nil"/>
              <w:bottom w:val="nil"/>
              <w:right w:val="nil"/>
            </w:tcBorders>
            <w:tcMar>
              <w:top w:w="0" w:type="dxa"/>
              <w:left w:w="62" w:type="dxa"/>
              <w:bottom w:w="0" w:type="dxa"/>
              <w:right w:w="62" w:type="dxa"/>
            </w:tcMar>
          </w:tcPr>
          <w:p w:rsidR="00000000" w:rsidP="00844E1B">
            <w:pPr>
              <w:pStyle w:val="ListBullet"/>
              <w:rPr>
                <w:lang w:val="en-NZ"/>
              </w:rPr>
            </w:pPr>
            <w:r w:rsidRPr="00844E1B">
              <w:t>Single Wire Earth Return (SWER), High Voltage (HV) and Low Voltage (LV) overhead conductors and cabl</w:t>
            </w:r>
            <w:r w:rsidRPr="00844E1B">
              <w:t>es, underground cables (as attached to the poles) and overhead transition points, conductor terminations, insulators, conductor ties, cross arms, cross arm mountings and brackets, switches, HV fuses and fuse carriers, pole mounted transformers, sub station</w:t>
            </w:r>
            <w:r w:rsidRPr="00844E1B">
              <w:t>s, air-break switches, surge diverters, auto reclose relays, possum guards, earth guards, angle of the pole, lights, bolts and associated pole fixings.</w:t>
            </w:r>
          </w:p>
        </w:tc>
      </w:tr>
      <w:tr w:rsidTr="00E465AA">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 xml:space="preserve">Work permits may </w:t>
            </w:r>
            <w:r w:rsidRPr="00844E1B">
              <w:rPr>
                <w:rStyle w:val="SpecialBold"/>
              </w:rPr>
              <w:t>include:</w:t>
            </w:r>
          </w:p>
        </w:tc>
        <w:tc>
          <w:tcPr>
            <w:tcW w:w="6310" w:type="dxa"/>
            <w:tcBorders>
              <w:top w:val="nil"/>
              <w:left w:val="nil"/>
              <w:bottom w:val="nil"/>
              <w:right w:val="nil"/>
            </w:tcBorders>
            <w:tcMar>
              <w:top w:w="0" w:type="dxa"/>
              <w:left w:w="62" w:type="dxa"/>
              <w:bottom w:w="0" w:type="dxa"/>
              <w:right w:w="62" w:type="dxa"/>
            </w:tcMar>
          </w:tcPr>
          <w:p w:rsidR="00000000" w:rsidP="00844E1B">
            <w:pPr>
              <w:pStyle w:val="ListBullet"/>
              <w:rPr>
                <w:lang w:val="en-NZ"/>
              </w:rPr>
            </w:pPr>
            <w:r w:rsidRPr="00844E1B">
              <w:t>Safe Approach Distances Zones / Safe Working Clearance, Work Permit(s) and/o</w:t>
            </w:r>
            <w:r w:rsidRPr="00844E1B">
              <w:t xml:space="preserve">r Access Authorisation Permits and those required </w:t>
            </w:r>
            <w:r w:rsidRPr="00844E1B">
              <w:t>under Technical standards and Industry Guidelines.</w:t>
            </w:r>
          </w:p>
        </w:tc>
      </w:tr>
      <w:tr w:rsidTr="00E465AA">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Tools / equipment may include:</w:t>
            </w:r>
          </w:p>
        </w:tc>
        <w:tc>
          <w:tcPr>
            <w:tcW w:w="6310" w:type="dxa"/>
            <w:tcBorders>
              <w:top w:val="nil"/>
              <w:left w:val="nil"/>
              <w:bottom w:val="nil"/>
              <w:right w:val="nil"/>
            </w:tcBorders>
            <w:tcMar>
              <w:top w:w="0" w:type="dxa"/>
              <w:left w:w="62" w:type="dxa"/>
              <w:bottom w:w="0" w:type="dxa"/>
              <w:right w:w="62" w:type="dxa"/>
            </w:tcMar>
          </w:tcPr>
          <w:p w:rsidR="00000000" w:rsidRPr="00844E1B" w:rsidP="00844E1B">
            <w:pPr>
              <w:pStyle w:val="ListBullet"/>
            </w:pPr>
            <w:r w:rsidRPr="00844E1B">
              <w:t>Power operated tools such as chainsaws, brush cutters, power pruners, powered drills, augers, air compressors, generators,</w:t>
            </w:r>
            <w:r w:rsidRPr="00844E1B">
              <w:t xml:space="preserve"> jack hammers, demolition saws, measuring devices, extendable mounted cameras</w:t>
            </w:r>
          </w:p>
          <w:p w:rsidR="00000000" w:rsidRPr="00844E1B" w:rsidP="00844E1B">
            <w:pPr>
              <w:pStyle w:val="ListBullet"/>
            </w:pPr>
            <w:r w:rsidRPr="00844E1B">
              <w:t xml:space="preserve">Excludes machinery and equipment that encompass driving and associated licenses, such as slashers, boom-operated insulated elevating work platforms, excavator, back hoes and the </w:t>
            </w:r>
            <w:r w:rsidRPr="00844E1B">
              <w:t>like.</w:t>
            </w:r>
          </w:p>
          <w:p w:rsidR="00000000" w:rsidP="00844E1B">
            <w:pPr>
              <w:pStyle w:val="ListBullet"/>
              <w:rPr>
                <w:lang w:val="en-NZ"/>
              </w:rPr>
            </w:pPr>
            <w:r w:rsidRPr="00844E1B">
              <w:t>Hand tools such as hacksaws, hammers, screwdrivers, sockets, wrenches, scrapers, chisels, files, tape measures, bolt cutters, knives and other related associated</w:t>
            </w:r>
          </w:p>
        </w:tc>
      </w:tr>
      <w:tr w:rsidTr="00E465AA">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Inspection may include:</w:t>
            </w:r>
          </w:p>
        </w:tc>
        <w:tc>
          <w:tcPr>
            <w:tcW w:w="6310" w:type="dxa"/>
            <w:tcBorders>
              <w:top w:val="nil"/>
              <w:left w:val="nil"/>
              <w:bottom w:val="nil"/>
              <w:right w:val="nil"/>
            </w:tcBorders>
            <w:tcMar>
              <w:top w:w="0" w:type="dxa"/>
              <w:left w:w="62" w:type="dxa"/>
              <w:bottom w:w="0" w:type="dxa"/>
              <w:right w:w="62" w:type="dxa"/>
            </w:tcMar>
          </w:tcPr>
          <w:p w:rsidR="00000000" w:rsidP="00844E1B">
            <w:pPr>
              <w:pStyle w:val="ListBullet"/>
              <w:rPr>
                <w:lang w:val="en-NZ"/>
              </w:rPr>
            </w:pPr>
            <w:r w:rsidRPr="00844E1B">
              <w:t>On foot or by conventional ground-based vehicle and /or from t</w:t>
            </w:r>
            <w:r w:rsidRPr="00844E1B">
              <w:t>he air. Aircraft maybe helicopter or fixed wing types.</w:t>
            </w:r>
          </w:p>
        </w:tc>
      </w:tr>
      <w:tr w:rsidTr="00E465AA">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Treatment of poles and structures may include:</w:t>
            </w:r>
          </w:p>
        </w:tc>
        <w:tc>
          <w:tcPr>
            <w:tcW w:w="6310" w:type="dxa"/>
            <w:tcBorders>
              <w:top w:val="nil"/>
              <w:left w:val="nil"/>
              <w:bottom w:val="nil"/>
              <w:right w:val="nil"/>
            </w:tcBorders>
            <w:tcMar>
              <w:top w:w="0" w:type="dxa"/>
              <w:left w:w="62" w:type="dxa"/>
              <w:bottom w:w="0" w:type="dxa"/>
              <w:right w:w="62" w:type="dxa"/>
            </w:tcMar>
          </w:tcPr>
          <w:p w:rsidR="00000000" w:rsidRPr="00844E1B" w:rsidP="00844E1B">
            <w:pPr>
              <w:pStyle w:val="ListBullet"/>
            </w:pPr>
            <w:r w:rsidRPr="00844E1B">
              <w:t xml:space="preserve">The chemical treatment for the prevention of pole deterioration through the insertion </w:t>
            </w:r>
            <w:r w:rsidRPr="00844E1B">
              <w:t>of chemical preservatives (i.e. Polesaver) into the base of wooden poles</w:t>
            </w:r>
          </w:p>
        </w:tc>
      </w:tr>
    </w:tbl>
    <w:p w:rsidR="00000000" w:rsidRPr="00844E1B" w:rsidP="00844E1B">
      <w:pPr>
        <w:pStyle w:val="BodyText"/>
      </w:pPr>
    </w:p>
    <w:p w:rsidR="00000000" w:rsidRPr="00844E1B" w:rsidP="00844E1B">
      <w:pPr>
        <w:pStyle w:val="AllowPageBreak"/>
      </w:pPr>
    </w:p>
    <w:p w:rsidR="00000000" w:rsidRPr="00844E1B" w:rsidP="00844E1B">
      <w:pPr>
        <w:pStyle w:val="Heading1"/>
      </w:pPr>
      <w:bookmarkStart w:id="12" w:name="O_536213"/>
      <w:bookmarkEnd w:id="12"/>
      <w:r w:rsidRPr="00844E1B">
        <w:t>Unit Sector(s)</w:t>
      </w:r>
    </w:p>
    <w:p w:rsidR="00000000" w:rsidRPr="00844E1B" w:rsidP="00844E1B">
      <w:pPr>
        <w:pStyle w:val="BodyText"/>
      </w:pPr>
      <w:r w:rsidRPr="00844E1B">
        <w:t>Not applicable.</w:t>
      </w:r>
    </w:p>
    <w:p w:rsidR="00000000" w:rsidRPr="00844E1B" w:rsidP="00844E1B">
      <w:pPr>
        <w:pStyle w:val="AllowPageBreak"/>
      </w:pPr>
    </w:p>
    <w:p w:rsidR="00000000" w:rsidRPr="00844E1B" w:rsidP="00844E1B">
      <w:pPr>
        <w:pStyle w:val="Heading1"/>
      </w:pPr>
      <w:bookmarkStart w:id="13" w:name="O_536212"/>
      <w:bookmarkEnd w:id="13"/>
      <w:r w:rsidRPr="00844E1B">
        <w:t>Competency Field</w:t>
      </w:r>
    </w:p>
    <w:tbl>
      <w:tblPr>
        <w:tblW w:w="0" w:type="auto"/>
        <w:tblLayout w:type="fixed"/>
        <w:tblCellMar>
          <w:left w:w="62" w:type="dxa"/>
          <w:right w:w="62" w:type="dxa"/>
        </w:tblCellMar>
        <w:tblLook w:val="0000"/>
      </w:tblPr>
      <w:tblGrid>
        <w:gridCol w:w="2700"/>
        <w:gridCol w:w="5760"/>
      </w:tblGrid>
      <w:tr w:rsidTr="00E465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44E1B">
            <w:pPr>
              <w:pStyle w:val="BodyText"/>
              <w:rPr>
                <w:lang w:val="en-NZ"/>
              </w:rPr>
            </w:pPr>
            <w:r w:rsidRPr="00844E1B">
              <w:rPr>
                <w:rStyle w:val="SpecialBold"/>
              </w:rPr>
              <w:t xml:space="preserve">11) </w:t>
            </w:r>
          </w:p>
        </w:tc>
      </w:tr>
      <w:tr w:rsidTr="00E465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4E1B" w:rsidP="00844E1B">
            <w:pPr>
              <w:pStyle w:val="BodyText"/>
            </w:pPr>
            <w:r w:rsidRPr="00844E1B">
              <w:t>Entry Level – Cross Discipline Units.</w:t>
            </w:r>
          </w:p>
        </w:tc>
      </w:tr>
    </w:tbl>
    <w:p w:rsidR="00E465AA" w:rsidP="00844E1B">
      <w:pPr>
        <w:pStyle w:val="BodyText"/>
      </w:pPr>
    </w:p>
    <w:p w:rsidR="00E465AA" w:rsidP="00844E1B">
      <w:pPr>
        <w:pStyle w:val="BodyText"/>
      </w:pPr>
    </w:p>
    <w:p w:rsidR="00000000" w:rsidRPr="00844E1B" w:rsidP="00844E1B"/>
    <w:sectPr w:rsidSect="00844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B" w:rsidRPr="00E465AA" w:rsidP="00E465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AA" w:rsidP="00844E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465AA" w:rsidP="00844E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E465AA" w:rsidP="00844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B" w:rsidRPr="00E465AA" w:rsidP="00E465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AA" w:rsidRPr="002D2AF8" w:rsidP="00844E1B">
    <w:pPr>
      <w:pStyle w:val="Header"/>
      <w:framePr w:wrap="around"/>
    </w:pPr>
    <w:r>
      <w:fldChar w:fldCharType="begin"/>
    </w:r>
    <w:r>
      <w:instrText xml:space="preserve"> TITLE   \* MERGEFORMAT </w:instrText>
    </w:r>
    <w:r>
      <w:fldChar w:fldCharType="separate"/>
    </w:r>
    <w:r>
      <w:t>UETTDREL18A Inspect and treat poles and inspect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E465AA" w:rsidP="00844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E2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8D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66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E1B"/>
    <w:pPr>
      <w:spacing w:before="360" w:after="60"/>
      <w:outlineLvl w:val="0"/>
    </w:pPr>
    <w:rPr>
      <w:sz w:val="32"/>
    </w:rPr>
  </w:style>
  <w:style w:type="paragraph" w:styleId="Heading2">
    <w:name w:val="heading 2"/>
    <w:basedOn w:val="HeadingBase"/>
    <w:next w:val="BodyText"/>
    <w:link w:val="Heading2Char"/>
    <w:qFormat/>
    <w:rsid w:val="00844E1B"/>
    <w:pPr>
      <w:keepLines/>
      <w:spacing w:before="240" w:after="120"/>
      <w:outlineLvl w:val="1"/>
    </w:pPr>
    <w:rPr>
      <w:sz w:val="28"/>
      <w:szCs w:val="40"/>
    </w:rPr>
  </w:style>
  <w:style w:type="paragraph" w:styleId="Heading3">
    <w:name w:val="heading 3"/>
    <w:basedOn w:val="HeadingBase"/>
    <w:next w:val="BodyText"/>
    <w:link w:val="Heading3Char"/>
    <w:qFormat/>
    <w:rsid w:val="00844E1B"/>
    <w:pPr>
      <w:spacing w:before="180" w:after="120"/>
      <w:outlineLvl w:val="2"/>
    </w:pPr>
    <w:rPr>
      <w:spacing w:val="-10"/>
      <w:kern w:val="32"/>
    </w:rPr>
  </w:style>
  <w:style w:type="paragraph" w:styleId="Heading4">
    <w:name w:val="heading 4"/>
    <w:basedOn w:val="HeadingBase"/>
    <w:next w:val="BodyText"/>
    <w:link w:val="Heading4Char"/>
    <w:qFormat/>
    <w:rsid w:val="00844E1B"/>
    <w:pPr>
      <w:spacing w:before="160" w:after="120"/>
      <w:outlineLvl w:val="3"/>
    </w:pPr>
    <w:rPr>
      <w:sz w:val="22"/>
    </w:rPr>
  </w:style>
  <w:style w:type="paragraph" w:styleId="Heading5">
    <w:name w:val="heading 5"/>
    <w:basedOn w:val="HeadingBase"/>
    <w:next w:val="Normal"/>
    <w:link w:val="Heading5Char"/>
    <w:qFormat/>
    <w:rsid w:val="00844E1B"/>
    <w:pPr>
      <w:spacing w:before="80"/>
      <w:outlineLvl w:val="4"/>
    </w:pPr>
    <w:rPr>
      <w:color w:val="918585"/>
      <w:sz w:val="20"/>
    </w:rPr>
  </w:style>
  <w:style w:type="paragraph" w:styleId="Heading6">
    <w:name w:val="heading 6"/>
    <w:basedOn w:val="HeadingBase"/>
    <w:next w:val="Normal"/>
    <w:link w:val="Heading6Char"/>
    <w:qFormat/>
    <w:rsid w:val="00844E1B"/>
    <w:pPr>
      <w:spacing w:before="60"/>
      <w:outlineLvl w:val="5"/>
    </w:pPr>
    <w:rPr>
      <w:color w:val="918585"/>
      <w:sz w:val="20"/>
    </w:rPr>
  </w:style>
  <w:style w:type="paragraph" w:styleId="Heading7">
    <w:name w:val="heading 7"/>
    <w:basedOn w:val="Normal"/>
    <w:next w:val="Normal"/>
    <w:link w:val="Heading7Char"/>
    <w:qFormat/>
    <w:rsid w:val="00844E1B"/>
    <w:pPr>
      <w:ind w:left="720"/>
      <w:outlineLvl w:val="6"/>
    </w:pPr>
    <w:rPr>
      <w:i/>
    </w:rPr>
  </w:style>
  <w:style w:type="paragraph" w:styleId="Heading8">
    <w:name w:val="heading 8"/>
    <w:basedOn w:val="Normal"/>
    <w:next w:val="Normal"/>
    <w:link w:val="Heading8Char"/>
    <w:qFormat/>
    <w:rsid w:val="00844E1B"/>
    <w:pPr>
      <w:ind w:left="720"/>
      <w:outlineLvl w:val="7"/>
    </w:pPr>
    <w:rPr>
      <w:i/>
    </w:rPr>
  </w:style>
  <w:style w:type="paragraph" w:styleId="Heading9">
    <w:name w:val="heading 9"/>
    <w:basedOn w:val="Normal"/>
    <w:next w:val="Normal"/>
    <w:link w:val="Heading9Char"/>
    <w:qFormat/>
    <w:rsid w:val="00844E1B"/>
    <w:pPr>
      <w:ind w:left="720"/>
      <w:outlineLvl w:val="8"/>
    </w:pPr>
    <w:rPr>
      <w:i/>
    </w:rPr>
  </w:style>
  <w:style w:type="character" w:default="1" w:styleId="DefaultParagraphFont">
    <w:name w:val="Default Paragraph Font"/>
    <w:uiPriority w:val="1"/>
    <w:unhideWhenUsed/>
    <w:rsid w:val="00844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E1B"/>
  </w:style>
  <w:style w:type="character" w:customStyle="1" w:styleId="Heading1Char">
    <w:name w:val="Heading 1 Char"/>
    <w:basedOn w:val="DefaultParagraphFont"/>
    <w:link w:val="Heading1"/>
    <w:rsid w:val="00844E1B"/>
    <w:rPr>
      <w:rFonts w:ascii="Times New Roman" w:eastAsia="Times New Roman" w:hAnsi="Times New Roman" w:cs="Times New Roman"/>
      <w:b/>
      <w:sz w:val="32"/>
      <w:szCs w:val="20"/>
      <w:lang w:eastAsia="en-US"/>
    </w:rPr>
  </w:style>
  <w:style w:type="paragraph" w:styleId="BodyText">
    <w:name w:val="Body Text"/>
    <w:basedOn w:val="Normal"/>
    <w:link w:val="BodyTextChar"/>
    <w:rsid w:val="00844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E1B"/>
    <w:rPr>
      <w:rFonts w:ascii="Times New Roman" w:eastAsia="Times New Roman" w:hAnsi="Times New Roman" w:cs="Times New Roman"/>
      <w:sz w:val="24"/>
      <w:lang w:eastAsia="en-US"/>
    </w:rPr>
  </w:style>
  <w:style w:type="paragraph" w:styleId="ListBullet">
    <w:name w:val="List Bullet"/>
    <w:basedOn w:val="List"/>
    <w:rsid w:val="00844E1B"/>
    <w:pPr>
      <w:numPr>
        <w:numId w:val="13"/>
      </w:numPr>
      <w:tabs>
        <w:tab w:val="clear" w:pos="340"/>
      </w:tabs>
      <w:spacing w:before="40" w:after="40"/>
    </w:pPr>
  </w:style>
  <w:style w:type="character" w:customStyle="1" w:styleId="SpecialBold">
    <w:name w:val="Special Bold"/>
    <w:basedOn w:val="DefaultParagraphFont"/>
    <w:rsid w:val="00844E1B"/>
    <w:rPr>
      <w:b/>
      <w:spacing w:val="0"/>
    </w:rPr>
  </w:style>
  <w:style w:type="paragraph" w:styleId="ListBullet2">
    <w:name w:val="List Bullet 2"/>
    <w:basedOn w:val="List2"/>
    <w:rsid w:val="00844E1B"/>
    <w:pPr>
      <w:numPr>
        <w:numId w:val="14"/>
      </w:numPr>
      <w:tabs>
        <w:tab w:val="clear" w:pos="680"/>
      </w:tabs>
    </w:pPr>
  </w:style>
  <w:style w:type="paragraph" w:customStyle="1" w:styleId="SuperHeading">
    <w:name w:val="SuperHeading"/>
    <w:basedOn w:val="Normal"/>
    <w:rsid w:val="00844E1B"/>
    <w:pPr>
      <w:spacing w:before="240" w:after="120"/>
      <w:outlineLvl w:val="0"/>
    </w:pPr>
    <w:rPr>
      <w:rFonts w:ascii="Times New Roman" w:hAnsi="Times New Roman"/>
      <w:b/>
      <w:sz w:val="32"/>
    </w:rPr>
  </w:style>
  <w:style w:type="paragraph" w:customStyle="1" w:styleId="AllowPageBreak">
    <w:name w:val="AllowPageBreak"/>
    <w:rsid w:val="00844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E1B"/>
    <w:rPr>
      <w:rFonts w:ascii="Courier New" w:eastAsia="Times New Roman" w:hAnsi="Courier New" w:cs="Times New Roman"/>
      <w:i/>
      <w:szCs w:val="20"/>
      <w:lang w:eastAsia="en-US"/>
    </w:rPr>
  </w:style>
  <w:style w:type="paragraph" w:customStyle="1" w:styleId="HeadingBase">
    <w:name w:val="Heading Base"/>
    <w:rsid w:val="00844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E1B"/>
    <w:pPr>
      <w:tabs>
        <w:tab w:val="right" w:leader="dot" w:pos="9072"/>
      </w:tabs>
      <w:ind w:left="567"/>
    </w:pPr>
    <w:rPr>
      <w:szCs w:val="22"/>
    </w:rPr>
  </w:style>
  <w:style w:type="paragraph" w:customStyle="1" w:styleId="TOCBase">
    <w:name w:val="TOC Base"/>
    <w:rsid w:val="00844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E1B"/>
    <w:pPr>
      <w:tabs>
        <w:tab w:val="right" w:leader="dot" w:pos="9072"/>
      </w:tabs>
      <w:spacing w:before="40" w:after="40"/>
      <w:ind w:left="284"/>
    </w:pPr>
    <w:rPr>
      <w:rFonts w:ascii="Times New Roman" w:hAnsi="Times New Roman"/>
    </w:rPr>
  </w:style>
  <w:style w:type="paragraph" w:styleId="TOC1">
    <w:name w:val="toc 1"/>
    <w:basedOn w:val="TOCBase"/>
    <w:next w:val="Normal"/>
    <w:rsid w:val="00844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E1B"/>
    <w:rPr>
      <w:rFonts w:ascii="Times New Roman" w:eastAsia="Times New Roman" w:hAnsi="Times New Roman" w:cs="Times New Roman"/>
      <w:sz w:val="16"/>
      <w:lang w:eastAsia="en-US"/>
    </w:rPr>
  </w:style>
  <w:style w:type="paragraph" w:styleId="Title">
    <w:name w:val="Title"/>
    <w:basedOn w:val="HeadingBase"/>
    <w:link w:val="TitleChar"/>
    <w:qFormat/>
    <w:rsid w:val="00844E1B"/>
    <w:pPr>
      <w:spacing w:before="5040"/>
      <w:jc w:val="center"/>
    </w:pPr>
    <w:rPr>
      <w:sz w:val="48"/>
      <w:szCs w:val="72"/>
      <w:lang w:val="en-US"/>
    </w:rPr>
  </w:style>
  <w:style w:type="character" w:customStyle="1" w:styleId="TitleChar">
    <w:name w:val="Title Char"/>
    <w:basedOn w:val="DefaultParagraphFont"/>
    <w:link w:val="Title"/>
    <w:rsid w:val="00844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E1B"/>
    <w:pPr>
      <w:tabs>
        <w:tab w:val="left" w:pos="3600"/>
        <w:tab w:val="left" w:pos="3958"/>
      </w:tabs>
    </w:pPr>
  </w:style>
  <w:style w:type="paragraph" w:styleId="List">
    <w:name w:val="List"/>
    <w:basedOn w:val="BodyText"/>
    <w:next w:val="BodyText"/>
    <w:rsid w:val="00844E1B"/>
    <w:pPr>
      <w:tabs>
        <w:tab w:val="left" w:pos="340"/>
      </w:tabs>
      <w:spacing w:before="60" w:after="60"/>
      <w:ind w:left="340" w:hanging="340"/>
    </w:pPr>
  </w:style>
  <w:style w:type="paragraph" w:customStyle="1" w:styleId="Note">
    <w:name w:val="Note"/>
    <w:basedOn w:val="BodyText"/>
    <w:rsid w:val="00844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E1B"/>
    <w:pPr>
      <w:framePr w:wrap="auto" w:hAnchor="text" w:y="6049"/>
    </w:pPr>
    <w:rPr>
      <w:color w:val="000000"/>
      <w:sz w:val="40"/>
    </w:rPr>
  </w:style>
  <w:style w:type="paragraph" w:customStyle="1" w:styleId="TOCTitle">
    <w:name w:val="TOCTitle"/>
    <w:basedOn w:val="Heading1"/>
    <w:rsid w:val="00844E1B"/>
    <w:pPr>
      <w:spacing w:after="240"/>
      <w:jc w:val="center"/>
      <w:outlineLvl w:val="9"/>
    </w:pPr>
    <w:rPr>
      <w:caps/>
    </w:rPr>
  </w:style>
  <w:style w:type="paragraph" w:customStyle="1" w:styleId="Version">
    <w:name w:val="Version"/>
    <w:rsid w:val="00844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E1B"/>
    <w:pPr>
      <w:keepNext w:val="0"/>
      <w:tabs>
        <w:tab w:val="right" w:pos="4176"/>
      </w:tabs>
      <w:ind w:left="198" w:hanging="198"/>
    </w:pPr>
    <w:rPr>
      <w:rFonts w:ascii="Garamond" w:hAnsi="Garamond"/>
    </w:rPr>
  </w:style>
  <w:style w:type="paragraph" w:styleId="IndexHeading">
    <w:name w:val="index heading"/>
    <w:basedOn w:val="Normal"/>
    <w:next w:val="Index1"/>
    <w:semiHidden/>
    <w:rsid w:val="00844E1B"/>
    <w:pPr>
      <w:spacing w:before="120" w:after="120"/>
    </w:pPr>
    <w:rPr>
      <w:rFonts w:ascii="Arial" w:hAnsi="Arial"/>
      <w:b/>
      <w:color w:val="918585"/>
      <w:sz w:val="24"/>
    </w:rPr>
  </w:style>
  <w:style w:type="paragraph" w:styleId="Header">
    <w:name w:val="header"/>
    <w:basedOn w:val="Normal"/>
    <w:link w:val="HeaderChar"/>
    <w:rsid w:val="00844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E1B"/>
    <w:rPr>
      <w:rFonts w:ascii="Times New Roman" w:eastAsia="Times New Roman" w:hAnsi="Times New Roman" w:cs="Times New Roman"/>
      <w:sz w:val="16"/>
      <w:szCs w:val="20"/>
      <w:lang w:val="en-GB" w:eastAsia="en-US"/>
    </w:rPr>
  </w:style>
  <w:style w:type="paragraph" w:customStyle="1" w:styleId="Chapter">
    <w:name w:val="Chapter"/>
    <w:basedOn w:val="Normal"/>
    <w:rsid w:val="00844E1B"/>
    <w:pPr>
      <w:spacing w:before="240"/>
    </w:pPr>
    <w:rPr>
      <w:rFonts w:ascii="Times New Roman" w:hAnsi="Times New Roman"/>
      <w:smallCaps/>
      <w:spacing w:val="80"/>
      <w:sz w:val="28"/>
    </w:rPr>
  </w:style>
  <w:style w:type="paragraph" w:customStyle="1" w:styleId="InChapter">
    <w:name w:val="InChapter"/>
    <w:basedOn w:val="Heading3"/>
    <w:rsid w:val="00844E1B"/>
    <w:pPr>
      <w:spacing w:after="240"/>
      <w:outlineLvl w:val="9"/>
    </w:pPr>
    <w:rPr>
      <w:noProof/>
    </w:rPr>
  </w:style>
  <w:style w:type="paragraph" w:styleId="Index2">
    <w:name w:val="index 2"/>
    <w:basedOn w:val="Normal"/>
    <w:next w:val="Normal"/>
    <w:semiHidden/>
    <w:rsid w:val="00844E1B"/>
    <w:pPr>
      <w:tabs>
        <w:tab w:val="right" w:pos="4176"/>
      </w:tabs>
      <w:ind w:left="568" w:hanging="284"/>
    </w:pPr>
    <w:rPr>
      <w:rFonts w:ascii="Garamond" w:hAnsi="Garamond"/>
    </w:rPr>
  </w:style>
  <w:style w:type="paragraph" w:customStyle="1" w:styleId="Byline">
    <w:name w:val="Byline"/>
    <w:rsid w:val="00844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E1B"/>
    <w:pPr>
      <w:tabs>
        <w:tab w:val="clear" w:pos="3600"/>
        <w:tab w:val="clear" w:pos="3958"/>
      </w:tabs>
      <w:jc w:val="right"/>
    </w:pPr>
  </w:style>
  <w:style w:type="character" w:styleId="Emphasis">
    <w:name w:val="Emphasis"/>
    <w:basedOn w:val="DefaultParagraphFont"/>
    <w:qFormat/>
    <w:rsid w:val="00844E1B"/>
    <w:rPr>
      <w:i/>
    </w:rPr>
  </w:style>
  <w:style w:type="paragraph" w:styleId="Caption">
    <w:name w:val="caption"/>
    <w:basedOn w:val="BodyText"/>
    <w:next w:val="Normal"/>
    <w:qFormat/>
    <w:rsid w:val="00844E1B"/>
    <w:pPr>
      <w:framePr w:w="2268" w:hSpace="181" w:vSpace="181" w:wrap="around" w:vAnchor="text" w:hAnchor="page" w:x="1135" w:y="285" w:anchorLock="1"/>
    </w:pPr>
    <w:rPr>
      <w:i/>
    </w:rPr>
  </w:style>
  <w:style w:type="paragraph" w:customStyle="1" w:styleId="MiniTOCTitle">
    <w:name w:val="MiniTOCTitle"/>
    <w:basedOn w:val="Heading4"/>
    <w:rsid w:val="00844E1B"/>
    <w:pPr>
      <w:spacing w:before="240"/>
      <w:outlineLvl w:val="9"/>
    </w:pPr>
    <w:rPr>
      <w:noProof/>
      <w:sz w:val="24"/>
    </w:rPr>
  </w:style>
  <w:style w:type="paragraph" w:customStyle="1" w:styleId="MiniTOCItem">
    <w:name w:val="MiniTOCItem"/>
    <w:basedOn w:val="ListBullet"/>
    <w:rsid w:val="00844E1B"/>
    <w:pPr>
      <w:numPr>
        <w:numId w:val="0"/>
      </w:numPr>
      <w:tabs>
        <w:tab w:val="right" w:leader="dot" w:pos="6521"/>
      </w:tabs>
      <w:spacing w:before="0" w:after="0"/>
    </w:pPr>
  </w:style>
  <w:style w:type="paragraph" w:customStyle="1" w:styleId="TOFTitle">
    <w:name w:val="TOFTitle"/>
    <w:basedOn w:val="TOCTitle"/>
    <w:rsid w:val="00844E1B"/>
  </w:style>
  <w:style w:type="paragraph" w:styleId="TableofFigures">
    <w:name w:val="table of figures"/>
    <w:basedOn w:val="Normal"/>
    <w:next w:val="Normal"/>
    <w:semiHidden/>
    <w:rsid w:val="00844E1B"/>
    <w:pPr>
      <w:tabs>
        <w:tab w:val="right" w:leader="dot" w:pos="9072"/>
      </w:tabs>
      <w:ind w:left="970" w:hanging="403"/>
    </w:pPr>
    <w:rPr>
      <w:rFonts w:ascii="Times New Roman" w:hAnsi="Times New Roman"/>
      <w:b/>
    </w:rPr>
  </w:style>
  <w:style w:type="paragraph" w:styleId="ListNumber">
    <w:name w:val="List Number"/>
    <w:basedOn w:val="List"/>
    <w:rsid w:val="00844E1B"/>
    <w:pPr>
      <w:numPr>
        <w:numId w:val="11"/>
      </w:numPr>
    </w:pPr>
  </w:style>
  <w:style w:type="character" w:customStyle="1" w:styleId="WingdingSymbols">
    <w:name w:val="Wingding Symbols"/>
    <w:rsid w:val="00844E1B"/>
    <w:rPr>
      <w:rFonts w:ascii="Wingdings" w:hAnsi="Wingdings"/>
    </w:rPr>
  </w:style>
  <w:style w:type="paragraph" w:customStyle="1" w:styleId="TableHeading">
    <w:name w:val="Table Heading"/>
    <w:basedOn w:val="HeadingBase"/>
    <w:rsid w:val="00844E1B"/>
    <w:pPr>
      <w:keepLines/>
      <w:pBdr>
        <w:bottom w:val="single" w:sz="6" w:space="1" w:color="918585"/>
      </w:pBdr>
      <w:spacing w:before="240"/>
    </w:pPr>
  </w:style>
  <w:style w:type="character" w:customStyle="1" w:styleId="HotSpot">
    <w:name w:val="HotSpot"/>
    <w:rsid w:val="00844E1B"/>
    <w:rPr>
      <w:color w:val="0033CC"/>
      <w:u w:val="none"/>
    </w:rPr>
  </w:style>
  <w:style w:type="paragraph" w:customStyle="1" w:styleId="BodyTextRight">
    <w:name w:val="Body Text Right"/>
    <w:basedOn w:val="BodyText"/>
    <w:rsid w:val="00844E1B"/>
    <w:pPr>
      <w:spacing w:before="0" w:after="0"/>
      <w:jc w:val="right"/>
    </w:pPr>
  </w:style>
  <w:style w:type="paragraph" w:styleId="Index3">
    <w:name w:val="index 3"/>
    <w:basedOn w:val="ListNumber2"/>
    <w:next w:val="Normal"/>
    <w:semiHidden/>
    <w:rsid w:val="00844E1B"/>
    <w:pPr>
      <w:numPr>
        <w:numId w:val="0"/>
      </w:numPr>
      <w:tabs>
        <w:tab w:val="right" w:leader="dot" w:pos="4176"/>
      </w:tabs>
    </w:pPr>
  </w:style>
  <w:style w:type="paragraph" w:styleId="ListNumber2">
    <w:name w:val="List Number 2"/>
    <w:basedOn w:val="List2"/>
    <w:rsid w:val="00844E1B"/>
    <w:pPr>
      <w:numPr>
        <w:numId w:val="10"/>
      </w:numPr>
      <w:tabs>
        <w:tab w:val="clear" w:pos="1060"/>
      </w:tabs>
    </w:pPr>
  </w:style>
  <w:style w:type="paragraph" w:customStyle="1" w:styleId="MarginNote">
    <w:name w:val="Margin Note"/>
    <w:basedOn w:val="BodyText"/>
    <w:rsid w:val="00844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E1B"/>
    <w:rPr>
      <w:sz w:val="32"/>
    </w:rPr>
  </w:style>
  <w:style w:type="paragraph" w:customStyle="1" w:styleId="HeadingProcedure">
    <w:name w:val="Heading Procedure"/>
    <w:basedOn w:val="HeadingBase"/>
    <w:next w:val="Normal"/>
    <w:rsid w:val="00844E1B"/>
    <w:pPr>
      <w:tabs>
        <w:tab w:val="left" w:pos="0"/>
      </w:tabs>
      <w:spacing w:before="120" w:after="60"/>
    </w:pPr>
    <w:rPr>
      <w:i/>
      <w:color w:val="918585"/>
      <w:sz w:val="22"/>
    </w:rPr>
  </w:style>
  <w:style w:type="paragraph" w:customStyle="1" w:styleId="TableBodyText">
    <w:name w:val="Table Body Text"/>
    <w:basedOn w:val="BodyText"/>
    <w:rsid w:val="00844E1B"/>
    <w:pPr>
      <w:spacing w:before="60" w:after="60"/>
    </w:pPr>
  </w:style>
  <w:style w:type="paragraph" w:styleId="ListContinue">
    <w:name w:val="List Continue"/>
    <w:basedOn w:val="List"/>
    <w:rsid w:val="00844E1B"/>
    <w:pPr>
      <w:ind w:firstLine="0"/>
    </w:pPr>
  </w:style>
  <w:style w:type="paragraph" w:customStyle="1" w:styleId="ListNote">
    <w:name w:val="List Note"/>
    <w:basedOn w:val="List"/>
    <w:rsid w:val="00844E1B"/>
    <w:pPr>
      <w:pBdr>
        <w:top w:val="single" w:sz="6" w:space="2" w:color="918585"/>
        <w:bottom w:val="single" w:sz="6" w:space="2" w:color="918585"/>
      </w:pBdr>
      <w:tabs>
        <w:tab w:val="left" w:pos="1021"/>
      </w:tabs>
      <w:ind w:firstLine="0"/>
    </w:pPr>
  </w:style>
  <w:style w:type="paragraph" w:customStyle="1" w:styleId="Warning">
    <w:name w:val="Warning"/>
    <w:basedOn w:val="BodyText"/>
    <w:rsid w:val="00844E1B"/>
    <w:pPr>
      <w:shd w:val="clear" w:color="auto" w:fill="D9D9D9"/>
      <w:tabs>
        <w:tab w:val="left" w:pos="992"/>
      </w:tabs>
      <w:ind w:left="119" w:right="119"/>
    </w:pPr>
    <w:rPr>
      <w:sz w:val="20"/>
    </w:rPr>
  </w:style>
  <w:style w:type="paragraph" w:customStyle="1" w:styleId="MarginIcons">
    <w:name w:val="Margin Icons"/>
    <w:basedOn w:val="BodyText"/>
    <w:rsid w:val="00844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E1B"/>
    <w:rPr>
      <w:rFonts w:ascii="Courier New" w:hAnsi="Courier New"/>
    </w:rPr>
  </w:style>
  <w:style w:type="paragraph" w:customStyle="1" w:styleId="NoteBullet">
    <w:name w:val="Note Bullet"/>
    <w:basedOn w:val="Note"/>
    <w:rsid w:val="00844E1B"/>
    <w:pPr>
      <w:tabs>
        <w:tab w:val="clear" w:pos="680"/>
      </w:tabs>
      <w:spacing w:before="60" w:after="60"/>
    </w:pPr>
  </w:style>
  <w:style w:type="paragraph" w:customStyle="1" w:styleId="SubHeading2">
    <w:name w:val="SubHeading2"/>
    <w:basedOn w:val="HeadingBase"/>
    <w:rsid w:val="00844E1B"/>
    <w:pPr>
      <w:spacing w:before="240" w:after="60"/>
    </w:pPr>
    <w:rPr>
      <w:sz w:val="20"/>
    </w:rPr>
  </w:style>
  <w:style w:type="paragraph" w:customStyle="1" w:styleId="SubHeading1">
    <w:name w:val="SubHeading1"/>
    <w:basedOn w:val="HeadingBase"/>
    <w:rsid w:val="00844E1B"/>
    <w:pPr>
      <w:spacing w:before="240" w:after="60"/>
    </w:pPr>
    <w:rPr>
      <w:color w:val="918585"/>
      <w:sz w:val="22"/>
    </w:rPr>
  </w:style>
  <w:style w:type="paragraph" w:customStyle="1" w:styleId="SideHeading">
    <w:name w:val="Side Heading"/>
    <w:basedOn w:val="HeadingBase"/>
    <w:rsid w:val="00844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E1B"/>
    <w:pPr>
      <w:numPr>
        <w:numId w:val="12"/>
      </w:numPr>
    </w:pPr>
  </w:style>
  <w:style w:type="paragraph" w:styleId="PlainText">
    <w:name w:val="Plain Text"/>
    <w:basedOn w:val="Normal"/>
    <w:link w:val="PlainTextChar"/>
    <w:rsid w:val="00844E1B"/>
    <w:rPr>
      <w:sz w:val="20"/>
    </w:rPr>
  </w:style>
  <w:style w:type="character" w:customStyle="1" w:styleId="PlainTextChar">
    <w:name w:val="Plain Text Char"/>
    <w:basedOn w:val="DefaultParagraphFont"/>
    <w:link w:val="PlainText"/>
    <w:rsid w:val="00844E1B"/>
    <w:rPr>
      <w:rFonts w:ascii="Courier New" w:eastAsia="Times New Roman" w:hAnsi="Courier New" w:cs="Times New Roman"/>
      <w:sz w:val="20"/>
      <w:szCs w:val="20"/>
      <w:lang w:eastAsia="en-US"/>
    </w:rPr>
  </w:style>
  <w:style w:type="character" w:customStyle="1" w:styleId="MenuOption">
    <w:name w:val="Menu Option"/>
    <w:basedOn w:val="DefaultParagraphFont"/>
    <w:rsid w:val="00844E1B"/>
    <w:rPr>
      <w:b/>
      <w:smallCaps/>
    </w:rPr>
  </w:style>
  <w:style w:type="paragraph" w:customStyle="1" w:styleId="TableListNumber">
    <w:name w:val="Table List Number"/>
    <w:basedOn w:val="ListNumber"/>
    <w:rsid w:val="00844E1B"/>
    <w:pPr>
      <w:numPr>
        <w:numId w:val="0"/>
      </w:numPr>
    </w:pPr>
  </w:style>
  <w:style w:type="paragraph" w:styleId="TOC4">
    <w:name w:val="toc 4"/>
    <w:basedOn w:val="TOCBase"/>
    <w:next w:val="Normal"/>
    <w:semiHidden/>
    <w:rsid w:val="00844E1B"/>
    <w:pPr>
      <w:tabs>
        <w:tab w:val="right" w:leader="dot" w:pos="9071"/>
      </w:tabs>
      <w:ind w:left="1701"/>
    </w:pPr>
  </w:style>
  <w:style w:type="paragraph" w:customStyle="1" w:styleId="ListAlpha">
    <w:name w:val="List Alpha"/>
    <w:basedOn w:val="List"/>
    <w:rsid w:val="00844E1B"/>
    <w:pPr>
      <w:numPr>
        <w:numId w:val="9"/>
      </w:numPr>
    </w:pPr>
  </w:style>
  <w:style w:type="paragraph" w:customStyle="1" w:styleId="ListAlpha2">
    <w:name w:val="List Alpha 2"/>
    <w:basedOn w:val="List2"/>
    <w:rsid w:val="00844E1B"/>
    <w:pPr>
      <w:numPr>
        <w:numId w:val="8"/>
      </w:numPr>
    </w:pPr>
  </w:style>
  <w:style w:type="paragraph" w:styleId="List2">
    <w:name w:val="List 2"/>
    <w:basedOn w:val="BodyText"/>
    <w:rsid w:val="00844E1B"/>
    <w:pPr>
      <w:tabs>
        <w:tab w:val="left" w:pos="680"/>
      </w:tabs>
      <w:spacing w:before="60" w:after="60"/>
      <w:ind w:left="680" w:hanging="340"/>
    </w:pPr>
  </w:style>
  <w:style w:type="paragraph" w:styleId="List3">
    <w:name w:val="List 3"/>
    <w:basedOn w:val="BodyText"/>
    <w:rsid w:val="00844E1B"/>
    <w:pPr>
      <w:tabs>
        <w:tab w:val="left" w:pos="1021"/>
      </w:tabs>
      <w:spacing w:before="60" w:after="60"/>
      <w:ind w:left="1020" w:hanging="340"/>
    </w:pPr>
  </w:style>
  <w:style w:type="paragraph" w:styleId="List4">
    <w:name w:val="List 4"/>
    <w:basedOn w:val="BodyText"/>
    <w:rsid w:val="00844E1B"/>
    <w:pPr>
      <w:tabs>
        <w:tab w:val="left" w:pos="1361"/>
      </w:tabs>
      <w:spacing w:before="60" w:after="60"/>
      <w:ind w:left="1361" w:hanging="340"/>
    </w:pPr>
  </w:style>
  <w:style w:type="paragraph" w:styleId="List5">
    <w:name w:val="List 5"/>
    <w:basedOn w:val="BodyText"/>
    <w:rsid w:val="00844E1B"/>
    <w:pPr>
      <w:tabs>
        <w:tab w:val="left" w:pos="1701"/>
      </w:tabs>
      <w:spacing w:before="60" w:after="60"/>
      <w:ind w:left="1701" w:hanging="340"/>
    </w:pPr>
  </w:style>
  <w:style w:type="paragraph" w:styleId="ListBullet3">
    <w:name w:val="List Bullet 3"/>
    <w:basedOn w:val="List3"/>
    <w:rsid w:val="00844E1B"/>
    <w:pPr>
      <w:numPr>
        <w:numId w:val="15"/>
      </w:numPr>
      <w:tabs>
        <w:tab w:val="clear" w:pos="1021"/>
      </w:tabs>
      <w:ind w:left="1037" w:hanging="357"/>
    </w:pPr>
  </w:style>
  <w:style w:type="paragraph" w:styleId="ListBullet4">
    <w:name w:val="List Bullet 4"/>
    <w:basedOn w:val="List4"/>
    <w:rsid w:val="00844E1B"/>
    <w:pPr>
      <w:numPr>
        <w:numId w:val="3"/>
      </w:numPr>
    </w:pPr>
  </w:style>
  <w:style w:type="paragraph" w:styleId="ListBullet5">
    <w:name w:val="List Bullet 5"/>
    <w:basedOn w:val="List5"/>
    <w:rsid w:val="00844E1B"/>
    <w:pPr>
      <w:numPr>
        <w:numId w:val="4"/>
      </w:numPr>
    </w:pPr>
  </w:style>
  <w:style w:type="paragraph" w:styleId="ListContinue2">
    <w:name w:val="List Continue 2"/>
    <w:basedOn w:val="List2"/>
    <w:rsid w:val="00844E1B"/>
    <w:pPr>
      <w:ind w:firstLine="0"/>
    </w:pPr>
  </w:style>
  <w:style w:type="paragraph" w:styleId="ListContinue3">
    <w:name w:val="List Continue 3"/>
    <w:basedOn w:val="List3"/>
    <w:rsid w:val="00844E1B"/>
    <w:pPr>
      <w:ind w:left="1021" w:firstLine="0"/>
    </w:pPr>
  </w:style>
  <w:style w:type="paragraph" w:styleId="ListContinue4">
    <w:name w:val="List Continue 4"/>
    <w:basedOn w:val="List4"/>
    <w:rsid w:val="00844E1B"/>
    <w:pPr>
      <w:ind w:firstLine="0"/>
    </w:pPr>
  </w:style>
  <w:style w:type="paragraph" w:styleId="ListContinue5">
    <w:name w:val="List Continue 5"/>
    <w:basedOn w:val="List5"/>
    <w:rsid w:val="00844E1B"/>
    <w:pPr>
      <w:ind w:firstLine="0"/>
    </w:pPr>
  </w:style>
  <w:style w:type="paragraph" w:styleId="ListNumber3">
    <w:name w:val="List Number 3"/>
    <w:basedOn w:val="List3"/>
    <w:rsid w:val="00844E1B"/>
    <w:pPr>
      <w:numPr>
        <w:numId w:val="5"/>
      </w:numPr>
    </w:pPr>
  </w:style>
  <w:style w:type="paragraph" w:styleId="ListNumber4">
    <w:name w:val="List Number 4"/>
    <w:basedOn w:val="List4"/>
    <w:rsid w:val="00844E1B"/>
    <w:pPr>
      <w:numPr>
        <w:numId w:val="6"/>
      </w:numPr>
    </w:pPr>
  </w:style>
  <w:style w:type="paragraph" w:styleId="ListNumber5">
    <w:name w:val="List Number 5"/>
    <w:basedOn w:val="List5"/>
    <w:rsid w:val="00844E1B"/>
    <w:pPr>
      <w:numPr>
        <w:numId w:val="7"/>
      </w:numPr>
    </w:pPr>
  </w:style>
  <w:style w:type="paragraph" w:styleId="BlockText">
    <w:name w:val="Block Text"/>
    <w:basedOn w:val="Normal"/>
    <w:rsid w:val="00844E1B"/>
    <w:pPr>
      <w:spacing w:after="120"/>
      <w:ind w:left="1440" w:right="1440"/>
    </w:pPr>
  </w:style>
  <w:style w:type="character" w:customStyle="1" w:styleId="Subscript">
    <w:name w:val="Subscript"/>
    <w:basedOn w:val="DefaultParagraphFont"/>
    <w:rsid w:val="00844E1B"/>
    <w:rPr>
      <w:sz w:val="16"/>
      <w:vertAlign w:val="subscript"/>
    </w:rPr>
  </w:style>
  <w:style w:type="character" w:customStyle="1" w:styleId="Superscript">
    <w:name w:val="Superscript"/>
    <w:basedOn w:val="DefaultParagraphFont"/>
    <w:rsid w:val="00844E1B"/>
    <w:rPr>
      <w:sz w:val="16"/>
      <w:vertAlign w:val="superscript"/>
    </w:rPr>
  </w:style>
  <w:style w:type="character" w:customStyle="1" w:styleId="Symbols">
    <w:name w:val="Symbols"/>
    <w:basedOn w:val="DefaultParagraphFont"/>
    <w:rsid w:val="00844E1B"/>
    <w:rPr>
      <w:rFonts w:ascii="Symbol" w:hAnsi="Symbol"/>
    </w:rPr>
  </w:style>
  <w:style w:type="character" w:customStyle="1" w:styleId="MenuOptions">
    <w:name w:val="Menu Options"/>
    <w:basedOn w:val="DefaultParagraphFont"/>
    <w:rsid w:val="00844E1B"/>
    <w:rPr>
      <w:rFonts w:ascii="Arial Narrow" w:hAnsi="Arial Narrow"/>
      <w:smallCaps/>
    </w:rPr>
  </w:style>
  <w:style w:type="character" w:customStyle="1" w:styleId="Buttons">
    <w:name w:val="Buttons"/>
    <w:basedOn w:val="DefaultParagraphFont"/>
    <w:rsid w:val="00844E1B"/>
    <w:rPr>
      <w:b/>
    </w:rPr>
  </w:style>
  <w:style w:type="character" w:customStyle="1" w:styleId="Underlined">
    <w:name w:val="Underlined"/>
    <w:basedOn w:val="DefaultParagraphFont"/>
    <w:rsid w:val="00844E1B"/>
    <w:rPr>
      <w:u w:val="single"/>
    </w:rPr>
  </w:style>
  <w:style w:type="paragraph" w:customStyle="1" w:styleId="TableBodyTextRight">
    <w:name w:val="Table Body Text Right"/>
    <w:basedOn w:val="TableBodyText"/>
    <w:rsid w:val="00844E1B"/>
    <w:pPr>
      <w:widowControl w:val="0"/>
      <w:autoSpaceDE w:val="0"/>
      <w:autoSpaceDN w:val="0"/>
      <w:adjustRightInd w:val="0"/>
      <w:jc w:val="right"/>
    </w:pPr>
    <w:rPr>
      <w:rFonts w:cs="Arial"/>
      <w:szCs w:val="18"/>
    </w:rPr>
  </w:style>
  <w:style w:type="paragraph" w:customStyle="1" w:styleId="CopyrightText">
    <w:name w:val="Copyright Text"/>
    <w:basedOn w:val="BodyText"/>
    <w:rsid w:val="00844E1B"/>
    <w:rPr>
      <w:sz w:val="18"/>
    </w:rPr>
  </w:style>
  <w:style w:type="paragraph" w:customStyle="1" w:styleId="BodySmallRight">
    <w:name w:val="Body Small Right"/>
    <w:basedOn w:val="BodyTextRight"/>
    <w:rsid w:val="00844E1B"/>
    <w:rPr>
      <w:sz w:val="18"/>
      <w:szCs w:val="18"/>
    </w:rPr>
  </w:style>
  <w:style w:type="paragraph" w:customStyle="1" w:styleId="MarginEdition">
    <w:name w:val="Margin Edition"/>
    <w:basedOn w:val="MarginNote"/>
    <w:rsid w:val="00844E1B"/>
    <w:pPr>
      <w:spacing w:before="0" w:after="0"/>
    </w:pPr>
    <w:rPr>
      <w:rFonts w:ascii="Times New Roman" w:hAnsi="Times New Roman"/>
      <w:color w:val="999999"/>
    </w:rPr>
  </w:style>
  <w:style w:type="paragraph" w:customStyle="1" w:styleId="Spacer">
    <w:name w:val="Spacer"/>
    <w:basedOn w:val="Normal"/>
    <w:rsid w:val="00844E1B"/>
    <w:rPr>
      <w:sz w:val="2"/>
      <w:szCs w:val="2"/>
    </w:rPr>
  </w:style>
  <w:style w:type="character" w:customStyle="1" w:styleId="Small">
    <w:name w:val="Small"/>
    <w:basedOn w:val="DefaultParagraphFont"/>
    <w:rsid w:val="00844E1B"/>
    <w:rPr>
      <w:sz w:val="16"/>
    </w:rPr>
  </w:style>
  <w:style w:type="paragraph" w:customStyle="1" w:styleId="WideTable">
    <w:name w:val="Wide Table"/>
    <w:basedOn w:val="Normal"/>
    <w:rsid w:val="00844E1B"/>
    <w:pPr>
      <w:ind w:left="-1418"/>
    </w:pPr>
    <w:rPr>
      <w:sz w:val="2"/>
      <w:szCs w:val="2"/>
    </w:rPr>
  </w:style>
  <w:style w:type="character" w:styleId="PageNumber">
    <w:name w:val="page number"/>
    <w:basedOn w:val="DefaultParagraphFont"/>
    <w:rsid w:val="00844E1B"/>
  </w:style>
  <w:style w:type="paragraph" w:styleId="Quote">
    <w:name w:val="Quote"/>
    <w:basedOn w:val="Heading1"/>
    <w:link w:val="QuoteChar"/>
    <w:qFormat/>
    <w:rsid w:val="00844E1B"/>
    <w:rPr>
      <w:b w:val="0"/>
      <w:sz w:val="72"/>
      <w:szCs w:val="72"/>
      <w:lang w:val="en-NZ"/>
    </w:rPr>
  </w:style>
  <w:style w:type="character" w:customStyle="1" w:styleId="QuoteChar">
    <w:name w:val="Quote Char"/>
    <w:basedOn w:val="DefaultParagraphFont"/>
    <w:link w:val="Quote"/>
    <w:rsid w:val="00844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E1B"/>
    <w:pPr>
      <w:pageBreakBefore/>
    </w:pPr>
  </w:style>
  <w:style w:type="paragraph" w:customStyle="1" w:styleId="Border">
    <w:name w:val="Border"/>
    <w:basedOn w:val="Normal"/>
    <w:qFormat/>
    <w:rsid w:val="00844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E1B"/>
    <w:rPr>
      <w:b/>
      <w:bCs/>
      <w:i/>
      <w:iCs/>
      <w:color w:val="auto"/>
    </w:rPr>
  </w:style>
  <w:style w:type="paragraph" w:styleId="IntenseQuote">
    <w:name w:val="Intense Quote"/>
    <w:basedOn w:val="Normal"/>
    <w:next w:val="Normal"/>
    <w:link w:val="IntenseQuoteChar"/>
    <w:uiPriority w:val="30"/>
    <w:qFormat/>
    <w:rsid w:val="00844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E1B"/>
    <w:rPr>
      <w:smallCaps/>
      <w:color w:val="auto"/>
      <w:u w:val="single"/>
    </w:rPr>
  </w:style>
  <w:style w:type="character" w:styleId="IntenseReference">
    <w:name w:val="Intense Reference"/>
    <w:basedOn w:val="DefaultParagraphFont"/>
    <w:uiPriority w:val="32"/>
    <w:qFormat/>
    <w:rsid w:val="00844E1B"/>
    <w:rPr>
      <w:b/>
      <w:bCs/>
      <w:smallCaps/>
      <w:color w:val="auto"/>
      <w:spacing w:val="5"/>
      <w:u w:val="single"/>
    </w:rPr>
  </w:style>
  <w:style w:type="paragraph" w:customStyle="1" w:styleId="2ColumnHeading">
    <w:name w:val="2Column Heading"/>
    <w:basedOn w:val="BodyText"/>
    <w:qFormat/>
    <w:rsid w:val="00844E1B"/>
    <w:pPr>
      <w:spacing w:after="60"/>
      <w:ind w:left="-2268"/>
    </w:pPr>
    <w:rPr>
      <w:b/>
    </w:rPr>
  </w:style>
  <w:style w:type="paragraph" w:customStyle="1" w:styleId="Heading1TOC">
    <w:name w:val="Heading1 TOC"/>
    <w:basedOn w:val="Normal"/>
    <w:qFormat/>
    <w:rsid w:val="00844E1B"/>
    <w:pPr>
      <w:spacing w:before="240" w:after="120"/>
    </w:pPr>
    <w:rPr>
      <w:rFonts w:ascii="Times New Roman" w:hAnsi="Times New Roman"/>
      <w:b/>
      <w:sz w:val="32"/>
    </w:rPr>
  </w:style>
  <w:style w:type="paragraph" w:customStyle="1" w:styleId="Heading2TOC">
    <w:name w:val="Heading2 TOC"/>
    <w:basedOn w:val="Normal"/>
    <w:qFormat/>
    <w:rsid w:val="00844E1B"/>
    <w:pPr>
      <w:spacing w:before="240" w:after="60"/>
    </w:pPr>
    <w:rPr>
      <w:rFonts w:ascii="Times New Roman" w:hAnsi="Times New Roman"/>
      <w:b/>
      <w:sz w:val="28"/>
    </w:rPr>
  </w:style>
  <w:style w:type="character" w:customStyle="1" w:styleId="Underline">
    <w:name w:val="Underline"/>
    <w:basedOn w:val="DefaultParagraphFont"/>
    <w:qFormat/>
    <w:rsid w:val="00844E1B"/>
    <w:rPr>
      <w:u w:val="single"/>
    </w:rPr>
  </w:style>
  <w:style w:type="character" w:customStyle="1" w:styleId="BoldandItalics">
    <w:name w:val="Bold and Italics"/>
    <w:qFormat/>
    <w:rsid w:val="00844E1B"/>
    <w:rPr>
      <w:b/>
      <w:i/>
      <w:u w:val="none"/>
    </w:rPr>
  </w:style>
  <w:style w:type="paragraph" w:styleId="BalloonText">
    <w:name w:val="Balloon Text"/>
    <w:basedOn w:val="Normal"/>
    <w:link w:val="BalloonTextChar"/>
    <w:rsid w:val="00844E1B"/>
    <w:rPr>
      <w:rFonts w:ascii="Tahoma" w:hAnsi="Tahoma" w:cs="Tahoma"/>
      <w:sz w:val="16"/>
      <w:szCs w:val="16"/>
    </w:rPr>
  </w:style>
  <w:style w:type="character" w:customStyle="1" w:styleId="BalloonTextChar">
    <w:name w:val="Balloon Text Char"/>
    <w:basedOn w:val="DefaultParagraphFont"/>
    <w:link w:val="BalloonText"/>
    <w:rsid w:val="00844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E1B"/>
    <w:rPr>
      <w:b/>
      <w:color w:val="660033"/>
      <w:spacing w:val="0"/>
    </w:rPr>
  </w:style>
  <w:style w:type="paragraph" w:customStyle="1" w:styleId="Nameditemlist">
    <w:name w:val="Named item list"/>
    <w:basedOn w:val="BodyText"/>
    <w:qFormat/>
    <w:rsid w:val="00844E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2954</Words>
  <Characters>18079</Characters>
  <Application>Microsoft Office Word</Application>
  <DocSecurity>0</DocSecurity>
  <Lines>711</Lines>
  <Paragraphs>266</Paragraphs>
  <ScaleCrop>false</ScaleCrop>
  <Company>Author-it Software Corporation Ltd.</Company>
  <LinksUpToDate>false</LinksUpToDate>
  <CharactersWithSpaces>20819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UETTDREL18A Inspect and treat poles and inspect electrical apparatus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2013-03-15T13:14:00Z</dcterms:created>
  <dcterms:modified xsi:type="dcterms:W3CDTF">2013-03-15T13:14:00Z</dcterms:modified>
</cp:coreProperties>
</file>