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4B3" w:rsidP="004A34B3">
      <w:pPr>
        <w:pStyle w:val="Title"/>
      </w:pPr>
      <w:r>
        <w:fldChar w:fldCharType="begin"/>
      </w:r>
      <w:r>
        <w:instrText xml:space="preserve"> TITLE   \* MERGEFORMAT </w:instrText>
      </w:r>
      <w:r>
        <w:fldChar w:fldCharType="separate"/>
      </w:r>
      <w:r>
        <w:t>UETTDREL14A Working safely near live electrical apparatus as a non-electrical worker</w:t>
      </w:r>
      <w:r>
        <w:fldChar w:fldCharType="end"/>
      </w:r>
    </w:p>
    <w:p w:rsidR="004A34B3" w:rsidP="004A34B3">
      <w:pPr>
        <w:pStyle w:val="Version"/>
        <w:sectPr w:rsidSect="000B4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CBD" w:rsidP="000B4CBD">
      <w:pPr>
        <w:pStyle w:val="SuperHeading"/>
      </w:pPr>
      <w:r w:rsidRPr="000B4CBD">
        <w:t>UETTDREL14A Working safely near live electrical apparatus as a non-electrical worker</w:t>
      </w:r>
    </w:p>
    <w:p w:rsidR="00000000" w:rsidRPr="000B4CBD" w:rsidP="000B4CBD">
      <w:pPr>
        <w:pStyle w:val="Heading1"/>
      </w:pPr>
      <w:bookmarkStart w:id="1" w:name="O_455716"/>
      <w:bookmarkEnd w:id="1"/>
      <w:r w:rsidRPr="000B4CBD">
        <w:t>Modification History</w:t>
      </w:r>
    </w:p>
    <w:p w:rsidR="00000000" w:rsidRPr="000B4CBD" w:rsidP="000B4CBD">
      <w:pPr>
        <w:pStyle w:val="BodyText"/>
      </w:pPr>
      <w:r w:rsidRPr="000B4CBD">
        <w:t>Not applicable.</w:t>
      </w:r>
    </w:p>
    <w:p w:rsidR="00000000" w:rsidRPr="000B4CBD" w:rsidP="000B4CBD">
      <w:pPr>
        <w:pStyle w:val="AllowPageBreak"/>
      </w:pPr>
    </w:p>
    <w:p w:rsidR="00000000" w:rsidRPr="000B4CBD" w:rsidP="000B4CBD">
      <w:pPr>
        <w:pStyle w:val="Heading1"/>
      </w:pPr>
      <w:bookmarkStart w:id="2" w:name="O_455714"/>
      <w:bookmarkEnd w:id="2"/>
      <w:r w:rsidRPr="000B4CBD">
        <w:t>Unit Descriptor</w:t>
      </w:r>
    </w:p>
    <w:tbl>
      <w:tblPr>
        <w:tblW w:w="0" w:type="auto"/>
        <w:tblLayout w:type="fixed"/>
        <w:tblCellMar>
          <w:left w:w="62" w:type="dxa"/>
          <w:right w:w="62" w:type="dxa"/>
        </w:tblCellMar>
        <w:tblLook w:val="0000"/>
      </w:tblPr>
      <w:tblGrid>
        <w:gridCol w:w="2700"/>
        <w:gridCol w:w="5760"/>
      </w:tblGrid>
      <w:tr w:rsidTr="004A34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1)</w:t>
            </w:r>
            <w:r w:rsidRPr="000B4CBD">
              <w:t xml:space="preserve"> </w:t>
            </w:r>
            <w:r w:rsidRPr="000B4CBD">
              <w:rPr>
                <w:rStyle w:val="SpecialBold"/>
              </w:rPr>
              <w:t>Scope:</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4CB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1.1) Descriptor</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This Competency Standard Unit covers compliance with working safely up to the defined “safe approach distance” near energised electrical apparatus (inc. electrical powerlines) for non-electrical workers. It includes work functions that may be performed, su</w:t>
            </w:r>
            <w:r w:rsidRPr="000B4CBD">
              <w:t>ch as vegetation control, scaffolding, rigging, painting, and/or any other activity that requires working safely and complying with requirements and/or established procedures near live electrical apparatus by a non-electrical worker. Also included is the p</w:t>
            </w:r>
            <w:r w:rsidRPr="000B4CBD">
              <w:t>reparation of risk assessment control measures that encompass job safety assessment. It does not include any work that is or may be performed by other competent operatives within the defined “safe working zone”. The defined “safe working zone” is that so d</w:t>
            </w:r>
            <w:r w:rsidRPr="000B4CBD">
              <w:t>efined by relevant State or Territory regulatory agencies/bodies, local government legislation, Industry bi-partite body – Guidelines/Codes of Practices or other related requirements for Safe work and access near live Electrical and Mechanical Apparatus.</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3" w:name="O_455703"/>
      <w:bookmarkEnd w:id="3"/>
      <w:r w:rsidRPr="000B4CBD">
        <w:t>Application of the Unit</w:t>
      </w:r>
    </w:p>
    <w:tbl>
      <w:tblPr>
        <w:tblW w:w="0" w:type="auto"/>
        <w:tblLayout w:type="fixed"/>
        <w:tblCellMar>
          <w:left w:w="62" w:type="dxa"/>
          <w:right w:w="62" w:type="dxa"/>
        </w:tblCellMar>
        <w:tblLook w:val="0000"/>
      </w:tblPr>
      <w:tblGrid>
        <w:gridCol w:w="2672"/>
        <w:gridCol w:w="5699"/>
      </w:tblGrid>
      <w:tr w:rsidTr="004A34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2)</w:t>
            </w:r>
          </w:p>
        </w:tc>
      </w:tr>
      <w:tr w:rsidTr="004A34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This competency standards unit shall apply to Transmission, Distribution, Rail Traction, Telecommunications and Vegetation Management Control industry sectors.</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4" w:name="O_455710"/>
      <w:bookmarkEnd w:id="4"/>
      <w:r w:rsidRPr="000B4CBD">
        <w:t>Licensing/Regulatory Information</w:t>
      </w:r>
    </w:p>
    <w:tbl>
      <w:tblPr>
        <w:tblW w:w="0" w:type="auto"/>
        <w:tblLayout w:type="fixed"/>
        <w:tblCellMar>
          <w:left w:w="62" w:type="dxa"/>
          <w:right w:w="62" w:type="dxa"/>
        </w:tblCellMar>
        <w:tblLook w:val="0000"/>
      </w:tblPr>
      <w:tblGrid>
        <w:gridCol w:w="2700"/>
        <w:gridCol w:w="5760"/>
      </w:tblGrid>
      <w:tr w:rsidTr="004A34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 xml:space="preserve">3) </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The skills and knowledge described in this unit may require a licence/registration to practice in the work place subject to regulations for undertaking of electrical work. Practice in workplace and</w:t>
            </w:r>
            <w:r w:rsidRPr="000B4CBD">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0B4CBD">
              <w:t>ommonwealth, State/Territory or Local Government legislation and regulations may exist that limits the age of operating certain equipment.</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5" w:name="O_455711"/>
      <w:bookmarkEnd w:id="5"/>
      <w:r w:rsidRPr="000B4CBD">
        <w:t>Pre-Requisites</w:t>
      </w:r>
    </w:p>
    <w:tbl>
      <w:tblPr>
        <w:tblW w:w="0" w:type="auto"/>
        <w:tblLayout w:type="fixed"/>
        <w:tblCellMar>
          <w:left w:w="62" w:type="dxa"/>
          <w:right w:w="62" w:type="dxa"/>
        </w:tblCellMar>
        <w:tblLook w:val="0000"/>
      </w:tblPr>
      <w:tblGrid>
        <w:gridCol w:w="2700"/>
        <w:gridCol w:w="5760"/>
      </w:tblGrid>
      <w:tr w:rsidTr="004A34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 xml:space="preserve">4) </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4.1)</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Granting of competency in this unit shall be made only after competency in the following unit(s) has/have been confirmed.</w:t>
            </w:r>
          </w:p>
          <w:p w:rsidR="00000000" w:rsidRPr="000B4CBD" w:rsidP="000B4CBD">
            <w:pPr>
              <w:pStyle w:val="BodyText"/>
            </w:pPr>
            <w:r w:rsidRPr="000B4CBD">
              <w:t xml:space="preserve">Where pre-requisite pathways have been identified. All competencies in the Common Unit Group must be have been completed plus all the </w:t>
            </w:r>
            <w:r w:rsidRPr="000B4CBD">
              <w:t>competencies in one (1) of the identified Pathway Unit Group(s):</w:t>
            </w:r>
          </w:p>
          <w:p w:rsidR="00000000" w:rsidRPr="000B4CBD" w:rsidP="000B4CBD">
            <w:pPr>
              <w:pStyle w:val="BodyText"/>
            </w:pPr>
            <w:r w:rsidRPr="000B4CBD">
              <w:t>There are no prerequisite competencies to this unit.</w:t>
            </w:r>
          </w:p>
        </w:tc>
      </w:tr>
    </w:tbl>
    <w:p w:rsidR="00000000" w:rsidRPr="000B4CBD" w:rsidP="000B4CB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A34B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 xml:space="preserve">4.2) </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Participants are best equipped to achieve this unit if they have reading, writing and numer</w:t>
            </w:r>
            <w:r w:rsidRPr="000B4CBD">
              <w:t>acy skills indicated by the following scales. Description of each scale is given in Volume 2, Part 3 “Literacy and Numeracy”.</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Reading</w:t>
            </w:r>
          </w:p>
        </w:tc>
        <w:tc>
          <w:tcPr>
            <w:tcW w:w="81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w:t>
            </w:r>
          </w:p>
        </w:tc>
        <w:tc>
          <w:tcPr>
            <w:tcW w:w="99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Writing</w:t>
            </w: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w:t>
            </w:r>
          </w:p>
        </w:tc>
        <w:tc>
          <w:tcPr>
            <w:tcW w:w="12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Numeracy</w:t>
            </w:r>
          </w:p>
        </w:tc>
        <w:tc>
          <w:tcPr>
            <w:tcW w:w="72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3</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6" w:name="O_455707"/>
      <w:bookmarkEnd w:id="6"/>
      <w:r w:rsidRPr="000B4CBD">
        <w:t>Employability Skills Information</w:t>
      </w:r>
    </w:p>
    <w:tbl>
      <w:tblPr>
        <w:tblW w:w="0" w:type="auto"/>
        <w:tblLayout w:type="fixed"/>
        <w:tblCellMar>
          <w:left w:w="62" w:type="dxa"/>
          <w:right w:w="62" w:type="dxa"/>
        </w:tblCellMar>
        <w:tblLook w:val="0000"/>
      </w:tblPr>
      <w:tblGrid>
        <w:gridCol w:w="2700"/>
        <w:gridCol w:w="5760"/>
      </w:tblGrid>
      <w:tr w:rsidTr="004A34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 xml:space="preserve">5) </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B4CBD">
              <w:t>requirements.</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7" w:name="O_455706"/>
      <w:bookmarkEnd w:id="7"/>
      <w:r w:rsidRPr="000B4CBD">
        <w:t>Elements and Performance Criteria Pre-Content</w:t>
      </w:r>
    </w:p>
    <w:tbl>
      <w:tblPr>
        <w:tblW w:w="0" w:type="auto"/>
        <w:tblLayout w:type="fixed"/>
        <w:tblCellMar>
          <w:left w:w="62" w:type="dxa"/>
          <w:right w:w="62" w:type="dxa"/>
        </w:tblCellMar>
        <w:tblLook w:val="0000"/>
      </w:tblPr>
      <w:tblGrid>
        <w:gridCol w:w="2700"/>
        <w:gridCol w:w="5760"/>
      </w:tblGrid>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6)</w:t>
            </w:r>
            <w:r w:rsidRPr="000B4CB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Performance Criteria describe the required performance needed to demonstrate achievement of the element</w:t>
            </w:r>
            <w:r w:rsidRPr="000B4CBD">
              <w:t>. Assessment of performance is to be consistent with the Evidence Guide.</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8" w:name="O_455705"/>
      <w:bookmarkEnd w:id="8"/>
      <w:r w:rsidRPr="000B4CB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34B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PERFORMANCE CRITERIA</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w:t>
            </w:r>
          </w:p>
        </w:tc>
        <w:tc>
          <w:tcPr>
            <w:tcW w:w="2296" w:type="dxa"/>
            <w:vMerge w:val="restart"/>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Prepare to work safely near live electrical apparatus as non-electrical worker</w:t>
            </w: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1.1</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Instructions related to the work to be performed safely near live electrical apparatus as non-electrical worker are received and confirmed.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1.2</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Relevant requirements and established procedures to be followed and, relevant personnel to be communicated with for the work to be performed are identified.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1.3</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OHS policies and procedures to be followed for the work to be performed are received and con</w:t>
            </w:r>
            <w:r w:rsidRPr="000B4CBD">
              <w:t>firmed.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1.4</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Suggestions to assist in meeting the safety requirements for working near live electrical apparatus as a non-electrical worker are made to others involved in the work.</w:t>
            </w:r>
          </w:p>
        </w:tc>
      </w:tr>
      <w:tr w:rsidTr="004A34B3">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1.5</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 xml:space="preserve">Hazards are identified, OHS risks assessed and </w:t>
            </w:r>
            <w:r w:rsidRPr="000B4CBD">
              <w:t>control measures are prioritised, implemented and monitored including emergency exits kept clear according to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1.6</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Scope of responsibility and process of relevant work permit(s) issue is identified, received and confirmed accordin</w:t>
            </w:r>
            <w:r w:rsidRPr="000B4CBD">
              <w:t>g to requirements and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1.7</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Relevant responsibility associated with First Aid, Safety Observers and/or other related work safety procedures at the worksite are identified in accordance with requirements and established procedures t</w:t>
            </w:r>
            <w:r w:rsidRPr="000B4CBD">
              <w:t>o ensure safety measures are followed in the instance of an incident.</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1.8</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Processes for identifying and reporting client issues to appropriate personnel in accordance with industry/acceptable /community standards are identified.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1.9</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Site and the work schedule to be prepared are confirmed according to given instructions for a quality outcome and to minimise risk and damage to property, commerce, stock and individuals in accordance and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1.10</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Electricity infrast</w:t>
            </w:r>
            <w:r w:rsidRPr="000B4CBD">
              <w:t>ructure assets, related voltages and requirements for working safely near live electrical apparatus as non-electrical worker are identified.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1.11</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Safe approach distances including any zones thereof that may apply, as defined in industry guidelines, requ</w:t>
            </w:r>
            <w:r w:rsidRPr="000B4CBD">
              <w:t>irements and/or established procedures for the intended work are confirmed.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2</w:t>
            </w:r>
          </w:p>
        </w:tc>
        <w:tc>
          <w:tcPr>
            <w:tcW w:w="2296"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Carry out the work safely near live electrical apparatus as non-electrical worker.</w:t>
            </w: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2.1</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OHS principles and practices to reduce the incidents of accidents are identified in accord</w:t>
            </w:r>
            <w:r w:rsidRPr="000B4CBD">
              <w:t>ance with given instructions, requirements and/or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2.2</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 xml:space="preserve">Working safely and complying with all safety requirements for working near live electrical apparatus as a non-electrical worker are followed </w:t>
            </w:r>
            <w:r w:rsidRPr="000B4CBD">
              <w:t>in accordance with given instructions and established routines/procedures.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2.3</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Processes for monitoring and reporting/referring hazards and OHS risks to the immediate authorised personnel for directions according to established procedures are followed.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2.4</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Non-routine events are referred to the immediate authorised personnel for directions according to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2.5</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Unexpected events associated with working safely near live electrical apparatus as a non-electrical worker are responded</w:t>
            </w:r>
            <w:r w:rsidRPr="000B4CBD">
              <w:t xml:space="preserve"> to using acquired known solutions and skills related to routine procedures to ensure work instructions and established procedures are met.</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w:t>
            </w:r>
          </w:p>
        </w:tc>
        <w:tc>
          <w:tcPr>
            <w:tcW w:w="2296" w:type="dxa"/>
            <w:vMerge w:val="restart"/>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Complete the work safely near live electrical apparatus as non-electrical worker.</w:t>
            </w: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3.1</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Work schedule and anomalies for completion and checking of the work are reported to authorised personnel in accordance with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3.2</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Processes for reporting to authorised personnel accidents and/or incidents are confirmed in accordanc</w:t>
            </w:r>
            <w:r w:rsidRPr="000B4CBD">
              <w:t>e with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3.3</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Requirements for returning work permit(s) and/or access authorisation permits are confirmed.</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3.4</w:t>
            </w:r>
          </w:p>
        </w:tc>
        <w:tc>
          <w:tcPr>
            <w:tcW w:w="48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Appropriate personnel are notified of work completion according to established procedures.</w:t>
            </w:r>
          </w:p>
        </w:tc>
      </w:tr>
      <w:tr w:rsidTr="004A34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t>3.5</w:t>
            </w:r>
          </w:p>
        </w:tc>
        <w:tc>
          <w:tcPr>
            <w:tcW w:w="48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Works completion records, report forms/data sheets are completed accurately in accordance with given instructions and established procedures.</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9" w:name="O_455713"/>
      <w:bookmarkEnd w:id="9"/>
      <w:r w:rsidRPr="000B4CBD">
        <w:t>Required Skills and Knowledge</w:t>
      </w:r>
    </w:p>
    <w:tbl>
      <w:tblPr>
        <w:tblW w:w="0" w:type="auto"/>
        <w:tblLayout w:type="fixed"/>
        <w:tblCellMar>
          <w:left w:w="62" w:type="dxa"/>
          <w:right w:w="62" w:type="dxa"/>
        </w:tblCellMar>
        <w:tblLook w:val="0000"/>
      </w:tblPr>
      <w:tblGrid>
        <w:gridCol w:w="8460"/>
      </w:tblGrid>
      <w:tr w:rsidTr="004A34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REQUIRED SKILLS AND KNOWLEDGE</w:t>
            </w:r>
          </w:p>
        </w:tc>
      </w:tr>
      <w:tr w:rsidTr="004A34B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 xml:space="preserve">8) </w:t>
            </w:r>
            <w:r w:rsidRPr="000B4CBD">
              <w:t>Essential Knowledge and Associated Skills (EKAS): This describes the essential skills and knowledge and their level, required for this unit.</w:t>
            </w:r>
          </w:p>
          <w:p w:rsidR="00000000" w:rsidRPr="000B4CBD" w:rsidP="000B4CBD">
            <w:pPr>
              <w:pStyle w:val="BodyText"/>
            </w:pPr>
            <w:r w:rsidRPr="000B4CBD">
              <w:t>Evidence shall show that knowledge has been acquired of working safely near live electrical apparatus as non electr</w:t>
            </w:r>
            <w:r w:rsidRPr="000B4CBD">
              <w:t>ical worker.</w:t>
            </w:r>
          </w:p>
          <w:p w:rsidR="00000000" w:rsidRPr="000B4CBD" w:rsidP="000B4CBD">
            <w:pPr>
              <w:pStyle w:val="BodyText"/>
            </w:pPr>
            <w:r w:rsidRPr="000B4CBD">
              <w:t>All knowledge and skills detailed in this unit should be contextualised to current industry practices and technologies.</w:t>
            </w:r>
          </w:p>
          <w:p w:rsidR="00000000" w:rsidRPr="000B4CBD" w:rsidP="000B4CBD">
            <w:pPr>
              <w:pStyle w:val="BodyText"/>
            </w:pPr>
            <w:r w:rsidRPr="000B4CBD">
              <w:t xml:space="preserve">KS01-TEL14A </w:t>
            </w:r>
            <w:r w:rsidRPr="000B4CBD">
              <w:tab/>
              <w:t>Power Line Safety – Non Electrical Workers</w:t>
            </w:r>
          </w:p>
          <w:p w:rsidR="00000000" w:rsidRPr="000B4CBD" w:rsidP="000B4CBD">
            <w:pPr>
              <w:pStyle w:val="BodyText"/>
            </w:pPr>
            <w:r w:rsidRPr="000B4CBD">
              <w:t>Evidence shall show an understanding of power line safety – non ele</w:t>
            </w:r>
            <w:r w:rsidRPr="000B4CBD">
              <w:t>ctrical workers to an extent indicated by the following aspects:</w:t>
            </w:r>
          </w:p>
          <w:p w:rsidR="00000000" w:rsidRPr="000B4CBD" w:rsidP="000B4CBD">
            <w:pPr>
              <w:pStyle w:val="BodyText"/>
            </w:pPr>
            <w:r w:rsidRPr="000B4CBD">
              <w:t>T1</w:t>
            </w:r>
            <w:r w:rsidRPr="000B4CBD">
              <w:tab/>
              <w:t>Basic electrical principles encompassing:</w:t>
            </w:r>
          </w:p>
          <w:p w:rsidR="00000000" w:rsidRPr="000B4CBD" w:rsidP="000B4CBD">
            <w:pPr>
              <w:pStyle w:val="ListBullet"/>
            </w:pPr>
            <w:r w:rsidRPr="000B4CBD">
              <w:t>Fundamental units - basic measurement of units</w:t>
            </w:r>
          </w:p>
          <w:p w:rsidR="00000000" w:rsidRPr="000B4CBD" w:rsidP="000B4CBD">
            <w:pPr>
              <w:pStyle w:val="ListBullet"/>
            </w:pPr>
            <w:r w:rsidRPr="000B4CBD">
              <w:t>Electrical characteristics of material: characteristics of solid materials, insulators; terms elec</w:t>
            </w:r>
            <w:r w:rsidRPr="000B4CBD">
              <w:t>trical charge, electrical current, electromagnetic forces</w:t>
            </w:r>
          </w:p>
          <w:p w:rsidR="00000000" w:rsidRPr="000B4CBD" w:rsidP="000B4CBD">
            <w:pPr>
              <w:pStyle w:val="ListBullet"/>
            </w:pPr>
            <w:r w:rsidRPr="000B4CBD">
              <w:t>Nature of electrical current and change - basic rules of electrical current flow</w:t>
            </w:r>
          </w:p>
          <w:p w:rsidR="00000000" w:rsidRPr="000B4CBD" w:rsidP="000B4CBD">
            <w:pPr>
              <w:pStyle w:val="ListBullet"/>
            </w:pPr>
            <w:r w:rsidRPr="000B4CBD">
              <w:t>Sources of Electricity: basic fundaments of alternating current, direct current and single EMF source (induction)</w:t>
            </w:r>
          </w:p>
          <w:p w:rsidR="00000000" w:rsidRPr="000B4CBD" w:rsidP="000B4CBD">
            <w:pPr>
              <w:pStyle w:val="ListBullet"/>
            </w:pPr>
            <w:r w:rsidRPr="000B4CBD">
              <w:t>A s</w:t>
            </w:r>
            <w:r w:rsidRPr="000B4CBD">
              <w:t>imple circuit - circuit protection devices used on the network, effects of an open circuit, a closed circuit and a short circuit and earthing – using the ground as a form of conductor to return current back to a source</w:t>
            </w:r>
          </w:p>
          <w:p w:rsidR="00000000" w:rsidRPr="000B4CBD" w:rsidP="000B4CBD">
            <w:pPr>
              <w:pStyle w:val="ListBullet"/>
            </w:pPr>
            <w:r w:rsidRPr="000B4CBD">
              <w:t>Resistance - relationship between vol</w:t>
            </w:r>
            <w:r w:rsidRPr="000B4CBD">
              <w:t>tage and current and resistance (Ohms Law)</w:t>
            </w:r>
          </w:p>
          <w:p w:rsidR="00000000" w:rsidRPr="000B4CBD" w:rsidP="000B4CBD">
            <w:pPr>
              <w:pStyle w:val="ListBullet"/>
            </w:pPr>
            <w:r w:rsidRPr="000B4CBD">
              <w:t>Effects of current - physiological effects and protection for physiological effects; basic principle by which electrical current can result in the production of heat, light and electromagnetic fields and typical e</w:t>
            </w:r>
            <w:r w:rsidRPr="000B4CBD">
              <w:t>ffects of current.</w:t>
            </w:r>
          </w:p>
          <w:p w:rsidR="00000000" w:rsidRPr="000B4CBD" w:rsidP="000B4CBD">
            <w:pPr>
              <w:pStyle w:val="ListBullet"/>
            </w:pPr>
            <w:r w:rsidRPr="000B4CBD">
              <w:t>Three phase and single phase power systems: star delta configurations, three phase star connections, relationship between line and phase voltages, three phase 4 wire systems - purpose of the neutral</w:t>
            </w:r>
          </w:p>
          <w:p w:rsidR="00000000" w:rsidRPr="000B4CBD" w:rsidP="000B4CBD">
            <w:pPr>
              <w:pStyle w:val="ListBullet"/>
            </w:pPr>
            <w:r w:rsidRPr="000B4CBD">
              <w:t>Consequences of short circuits - arc f</w:t>
            </w:r>
            <w:r w:rsidRPr="000B4CBD">
              <w:t>lash, ESI Protection schemes</w:t>
            </w:r>
          </w:p>
          <w:p w:rsidR="00000000" w:rsidRPr="000B4CBD" w:rsidP="000B4CBD">
            <w:pPr>
              <w:pStyle w:val="ListBullet"/>
            </w:pPr>
            <w:r w:rsidRPr="000B4CBD">
              <w:t>Magnetism - magnetic field patterns, concepts of electromagnetism, effects of electromagnetism and magnetic fields around straight conductors</w:t>
            </w:r>
          </w:p>
          <w:p w:rsidR="00000000" w:rsidRPr="000B4CBD" w:rsidP="000B4CBD">
            <w:pPr>
              <w:pStyle w:val="ListBullet"/>
            </w:pPr>
            <w:r w:rsidRPr="000B4CBD">
              <w:t>Hazards encountered in an ESI environment - touch and step potentials, electric shock, fire, chemicals, falls, safe use of tools and equipment.</w:t>
            </w:r>
          </w:p>
          <w:p w:rsidR="00000000" w:rsidRPr="000B4CBD" w:rsidP="000B4CBD">
            <w:pPr>
              <w:pStyle w:val="BodyText"/>
            </w:pPr>
            <w:r w:rsidRPr="000B4CBD">
              <w:t>T2</w:t>
            </w:r>
            <w:r w:rsidRPr="000B4CBD">
              <w:tab/>
              <w:t>Transmission, distribution and rail power systems encompassing:</w:t>
            </w:r>
          </w:p>
          <w:p w:rsidR="00000000" w:rsidRPr="000B4CBD" w:rsidP="000B4CBD">
            <w:pPr>
              <w:pStyle w:val="ListBullet"/>
            </w:pPr>
            <w:r w:rsidRPr="000B4CBD">
              <w:t>Relationship between the transmission, distr</w:t>
            </w:r>
            <w:r w:rsidRPr="000B4CBD">
              <w:t>ibution and rail/tram system within an overall power system - different organisations responsible for generation, transmission, distribution and rail/tram and, how they correlate and their functions</w:t>
            </w:r>
          </w:p>
          <w:p w:rsidR="00000000" w:rsidRPr="000B4CBD" w:rsidP="000B4CBD">
            <w:pPr>
              <w:pStyle w:val="ListBullet"/>
            </w:pPr>
            <w:r w:rsidRPr="000B4CBD">
              <w:t>Characteristics of a transmission, a distribution and a r</w:t>
            </w:r>
            <w:r w:rsidRPr="000B4CBD">
              <w:t>ail system - principal components, typical voltage levels and methods of transmission and distribution including grid type transmission systems, radial, parallel and ring main feeders</w:t>
            </w:r>
          </w:p>
          <w:p w:rsidR="00000000" w:rsidRPr="000B4CBD" w:rsidP="000B4CBD">
            <w:pPr>
              <w:pStyle w:val="ListBullet"/>
            </w:pPr>
            <w:r w:rsidRPr="000B4CBD">
              <w:t>Relationship between an overhead and underground supply systems within a</w:t>
            </w:r>
            <w:r w:rsidRPr="000B4CBD">
              <w:t>n overall power system - advantages/disadvantages, applications.</w:t>
            </w:r>
          </w:p>
          <w:p w:rsidR="00000000" w:rsidRPr="000B4CBD" w:rsidP="000B4CBD">
            <w:pPr>
              <w:pStyle w:val="ListBullet"/>
            </w:pPr>
            <w:r w:rsidRPr="000B4CBD">
              <w:t>Single line drawings and layouts - drawings and layouts of transmission and distribution systems including, radial, parallel and ring main feeders and the HV equipment associated with substat</w:t>
            </w:r>
            <w:r w:rsidRPr="000B4CBD">
              <w:t>ions</w:t>
            </w:r>
          </w:p>
          <w:p w:rsidR="00000000" w:rsidRPr="000B4CBD" w:rsidP="000B4CBD">
            <w:pPr>
              <w:pStyle w:val="BodyText"/>
            </w:pPr>
            <w:r w:rsidRPr="000B4CBD">
              <w:t>T3</w:t>
            </w:r>
            <w:r w:rsidRPr="000B4CBD">
              <w:tab/>
              <w:t>Fundamentals for working safely near live electrical apparatus for non-electrical worker encompassing:</w:t>
            </w:r>
          </w:p>
          <w:p w:rsidR="00000000" w:rsidRPr="000B4CBD" w:rsidP="000B4CBD">
            <w:pPr>
              <w:pStyle w:val="ListBullet"/>
            </w:pPr>
            <w:r w:rsidRPr="000B4CBD">
              <w:t>Standards, guidelines/codes of practice, State/Territory/local government legislation, supply authority regulations and or enterprise requiremen</w:t>
            </w:r>
            <w:r w:rsidRPr="000B4CBD">
              <w:t>ts including relevant certification and licensing, applicable to working safely up to the defined “safe working zone” near energised electrical apparatus (inc. electrical powerlines) for non-electrical worker</w:t>
            </w:r>
          </w:p>
          <w:p w:rsidR="00000000" w:rsidRPr="000B4CBD" w:rsidP="000B4CBD">
            <w:pPr>
              <w:pStyle w:val="ListBullet"/>
            </w:pPr>
            <w:r w:rsidRPr="000B4CBD">
              <w:t>Definitions of terminologies - ‘safe working zo</w:t>
            </w:r>
            <w:r w:rsidRPr="000B4CBD">
              <w:t>ne’, ‘risk assessment’, ‘safe approach distances zones’, ‘safe working distances’,’ work permits’, access authorisation permits’, ‘Technical standards’, ‘isolation procedures’ and compliance requirements’</w:t>
            </w:r>
          </w:p>
          <w:p w:rsidR="00000000" w:rsidRPr="000B4CBD" w:rsidP="000B4CBD">
            <w:pPr>
              <w:pStyle w:val="ListBullet"/>
            </w:pPr>
            <w:r w:rsidRPr="000B4CBD">
              <w:t>OHS policies and procedures for working safely - du</w:t>
            </w:r>
            <w:r w:rsidRPr="000B4CBD">
              <w:t>ties of a safety observer, permit to work systems and isolation procedures, safe application of different types of tools and equipment and operation of mobile plant and machinery (e.g. EWP) near live electrical apparatus</w:t>
            </w:r>
          </w:p>
          <w:p w:rsidR="00000000" w:rsidRPr="000B4CBD" w:rsidP="000B4CBD">
            <w:pPr>
              <w:pStyle w:val="ListBullet"/>
            </w:pPr>
            <w:r w:rsidRPr="000B4CBD">
              <w:t>Techniques and precautions in under</w:t>
            </w:r>
            <w:r w:rsidRPr="000B4CBD">
              <w:t>taking different work functions and working safely up to the defined “safe working zone” near energised electrical apparatus (inc. electrical powerlines) for non-electrical worker (work functions that may be performed include, vegetation control, scaffoldi</w:t>
            </w:r>
            <w:r w:rsidRPr="000B4CBD">
              <w:t>ng, rigging, painting, and/or any other activity that requires working safely near live electrical apparatus by a non-electrical worker)</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10" w:name="O_455708"/>
      <w:bookmarkEnd w:id="10"/>
      <w:r w:rsidRPr="000B4CBD">
        <w:t>Evidence Guide</w:t>
      </w:r>
    </w:p>
    <w:tbl>
      <w:tblPr>
        <w:tblW w:w="0" w:type="auto"/>
        <w:tblLayout w:type="fixed"/>
        <w:tblCellMar>
          <w:left w:w="62" w:type="dxa"/>
          <w:right w:w="62" w:type="dxa"/>
        </w:tblCellMar>
        <w:tblLook w:val="0000"/>
      </w:tblPr>
      <w:tblGrid>
        <w:gridCol w:w="8460"/>
      </w:tblGrid>
      <w:tr w:rsidTr="004A34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EVIDENCE GUIDE</w:t>
            </w:r>
          </w:p>
        </w:tc>
      </w:tr>
      <w:tr w:rsidTr="004A34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9)</w:t>
            </w:r>
            <w:r w:rsidRPr="000B4CBD">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0B4CBD" w:rsidP="000B4CBD">
            <w:pPr>
              <w:pStyle w:val="BodyText"/>
            </w:pPr>
            <w:r w:rsidRPr="000B4CBD">
              <w:t>The Evidenc</w:t>
            </w:r>
            <w:r w:rsidRPr="000B4CBD">
              <w:t>e Guide forms an integral part of this Competency Standard Unit and shall be used in conjunction with all component parts of this unit and, performed in accordance with the Assessment Guidelines of this Training Package.</w:t>
            </w:r>
          </w:p>
        </w:tc>
      </w:tr>
    </w:tbl>
    <w:p w:rsidR="00000000" w:rsidRPr="000B4CBD" w:rsidP="000B4CBD">
      <w:pPr>
        <w:pStyle w:val="BodyText"/>
      </w:pPr>
    </w:p>
    <w:tbl>
      <w:tblPr>
        <w:tblW w:w="0" w:type="auto"/>
        <w:tblLayout w:type="fixed"/>
        <w:tblCellMar>
          <w:left w:w="62" w:type="dxa"/>
          <w:right w:w="62" w:type="dxa"/>
        </w:tblCellMar>
        <w:tblLook w:val="0000"/>
      </w:tblPr>
      <w:tblGrid>
        <w:gridCol w:w="1890"/>
        <w:gridCol w:w="6570"/>
      </w:tblGrid>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9.1)</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Longitudinal competency development approaches to assessment, such as Profiling, require data to be reliably gathered in a form that can be consistently interpreted over time. This approach is best utilised in Apprenticeship programs and reduces assessment</w:t>
            </w:r>
            <w:r w:rsidRPr="000B4CB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B4CBD">
              <w:t>tency in a realistically simulated work environment. It is recognised that, in some circumstances, assessment in part or full can occur outside the workplace. However, it must be in accord with Industry and, Regulatory policy in this regard.</w:t>
            </w:r>
          </w:p>
          <w:p w:rsidR="00000000" w:rsidRPr="000B4CBD" w:rsidP="000B4CBD">
            <w:pPr>
              <w:pStyle w:val="BodyText"/>
            </w:pPr>
            <w:r w:rsidRPr="000B4CBD">
              <w:t>Methods chosen</w:t>
            </w:r>
            <w:r w:rsidRPr="000B4CB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B4CBD">
              <w:t>equired and the critical nature of the competencies being assessed.</w:t>
            </w:r>
          </w:p>
          <w:p w:rsidR="00000000" w:rsidRPr="000B4CBD" w:rsidP="000B4CBD">
            <w:pPr>
              <w:pStyle w:val="BodyText"/>
            </w:pPr>
            <w:r w:rsidRPr="000B4CBD">
              <w:t>The critical safety nature of working with electricity, electrical equipment, gas or any other hazardous substance/material carries risk in deeming a person competent. Hence, sources of ev</w:t>
            </w:r>
            <w:r w:rsidRPr="000B4CBD">
              <w:t>idence need to be ‘rich’ in nature so as to minimise error in judgment.</w:t>
            </w:r>
          </w:p>
          <w:p w:rsidR="00000000" w:rsidRPr="000B4CBD" w:rsidP="000B4CBD">
            <w:pPr>
              <w:pStyle w:val="BodyText"/>
            </w:pPr>
            <w:r w:rsidRPr="000B4CBD">
              <w:t>Activities associated with normal every day work have a bearing on the decision as to how much and how detailed the data gathered will contribute to its ‘richness’. Some skills are mor</w:t>
            </w:r>
            <w:r w:rsidRPr="000B4CBD">
              <w:t>e critical to safety and operational requirements while the same skills may be more or less frequently practiced. These points are raised for the assessors to consider when choosing an assessment method and developing assessment instruments. Sample assessm</w:t>
            </w:r>
            <w:r w:rsidRPr="000B4CBD">
              <w:t>ent instruments are included for Assessors in the Assessment Guidelines of this Training Package.</w:t>
            </w:r>
          </w:p>
        </w:tc>
      </w:tr>
    </w:tbl>
    <w:p w:rsidR="00000000" w:rsidRPr="000B4CBD" w:rsidP="000B4CB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9.2)</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Before the critical aspects of evidence are considered all prerequisi</w:t>
            </w:r>
            <w:r w:rsidRPr="000B4CBD">
              <w:t>tes shall be met.</w:t>
            </w:r>
          </w:p>
          <w:p w:rsidR="00000000" w:rsidRPr="000B4CBD" w:rsidP="000B4CBD">
            <w:pPr>
              <w:pStyle w:val="BodyText"/>
            </w:pPr>
            <w:r w:rsidRPr="000B4CBD">
              <w:t>Evidence for competence in this unit shall be considered holistically. Each element and associated Performance Criteria shall be demonstrated on at least two occasions in accordance with the “Assessment Guidelines – UET12”. Evidence shall</w:t>
            </w:r>
            <w:r w:rsidRPr="000B4CBD">
              <w:t xml:space="preserve"> also comprise:</w:t>
            </w:r>
          </w:p>
          <w:p w:rsidR="00000000" w:rsidRPr="000B4CBD" w:rsidP="000B4CBD">
            <w:pPr>
              <w:pStyle w:val="ListBullet"/>
            </w:pPr>
            <w:r w:rsidRPr="000B4CBD">
              <w:t xml:space="preserve">A representative body of Performance Criteria demonstrated within the timeframes </w:t>
            </w:r>
            <w:r w:rsidRPr="000B4CBD">
              <w:t>typically expected of the discipline, work function and industrial environment. In particular this shall incorporate evidence that shows a candidate is able to:</w:t>
            </w:r>
          </w:p>
          <w:p w:rsidR="00000000" w:rsidRPr="000B4CBD" w:rsidP="000B4CBD">
            <w:pPr>
              <w:pStyle w:val="ListBullet2"/>
            </w:pPr>
            <w:r w:rsidRPr="000B4CBD">
              <w:t xml:space="preserve">Implement Occupational Health and Safety workplace procedures and practices including the use </w:t>
            </w:r>
            <w:r w:rsidRPr="000B4CBD">
              <w:t>of risk control measures as specified in the Performance Criteria and range; and</w:t>
            </w:r>
          </w:p>
          <w:p w:rsidR="00000000" w:rsidRPr="000B4CBD" w:rsidP="000B4CBD">
            <w:pPr>
              <w:pStyle w:val="ListBullet2"/>
            </w:pPr>
            <w:r w:rsidRPr="000B4CBD">
              <w:t>Apply sustainable energy principles and practices as specified in the Performance Criteria and range; and</w:t>
            </w:r>
          </w:p>
          <w:p w:rsidR="00000000" w:rsidRPr="000B4CBD" w:rsidP="000B4CBD">
            <w:pPr>
              <w:pStyle w:val="ListBullet2"/>
            </w:pPr>
            <w:r w:rsidRPr="000B4CBD">
              <w:t>Demonstrate an understanding of the essential knowledge and associate</w:t>
            </w:r>
            <w:r w:rsidRPr="000B4CBD">
              <w:t>d skills as described in this unit to such an extent that the learner’s performance outcome is reported in accordance with the preferred approach; namely a percentile graded result, where required by the regulated environment; and</w:t>
            </w:r>
          </w:p>
          <w:p w:rsidR="00000000" w:rsidRPr="000B4CBD" w:rsidP="000B4CBD">
            <w:pPr>
              <w:pStyle w:val="ListBullet2"/>
            </w:pPr>
            <w:r w:rsidRPr="000B4CBD">
              <w:t>Demonstrate an appropriat</w:t>
            </w:r>
            <w:r w:rsidRPr="000B4CBD">
              <w:t>e level of employability skills; and</w:t>
            </w:r>
          </w:p>
          <w:p w:rsidR="00000000" w:rsidRPr="000B4CBD" w:rsidP="000B4CBD">
            <w:pPr>
              <w:pStyle w:val="ListBullet2"/>
            </w:pPr>
            <w:r w:rsidRPr="000B4CBD">
              <w:t>Conduct work observing the relevant Anti Discrimination legislation, regulations, policies and workplace procedures; and</w:t>
            </w:r>
          </w:p>
          <w:p w:rsidR="00000000" w:rsidP="000B4CBD">
            <w:pPr>
              <w:pStyle w:val="ListBullet"/>
              <w:rPr>
                <w:lang w:val="en-NZ"/>
              </w:rPr>
            </w:pPr>
            <w:r w:rsidRPr="000B4CBD">
              <w:t>Demonstrated performance across a representative range of contexts from the prescribed items belo</w:t>
            </w:r>
            <w:r w:rsidRPr="000B4CBD">
              <w:t>w:</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B4CB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rPr>
                <w:rStyle w:val="SpecialBold"/>
              </w:rPr>
              <w:t>Range of tools/equipment/materials/procedures/workplaces/other variables</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B4CB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BD" w:rsidP="000B4CBD">
            <w:pPr>
              <w:pStyle w:val="BodyText"/>
            </w:pPr>
            <w:r w:rsidRPr="000B4CB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BD" w:rsidP="000B4CBD">
            <w:pPr>
              <w:pStyle w:val="BodyText"/>
            </w:pPr>
            <w:r w:rsidRPr="000B4CB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rPr>
                <w:rStyle w:val="SpecialBold"/>
              </w:rPr>
              <w:t>Item List</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BD" w:rsidP="000B4CBD">
            <w:pPr>
              <w:pStyle w:val="BodyText"/>
            </w:pPr>
            <w:r w:rsidRPr="000B4CBD">
              <w:t>Confirmation of the "safe working zone" for Safe work and access near live Electrical Apparatus</w:t>
            </w:r>
          </w:p>
          <w:p w:rsidR="00000000" w:rsidRPr="000B4CBD" w:rsidP="000B4CBD">
            <w:pPr>
              <w:pStyle w:val="BodyText"/>
            </w:pPr>
            <w:r w:rsidRPr="000B4CBD">
              <w:t>Identification of the relevant technical standards. Acts, regulations and codes/guidelines</w:t>
            </w:r>
          </w:p>
          <w:p w:rsidR="00000000" w:rsidP="000B4CBD">
            <w:pPr>
              <w:pStyle w:val="BodyText"/>
              <w:rPr>
                <w:lang w:val="en-NZ"/>
              </w:rPr>
            </w:pPr>
            <w:r w:rsidRPr="000B4CBD">
              <w:t>Identification of established (Enterprise) procedures</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All of the</w:t>
            </w:r>
            <w:r w:rsidRPr="000B4CBD">
              <w:t xml:space="preserv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BD" w:rsidP="000B4CBD">
            <w:pPr>
              <w:pStyle w:val="BodyText"/>
            </w:pPr>
            <w:r w:rsidRPr="000B4CBD">
              <w:t>Confirmation of the principles of electricity, the three phase power system, electric shock and resuscitation, power system</w:t>
            </w:r>
          </w:p>
          <w:p w:rsidR="00000000" w:rsidRPr="000B4CBD" w:rsidP="000B4CBD">
            <w:pPr>
              <w:pStyle w:val="BodyText"/>
            </w:pPr>
            <w:r w:rsidRPr="000B4CBD">
              <w:t>Recognition of aerial voltage systems</w:t>
            </w:r>
          </w:p>
          <w:p w:rsidR="00000000" w:rsidRPr="000B4CBD" w:rsidP="000B4CBD">
            <w:pPr>
              <w:pStyle w:val="BodyText"/>
            </w:pPr>
            <w:r w:rsidRPr="000B4CBD">
              <w:t xml:space="preserve">Identification of Low </w:t>
            </w:r>
            <w:r w:rsidRPr="000B4CBD">
              <w:t>Voltage Aerial Circuits</w:t>
            </w:r>
          </w:p>
          <w:p w:rsidR="00000000" w:rsidP="000B4CBD">
            <w:pPr>
              <w:pStyle w:val="BodyText"/>
              <w:rPr>
                <w:lang w:val="en-NZ"/>
              </w:rPr>
            </w:pPr>
            <w:r w:rsidRPr="000B4CBD">
              <w:t>Identification of High Voltage</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BD" w:rsidP="000B4CBD">
            <w:pPr>
              <w:pStyle w:val="BodyText"/>
            </w:pPr>
            <w:r w:rsidRPr="000B4CBD">
              <w:t>Procedures in the event of an incident</w:t>
            </w:r>
          </w:p>
          <w:p w:rsidR="00000000" w:rsidRPr="000B4CBD" w:rsidP="000B4CBD">
            <w:pPr>
              <w:pStyle w:val="BodyText"/>
            </w:pPr>
            <w:r w:rsidRPr="000B4CBD">
              <w:t>Events constituting an incident</w:t>
            </w:r>
          </w:p>
          <w:p w:rsidR="00000000" w:rsidRPr="000B4CBD" w:rsidP="000B4CBD">
            <w:pPr>
              <w:pStyle w:val="BodyText"/>
            </w:pPr>
            <w:r w:rsidRPr="000B4CBD">
              <w:t>Procedures for responding to incidents</w:t>
            </w:r>
          </w:p>
          <w:p w:rsidR="00000000" w:rsidRPr="000B4CBD" w:rsidP="000B4CBD">
            <w:pPr>
              <w:pStyle w:val="BodyText"/>
            </w:pPr>
            <w:r w:rsidRPr="000B4CBD">
              <w:t>Hazard and risk assessment procedure</w:t>
            </w:r>
          </w:p>
          <w:p w:rsidR="00000000" w:rsidRPr="000B4CBD" w:rsidP="000B4CBD">
            <w:pPr>
              <w:pStyle w:val="BodyText"/>
            </w:pPr>
            <w:r w:rsidRPr="000B4CBD">
              <w:t>Conduct Work-site Hazard Assessment</w:t>
            </w:r>
          </w:p>
          <w:p w:rsidR="00000000" w:rsidRPr="000B4CBD" w:rsidP="000B4CBD">
            <w:pPr>
              <w:pStyle w:val="BodyText"/>
            </w:pPr>
            <w:r w:rsidRPr="000B4CBD">
              <w:t xml:space="preserve">Confirmation of essential components of </w:t>
            </w:r>
            <w:r w:rsidRPr="000B4CBD">
              <w:t>Hazard Assessment Checks</w:t>
            </w:r>
          </w:p>
          <w:p w:rsidR="00000000" w:rsidRPr="000B4CBD" w:rsidP="000B4CBD">
            <w:pPr>
              <w:pStyle w:val="BodyText"/>
            </w:pPr>
            <w:r w:rsidRPr="000B4CBD">
              <w:t>Applying Hazard Identification in Electrical Work</w:t>
            </w:r>
          </w:p>
          <w:p w:rsidR="00000000" w:rsidRPr="000B4CBD" w:rsidP="000B4CBD">
            <w:pPr>
              <w:pStyle w:val="BodyText"/>
            </w:pPr>
            <w:r w:rsidRPr="000B4CBD">
              <w:t>Confirmation of the Basic Safety Principles for Work on Electrical works</w:t>
            </w:r>
          </w:p>
          <w:p w:rsidR="00000000" w:rsidRPr="000B4CBD" w:rsidP="000B4CBD">
            <w:pPr>
              <w:pStyle w:val="BodyText"/>
            </w:pPr>
            <w:r w:rsidRPr="000B4CBD">
              <w:t>Hazard Identification and Risk Assessment</w:t>
            </w:r>
          </w:p>
          <w:p w:rsidR="00000000" w:rsidRPr="000B4CBD" w:rsidP="000B4CBD">
            <w:pPr>
              <w:pStyle w:val="BodyText"/>
            </w:pPr>
            <w:r w:rsidRPr="000B4CBD">
              <w:t>Hazard Control</w:t>
            </w:r>
          </w:p>
          <w:p w:rsidR="00000000" w:rsidRPr="000B4CBD" w:rsidP="000B4CBD">
            <w:pPr>
              <w:pStyle w:val="BodyText"/>
            </w:pPr>
            <w:r w:rsidRPr="000B4CBD">
              <w:t>Risk Assessment and Management (JSAs) Control</w:t>
            </w:r>
          </w:p>
          <w:p w:rsidR="00000000" w:rsidP="000B4CBD">
            <w:pPr>
              <w:pStyle w:val="BodyText"/>
              <w:rPr>
                <w:lang w:val="en-NZ"/>
              </w:rPr>
            </w:pPr>
            <w:r w:rsidRPr="000B4CBD">
              <w:t>The H</w:t>
            </w:r>
            <w:r w:rsidRPr="000B4CBD">
              <w:t>ierarchy of Controls including Evaluation, Worksite Hazard and Risk Assessment Checklist, Pre-job Hazard Assessment Check (HAC) Items, Planned Inspection and Pre-Work Hazard Risk Assessment Form</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BD" w:rsidP="000B4CBD">
            <w:pPr>
              <w:pStyle w:val="BodyText"/>
            </w:pPr>
            <w:r w:rsidRPr="000B4CBD">
              <w:t>Use of work permits and/or authorisation permits</w:t>
            </w:r>
          </w:p>
          <w:p w:rsidR="00000000" w:rsidRPr="000B4CBD" w:rsidP="000B4CBD">
            <w:pPr>
              <w:pStyle w:val="BodyText"/>
            </w:pPr>
            <w:r w:rsidRPr="000B4CBD">
              <w:t>Sustainable energy principles and practices</w:t>
            </w:r>
          </w:p>
          <w:p w:rsidR="00000000" w:rsidRPr="000B4CBD" w:rsidP="000B4CBD">
            <w:pPr>
              <w:pStyle w:val="BodyText"/>
            </w:pPr>
            <w:r w:rsidRPr="000B4CBD">
              <w:t>Possible affects of weather conditions on working near electrical apparatus as a non-electrical worker</w:t>
            </w:r>
          </w:p>
          <w:p w:rsidR="00000000" w:rsidP="000B4CBD">
            <w:pPr>
              <w:pStyle w:val="BodyText"/>
              <w:rPr>
                <w:lang w:val="en-NZ"/>
              </w:rPr>
            </w:pPr>
          </w:p>
        </w:tc>
      </w:tr>
      <w:tr w:rsidTr="004A34B3">
        <w:tblPrEx>
          <w:tblW w:w="0" w:type="auto"/>
          <w:tblLayout w:type="fixed"/>
          <w:tblCellMar>
            <w:left w:w="62" w:type="dxa"/>
            <w:right w:w="62" w:type="dxa"/>
          </w:tblCellMar>
          <w:tblLook w:val="0000"/>
        </w:tblPrEx>
        <w:trPr>
          <w:trHeight w:val="199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CBD">
            <w:pPr>
              <w:pStyle w:val="BodyText"/>
              <w:rPr>
                <w:lang w:val="en-NZ"/>
              </w:rPr>
            </w:pPr>
            <w:r w:rsidRPr="000B4CB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CBD" w:rsidP="000B4CBD">
            <w:pPr>
              <w:pStyle w:val="BodyText"/>
            </w:pPr>
            <w:r w:rsidRPr="000B4CBD">
              <w:t xml:space="preserve">Dealing with an unplanned event </w:t>
            </w:r>
            <w:r w:rsidRPr="000B4CBD">
              <w:t>by drawing on essential knowledge and associated skills to provide appropriate solutions incorporated in the holistic assessment with the above listed items.</w:t>
            </w:r>
          </w:p>
        </w:tc>
      </w:tr>
    </w:tbl>
    <w:p w:rsidR="00000000" w:rsidRPr="000B4CBD" w:rsidP="000B4CBD">
      <w:pPr>
        <w:pStyle w:val="BodyText"/>
      </w:pPr>
    </w:p>
    <w:tbl>
      <w:tblPr>
        <w:tblW w:w="0" w:type="auto"/>
        <w:tblLayout w:type="fixed"/>
        <w:tblCellMar>
          <w:left w:w="62" w:type="dxa"/>
          <w:right w:w="62" w:type="dxa"/>
        </w:tblCellMar>
        <w:tblLook w:val="0000"/>
      </w:tblPr>
      <w:tblGrid>
        <w:gridCol w:w="1890"/>
        <w:gridCol w:w="6570"/>
      </w:tblGrid>
      <w:tr w:rsidTr="004A34B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9.3)</w:t>
            </w:r>
          </w:p>
        </w:tc>
      </w:tr>
      <w:tr w:rsidTr="004A34B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This unit should be assessed as it relates to normal work practice using procedures, information and resources typical of a workplace. This should include:</w:t>
            </w:r>
          </w:p>
          <w:p w:rsidR="00000000" w:rsidRPr="000B4CBD" w:rsidP="000B4CBD">
            <w:pPr>
              <w:pStyle w:val="ListBullet"/>
            </w:pPr>
            <w:r w:rsidRPr="000B4CBD">
              <w:t>OHS policy and work procedures and instructions.</w:t>
            </w:r>
          </w:p>
          <w:p w:rsidR="00000000" w:rsidRPr="000B4CBD" w:rsidP="000B4CBD">
            <w:pPr>
              <w:pStyle w:val="ListBullet"/>
            </w:pPr>
            <w:r w:rsidRPr="000B4CBD">
              <w:t>Suitable work environment, facilities, equipment and materials to safely undertake actual work near live electrical apparatus</w:t>
            </w:r>
          </w:p>
          <w:p w:rsidR="00000000" w:rsidRPr="000B4CBD" w:rsidP="000B4CBD">
            <w:pPr>
              <w:pStyle w:val="BodyText"/>
            </w:pPr>
            <w:r w:rsidRPr="000B4CBD">
              <w:t xml:space="preserve">In addition to the resources listed above, in context of and specific resources for assessment, evidence should show demonstrated </w:t>
            </w:r>
            <w:r w:rsidRPr="000B4CBD">
              <w:t xml:space="preserve">competency working below ground, in limited spaces, with different structural/construction types and method and in a variety of environments. </w:t>
            </w:r>
          </w:p>
        </w:tc>
      </w:tr>
    </w:tbl>
    <w:p w:rsidR="00000000" w:rsidRPr="000B4CBD" w:rsidP="000B4CBD">
      <w:pPr>
        <w:pStyle w:val="BodyText"/>
      </w:pPr>
    </w:p>
    <w:tbl>
      <w:tblPr>
        <w:tblW w:w="0" w:type="auto"/>
        <w:tblLayout w:type="fixed"/>
        <w:tblCellMar>
          <w:left w:w="62" w:type="dxa"/>
          <w:right w:w="62" w:type="dxa"/>
        </w:tblCellMar>
        <w:tblLook w:val="0000"/>
      </w:tblPr>
      <w:tblGrid>
        <w:gridCol w:w="1890"/>
        <w:gridCol w:w="6570"/>
      </w:tblGrid>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9.4)</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 xml:space="preserve">This </w:t>
            </w:r>
            <w:r w:rsidRPr="000B4CBD">
              <w:t>Competency Standard Unit shall be assessed by methods given in Volume 1, Part 3 “Assessment Guidelines”.</w:t>
            </w:r>
          </w:p>
          <w:p w:rsidR="00000000" w:rsidRPr="000B4CBD" w:rsidP="000B4CBD">
            <w:pPr>
              <w:pStyle w:val="BodyText"/>
            </w:pPr>
            <w:r w:rsidRPr="000B4CBD">
              <w:t>Note:</w:t>
            </w:r>
          </w:p>
          <w:p w:rsidR="00000000" w:rsidRPr="000B4CBD" w:rsidP="000B4CBD">
            <w:pPr>
              <w:pStyle w:val="BodyText"/>
            </w:pPr>
            <w:r w:rsidRPr="000B4CBD">
              <w:t>Competent performance with inherent safe working practices is expected in the Industry to which this Competency Standard Unit applies. This requi</w:t>
            </w:r>
            <w:r w:rsidRPr="000B4CBD">
              <w:t>res that the specified essential knowledge and associated skills are assessed in a structured environment which is primarily intended for learning/assessment and incorporates all necessary equipment and facilities for learners to develop and demonstrate th</w:t>
            </w:r>
            <w:r w:rsidRPr="000B4CBD">
              <w:t>e essential knowledge and associated skills described in this unit.</w:t>
            </w:r>
          </w:p>
        </w:tc>
      </w:tr>
    </w:tbl>
    <w:p w:rsidR="00000000" w:rsidRPr="000B4CBD" w:rsidP="000B4CBD">
      <w:pPr>
        <w:pStyle w:val="BodyText"/>
      </w:pPr>
    </w:p>
    <w:tbl>
      <w:tblPr>
        <w:tblW w:w="0" w:type="auto"/>
        <w:tblLayout w:type="fixed"/>
        <w:tblCellMar>
          <w:left w:w="62" w:type="dxa"/>
          <w:right w:w="62" w:type="dxa"/>
        </w:tblCellMar>
        <w:tblLook w:val="0000"/>
      </w:tblPr>
      <w:tblGrid>
        <w:gridCol w:w="1890"/>
        <w:gridCol w:w="6570"/>
      </w:tblGrid>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9.5)</w:t>
            </w:r>
          </w:p>
        </w:tc>
      </w:tr>
      <w:tr w:rsidTr="004A34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 xml:space="preserve">For optimisation of training and assessment effort, competence in this unit is not recommended to be assessed concurrently </w:t>
            </w:r>
            <w:r w:rsidRPr="000B4CBD">
              <w:t>with any other unit.</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11" w:name="O_455712"/>
      <w:bookmarkEnd w:id="11"/>
      <w:r w:rsidRPr="000B4CBD">
        <w:t>Range Statement</w:t>
      </w:r>
    </w:p>
    <w:tbl>
      <w:tblPr>
        <w:tblW w:w="0" w:type="auto"/>
        <w:tblLayout w:type="fixed"/>
        <w:tblCellMar>
          <w:left w:w="62" w:type="dxa"/>
          <w:right w:w="62" w:type="dxa"/>
        </w:tblCellMar>
        <w:tblLook w:val="0000"/>
      </w:tblPr>
      <w:tblGrid>
        <w:gridCol w:w="8460"/>
      </w:tblGrid>
      <w:tr w:rsidTr="004A34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RANGE STATEMENT</w:t>
            </w:r>
          </w:p>
        </w:tc>
      </w:tr>
      <w:tr w:rsidTr="004A34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10)</w:t>
            </w:r>
            <w:r w:rsidRPr="000B4CBD">
              <w:t xml:space="preserve"> This relates to the competency standard unit as a whole providing the range of contexts and </w:t>
            </w:r>
            <w:r w:rsidRPr="000B4CBD">
              <w:t>conditions to which the Performance Criteria apply. It allows for different work environments and situations that will affect performance.</w:t>
            </w:r>
          </w:p>
          <w:p w:rsidR="00000000" w:rsidRPr="000B4CBD" w:rsidP="000B4CBD">
            <w:pPr>
              <w:pStyle w:val="BodyText"/>
            </w:pPr>
            <w:r w:rsidRPr="000B4CBD">
              <w:t>This Competency Standard Unit shall be demonstrated in relation to safe working so defined by relevant State or Terri</w:t>
            </w:r>
            <w:r w:rsidRPr="000B4CBD">
              <w:t>tory regulatory agencies/bodies, local government legislation, Industry bi-partite body – Guidelines/Codes of Practices or other related requirements for Safe work and access near live Electrical Apparatus.</w:t>
            </w:r>
          </w:p>
          <w:p w:rsidR="00000000" w:rsidRPr="000B4CBD" w:rsidP="000B4CBD">
            <w:pPr>
              <w:pStyle w:val="BodyText"/>
            </w:pPr>
            <w:r w:rsidRPr="000B4CBD">
              <w:t>Work functions that may be performed, such as veg</w:t>
            </w:r>
            <w:r w:rsidRPr="000B4CBD">
              <w:t>etation control, operation of cranes, elevating work platforms, excavators, concrete pumps etc, scaffolding, rigging, painting, and/or any other activity that requires working safely and complying with requirements and/or established procedures near live e</w:t>
            </w:r>
            <w:r w:rsidRPr="000B4CBD">
              <w:t>lectrical apparatus by a non-electrical worker/</w:t>
            </w:r>
          </w:p>
          <w:p w:rsidR="00000000" w:rsidRPr="000B4CBD" w:rsidP="000B4CBD">
            <w:pPr>
              <w:pStyle w:val="BodyText"/>
            </w:pPr>
            <w:r w:rsidRPr="000B4CBD">
              <w:t>Working safely up to the defined “safe working zone” near energised electrical apparatus (inc. electrical powerlines) for non-electrical worker including an understanding of risk assessment control measures t</w:t>
            </w:r>
            <w:r w:rsidRPr="000B4CBD">
              <w:t xml:space="preserve">hat encompass job safety assessment but excluding any work that is or may be performed by other competent operatives within the defined “safe working zone”. </w:t>
            </w:r>
          </w:p>
          <w:p w:rsidR="00000000" w:rsidRPr="000B4CBD" w:rsidP="000B4CBD">
            <w:pPr>
              <w:pStyle w:val="BodyText"/>
            </w:pPr>
            <w:r w:rsidRPr="000B4CBD">
              <w:t>Safe use of plant, equipment and tools within electrical environments including but not limited by</w:t>
            </w:r>
            <w:r w:rsidRPr="000B4CBD">
              <w:t xml:space="preserve"> the electricity supply infrastructure assets, infrastructure constructions and excavations including an understanding of safe approach distances zones/Safe Working Clearance, work permit(s) and/or access authorisation permits, technical standards and Indu</w:t>
            </w:r>
            <w:r w:rsidRPr="000B4CBD">
              <w:t>stry Guidelines, rural applications, road construction, pavements and effect of inclement weather</w:t>
            </w:r>
          </w:p>
          <w:p w:rsidR="00000000" w:rsidRPr="000B4CBD" w:rsidP="000B4CBD">
            <w:pPr>
              <w:pStyle w:val="BodyText"/>
            </w:pPr>
            <w:r w:rsidRPr="000B4CBD">
              <w:t>The following constants and variables included in the element/Performance Criteria in this unit are fully described in the Definitions Section 1 of this volum</w:t>
            </w:r>
            <w:r w:rsidRPr="000B4CBD">
              <w:t>e and form an integral part of the Range Statement of this unit:</w:t>
            </w:r>
          </w:p>
          <w:p w:rsidR="00000000" w:rsidRPr="000B4CBD" w:rsidP="000B4CBD">
            <w:pPr>
              <w:pStyle w:val="ListBullet3"/>
            </w:pPr>
            <w:r w:rsidRPr="000B4CBD">
              <w:t>Appropriate and relevant persons</w:t>
            </w:r>
          </w:p>
          <w:p w:rsidR="00000000" w:rsidRPr="000B4CBD" w:rsidP="000B4CBD">
            <w:pPr>
              <w:pStyle w:val="ListBullet3"/>
            </w:pPr>
            <w:r w:rsidRPr="000B4CBD">
              <w:t xml:space="preserve">Appropriate authorities </w:t>
            </w:r>
          </w:p>
          <w:p w:rsidR="00000000" w:rsidRPr="000B4CBD" w:rsidP="000B4CBD">
            <w:pPr>
              <w:pStyle w:val="ListBullet3"/>
            </w:pPr>
            <w:r w:rsidRPr="000B4CBD">
              <w:t>Assessing risk</w:t>
            </w:r>
          </w:p>
          <w:p w:rsidR="00000000" w:rsidRPr="000B4CBD" w:rsidP="000B4CBD">
            <w:pPr>
              <w:pStyle w:val="ListBullet3"/>
            </w:pPr>
            <w:r w:rsidRPr="000B4CBD">
              <w:t>Authorisation</w:t>
            </w:r>
          </w:p>
          <w:p w:rsidR="00000000" w:rsidRPr="000B4CBD" w:rsidP="000B4CBD">
            <w:pPr>
              <w:pStyle w:val="ListBullet3"/>
            </w:pPr>
            <w:r w:rsidRPr="000B4CBD">
              <w:t>Drawings and specifications</w:t>
            </w:r>
          </w:p>
          <w:p w:rsidR="00000000" w:rsidRPr="000B4CBD" w:rsidP="000B4CBD">
            <w:pPr>
              <w:pStyle w:val="ListBullet3"/>
            </w:pPr>
            <w:r w:rsidRPr="000B4CBD">
              <w:t>Emergency</w:t>
            </w:r>
          </w:p>
          <w:p w:rsidR="00000000" w:rsidRPr="000B4CBD" w:rsidP="000B4CBD">
            <w:pPr>
              <w:pStyle w:val="ListBullet3"/>
            </w:pPr>
            <w:r w:rsidRPr="000B4CBD">
              <w:t>Established procedures</w:t>
            </w:r>
          </w:p>
          <w:p w:rsidR="00000000" w:rsidRPr="000B4CBD" w:rsidP="000B4CBD">
            <w:pPr>
              <w:pStyle w:val="ListBullet3"/>
            </w:pPr>
            <w:r w:rsidRPr="000B4CBD">
              <w:t>Hazards</w:t>
            </w:r>
          </w:p>
          <w:p w:rsidR="00000000" w:rsidRPr="000B4CBD" w:rsidP="000B4CBD">
            <w:pPr>
              <w:pStyle w:val="ListBullet3"/>
            </w:pPr>
            <w:r w:rsidRPr="000B4CBD">
              <w:t>Identifying hazards</w:t>
            </w:r>
          </w:p>
          <w:p w:rsidR="00000000" w:rsidRPr="000B4CBD" w:rsidP="000B4CBD">
            <w:pPr>
              <w:pStyle w:val="ListBullet3"/>
            </w:pPr>
            <w:r w:rsidRPr="000B4CBD">
              <w:t>Legislation</w:t>
            </w:r>
          </w:p>
          <w:p w:rsidR="00000000" w:rsidRPr="000B4CBD" w:rsidP="000B4CBD">
            <w:pPr>
              <w:pStyle w:val="ListBullet3"/>
            </w:pPr>
            <w:r w:rsidRPr="000B4CBD">
              <w:t>Notification</w:t>
            </w:r>
          </w:p>
          <w:p w:rsidR="00000000" w:rsidRPr="000B4CBD" w:rsidP="000B4CBD">
            <w:pPr>
              <w:pStyle w:val="ListBullet3"/>
            </w:pPr>
            <w:r w:rsidRPr="000B4CBD">
              <w:t>OHS practices</w:t>
            </w:r>
          </w:p>
          <w:p w:rsidR="00000000" w:rsidRPr="000B4CBD" w:rsidP="000B4CBD">
            <w:pPr>
              <w:pStyle w:val="ListBullet3"/>
            </w:pPr>
            <w:r w:rsidRPr="000B4CBD">
              <w:t>OHS issues</w:t>
            </w:r>
          </w:p>
          <w:p w:rsidR="00000000" w:rsidRPr="000B4CBD" w:rsidP="000B4CBD">
            <w:pPr>
              <w:pStyle w:val="ListBullet3"/>
            </w:pPr>
            <w:r w:rsidRPr="000B4CBD">
              <w:t>Permits and/or permits to work</w:t>
            </w:r>
          </w:p>
          <w:p w:rsidR="00000000" w:rsidRPr="000B4CBD" w:rsidP="000B4CBD">
            <w:pPr>
              <w:pStyle w:val="ListBullet3"/>
            </w:pPr>
            <w:r w:rsidRPr="000B4CBD">
              <w:t>Work clearance systems</w:t>
            </w:r>
          </w:p>
        </w:tc>
      </w:tr>
    </w:tbl>
    <w:p w:rsidR="00000000" w:rsidRPr="000B4CBD" w:rsidP="000B4CBD">
      <w:pPr>
        <w:pStyle w:val="BodyText"/>
      </w:pPr>
    </w:p>
    <w:p w:rsidR="00000000" w:rsidRPr="000B4CBD" w:rsidP="000B4CBD">
      <w:pPr>
        <w:pStyle w:val="AllowPageBreak"/>
      </w:pPr>
    </w:p>
    <w:p w:rsidR="00000000" w:rsidRPr="000B4CBD" w:rsidP="000B4CBD">
      <w:pPr>
        <w:pStyle w:val="Heading1"/>
      </w:pPr>
      <w:bookmarkStart w:id="12" w:name="O_455715"/>
      <w:bookmarkEnd w:id="12"/>
      <w:r w:rsidRPr="000B4CBD">
        <w:t>Unit Sector(s)</w:t>
      </w:r>
    </w:p>
    <w:p w:rsidR="00000000" w:rsidRPr="000B4CBD" w:rsidP="000B4CBD">
      <w:pPr>
        <w:pStyle w:val="BodyText"/>
      </w:pPr>
      <w:r w:rsidRPr="000B4CBD">
        <w:t>Not applicable.</w:t>
      </w:r>
    </w:p>
    <w:p w:rsidR="00000000" w:rsidRPr="000B4CBD" w:rsidP="000B4CBD">
      <w:pPr>
        <w:pStyle w:val="AllowPageBreak"/>
      </w:pPr>
    </w:p>
    <w:p w:rsidR="00000000" w:rsidRPr="000B4CBD" w:rsidP="000B4CBD">
      <w:pPr>
        <w:pStyle w:val="Heading1"/>
      </w:pPr>
      <w:bookmarkStart w:id="13" w:name="O_455704"/>
      <w:bookmarkEnd w:id="13"/>
      <w:r w:rsidRPr="000B4CBD">
        <w:t>Competency Field</w:t>
      </w:r>
    </w:p>
    <w:tbl>
      <w:tblPr>
        <w:tblW w:w="0" w:type="auto"/>
        <w:tblLayout w:type="fixed"/>
        <w:tblCellMar>
          <w:left w:w="62" w:type="dxa"/>
          <w:right w:w="62" w:type="dxa"/>
        </w:tblCellMar>
        <w:tblLook w:val="0000"/>
      </w:tblPr>
      <w:tblGrid>
        <w:gridCol w:w="2700"/>
        <w:gridCol w:w="5760"/>
      </w:tblGrid>
      <w:tr w:rsidTr="004A34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B4CBD">
            <w:pPr>
              <w:pStyle w:val="BodyText"/>
              <w:rPr>
                <w:lang w:val="en-NZ"/>
              </w:rPr>
            </w:pPr>
            <w:r w:rsidRPr="000B4CBD">
              <w:rPr>
                <w:rStyle w:val="SpecialBold"/>
              </w:rPr>
              <w:t xml:space="preserve">11) </w:t>
            </w:r>
          </w:p>
        </w:tc>
      </w:tr>
      <w:tr w:rsidTr="004A34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CBD" w:rsidP="000B4CBD">
            <w:pPr>
              <w:pStyle w:val="BodyText"/>
            </w:pPr>
            <w:r w:rsidRPr="000B4CBD">
              <w:t>Entry Level – Cross Discipline Units.</w:t>
            </w:r>
          </w:p>
        </w:tc>
      </w:tr>
    </w:tbl>
    <w:p w:rsidR="00000000" w:rsidRPr="000B4CBD" w:rsidP="000B4CBD">
      <w:pPr>
        <w:pStyle w:val="BodyText"/>
      </w:pPr>
    </w:p>
    <w:p w:rsidR="00000000" w:rsidRPr="000B4CBD" w:rsidP="000B4CBD"/>
    <w:sectPr w:rsidSect="000B4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D" w:rsidRPr="004A34B3" w:rsidP="004A3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B3" w:rsidP="000B4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A34B3" w:rsidP="000B4CB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E-OZ Training Standards</w:t>
    </w:r>
    <w:r>
      <w:fldChar w:fldCharType="end"/>
    </w:r>
  </w:p>
  <w:p w:rsidR="004A34B3" w:rsidP="000B4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D" w:rsidRPr="004A34B3" w:rsidP="004A34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B3" w:rsidRPr="002D2AF8" w:rsidP="000B4CBD">
    <w:pPr>
      <w:pStyle w:val="Header"/>
      <w:framePr w:wrap="around"/>
    </w:pPr>
    <w:r>
      <w:fldChar w:fldCharType="begin"/>
    </w:r>
    <w:r>
      <w:instrText xml:space="preserve"> TITLE   \* MERGEFORMAT </w:instrText>
    </w:r>
    <w:r>
      <w:fldChar w:fldCharType="separate"/>
    </w:r>
    <w:r>
      <w:t>UETTDREL14A Working safely near live electrical apparatus as a non-electrical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4A34B3" w:rsidP="000B4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EEB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C5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64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CBD"/>
    <w:pPr>
      <w:spacing w:before="360" w:after="60"/>
      <w:outlineLvl w:val="0"/>
    </w:pPr>
    <w:rPr>
      <w:sz w:val="32"/>
    </w:rPr>
  </w:style>
  <w:style w:type="paragraph" w:styleId="Heading2">
    <w:name w:val="heading 2"/>
    <w:basedOn w:val="HeadingBase"/>
    <w:next w:val="BodyText"/>
    <w:link w:val="Heading2Char"/>
    <w:qFormat/>
    <w:rsid w:val="000B4CBD"/>
    <w:pPr>
      <w:keepLines/>
      <w:spacing w:before="240" w:after="120"/>
      <w:outlineLvl w:val="1"/>
    </w:pPr>
    <w:rPr>
      <w:sz w:val="28"/>
      <w:szCs w:val="40"/>
    </w:rPr>
  </w:style>
  <w:style w:type="paragraph" w:styleId="Heading3">
    <w:name w:val="heading 3"/>
    <w:basedOn w:val="HeadingBase"/>
    <w:next w:val="BodyText"/>
    <w:link w:val="Heading3Char"/>
    <w:qFormat/>
    <w:rsid w:val="000B4CBD"/>
    <w:pPr>
      <w:spacing w:before="180" w:after="120"/>
      <w:outlineLvl w:val="2"/>
    </w:pPr>
    <w:rPr>
      <w:spacing w:val="-10"/>
      <w:kern w:val="32"/>
    </w:rPr>
  </w:style>
  <w:style w:type="paragraph" w:styleId="Heading4">
    <w:name w:val="heading 4"/>
    <w:basedOn w:val="HeadingBase"/>
    <w:next w:val="BodyText"/>
    <w:link w:val="Heading4Char"/>
    <w:qFormat/>
    <w:rsid w:val="000B4CBD"/>
    <w:pPr>
      <w:spacing w:before="160" w:after="120"/>
      <w:outlineLvl w:val="3"/>
    </w:pPr>
    <w:rPr>
      <w:sz w:val="22"/>
    </w:rPr>
  </w:style>
  <w:style w:type="paragraph" w:styleId="Heading5">
    <w:name w:val="heading 5"/>
    <w:basedOn w:val="HeadingBase"/>
    <w:next w:val="Normal"/>
    <w:link w:val="Heading5Char"/>
    <w:qFormat/>
    <w:rsid w:val="000B4CBD"/>
    <w:pPr>
      <w:spacing w:before="80"/>
      <w:outlineLvl w:val="4"/>
    </w:pPr>
    <w:rPr>
      <w:color w:val="918585"/>
      <w:sz w:val="20"/>
    </w:rPr>
  </w:style>
  <w:style w:type="paragraph" w:styleId="Heading6">
    <w:name w:val="heading 6"/>
    <w:basedOn w:val="HeadingBase"/>
    <w:next w:val="Normal"/>
    <w:link w:val="Heading6Char"/>
    <w:qFormat/>
    <w:rsid w:val="000B4CBD"/>
    <w:pPr>
      <w:spacing w:before="60"/>
      <w:outlineLvl w:val="5"/>
    </w:pPr>
    <w:rPr>
      <w:color w:val="918585"/>
      <w:sz w:val="20"/>
    </w:rPr>
  </w:style>
  <w:style w:type="paragraph" w:styleId="Heading7">
    <w:name w:val="heading 7"/>
    <w:basedOn w:val="Normal"/>
    <w:next w:val="Normal"/>
    <w:link w:val="Heading7Char"/>
    <w:qFormat/>
    <w:rsid w:val="000B4CBD"/>
    <w:pPr>
      <w:ind w:left="720"/>
      <w:outlineLvl w:val="6"/>
    </w:pPr>
    <w:rPr>
      <w:i/>
    </w:rPr>
  </w:style>
  <w:style w:type="paragraph" w:styleId="Heading8">
    <w:name w:val="heading 8"/>
    <w:basedOn w:val="Normal"/>
    <w:next w:val="Normal"/>
    <w:link w:val="Heading8Char"/>
    <w:qFormat/>
    <w:rsid w:val="000B4CBD"/>
    <w:pPr>
      <w:ind w:left="720"/>
      <w:outlineLvl w:val="7"/>
    </w:pPr>
    <w:rPr>
      <w:i/>
    </w:rPr>
  </w:style>
  <w:style w:type="paragraph" w:styleId="Heading9">
    <w:name w:val="heading 9"/>
    <w:basedOn w:val="Normal"/>
    <w:next w:val="Normal"/>
    <w:link w:val="Heading9Char"/>
    <w:qFormat/>
    <w:rsid w:val="000B4CBD"/>
    <w:pPr>
      <w:ind w:left="720"/>
      <w:outlineLvl w:val="8"/>
    </w:pPr>
    <w:rPr>
      <w:i/>
    </w:rPr>
  </w:style>
  <w:style w:type="character" w:default="1" w:styleId="DefaultParagraphFont">
    <w:name w:val="Default Paragraph Font"/>
    <w:uiPriority w:val="1"/>
    <w:unhideWhenUsed/>
    <w:rsid w:val="000B4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CBD"/>
  </w:style>
  <w:style w:type="character" w:customStyle="1" w:styleId="Heading1Char">
    <w:name w:val="Heading 1 Char"/>
    <w:basedOn w:val="DefaultParagraphFont"/>
    <w:link w:val="Heading1"/>
    <w:rsid w:val="000B4CBD"/>
    <w:rPr>
      <w:rFonts w:ascii="Times New Roman" w:eastAsia="Times New Roman" w:hAnsi="Times New Roman" w:cs="Times New Roman"/>
      <w:b/>
      <w:sz w:val="32"/>
      <w:szCs w:val="20"/>
      <w:lang w:eastAsia="en-US"/>
    </w:rPr>
  </w:style>
  <w:style w:type="paragraph" w:styleId="BodyText">
    <w:name w:val="Body Text"/>
    <w:basedOn w:val="Normal"/>
    <w:link w:val="BodyTextChar"/>
    <w:rsid w:val="000B4C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CBD"/>
    <w:rPr>
      <w:rFonts w:ascii="Times New Roman" w:eastAsia="Times New Roman" w:hAnsi="Times New Roman" w:cs="Times New Roman"/>
      <w:sz w:val="24"/>
      <w:lang w:eastAsia="en-US"/>
    </w:rPr>
  </w:style>
  <w:style w:type="paragraph" w:styleId="ListBullet">
    <w:name w:val="List Bullet"/>
    <w:basedOn w:val="List"/>
    <w:rsid w:val="000B4CBD"/>
    <w:pPr>
      <w:numPr>
        <w:numId w:val="14"/>
      </w:numPr>
      <w:tabs>
        <w:tab w:val="clear" w:pos="340"/>
      </w:tabs>
      <w:spacing w:before="40" w:after="40"/>
    </w:pPr>
  </w:style>
  <w:style w:type="character" w:customStyle="1" w:styleId="SpecialBold">
    <w:name w:val="Special Bold"/>
    <w:basedOn w:val="DefaultParagraphFont"/>
    <w:rsid w:val="000B4CBD"/>
    <w:rPr>
      <w:b/>
      <w:spacing w:val="0"/>
    </w:rPr>
  </w:style>
  <w:style w:type="paragraph" w:styleId="ListBullet2">
    <w:name w:val="List Bullet 2"/>
    <w:basedOn w:val="List2"/>
    <w:rsid w:val="000B4CBD"/>
    <w:pPr>
      <w:numPr>
        <w:numId w:val="15"/>
      </w:numPr>
      <w:tabs>
        <w:tab w:val="clear" w:pos="680"/>
      </w:tabs>
    </w:pPr>
  </w:style>
  <w:style w:type="paragraph" w:customStyle="1" w:styleId="SuperHeading">
    <w:name w:val="SuperHeading"/>
    <w:basedOn w:val="Normal"/>
    <w:rsid w:val="000B4CBD"/>
    <w:pPr>
      <w:spacing w:before="240" w:after="120"/>
      <w:outlineLvl w:val="0"/>
    </w:pPr>
    <w:rPr>
      <w:rFonts w:ascii="Times New Roman" w:hAnsi="Times New Roman"/>
      <w:b/>
      <w:sz w:val="32"/>
    </w:rPr>
  </w:style>
  <w:style w:type="paragraph" w:customStyle="1" w:styleId="AllowPageBreak">
    <w:name w:val="AllowPageBreak"/>
    <w:rsid w:val="000B4C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4CBD"/>
    <w:pPr>
      <w:numPr>
        <w:numId w:val="3"/>
      </w:numPr>
      <w:tabs>
        <w:tab w:val="clear" w:pos="1021"/>
      </w:tabs>
      <w:ind w:left="1037" w:hanging="357"/>
    </w:pPr>
  </w:style>
  <w:style w:type="character" w:customStyle="1" w:styleId="Heading2Char">
    <w:name w:val="Heading 2 Char"/>
    <w:basedOn w:val="DefaultParagraphFont"/>
    <w:link w:val="Heading2"/>
    <w:rsid w:val="000B4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CBD"/>
    <w:rPr>
      <w:rFonts w:ascii="Courier New" w:eastAsia="Times New Roman" w:hAnsi="Courier New" w:cs="Times New Roman"/>
      <w:i/>
      <w:szCs w:val="20"/>
      <w:lang w:eastAsia="en-US"/>
    </w:rPr>
  </w:style>
  <w:style w:type="paragraph" w:customStyle="1" w:styleId="HeadingBase">
    <w:name w:val="Heading Base"/>
    <w:rsid w:val="000B4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CBD"/>
    <w:pPr>
      <w:tabs>
        <w:tab w:val="right" w:leader="dot" w:pos="9072"/>
      </w:tabs>
      <w:ind w:left="567"/>
    </w:pPr>
    <w:rPr>
      <w:szCs w:val="22"/>
    </w:rPr>
  </w:style>
  <w:style w:type="paragraph" w:customStyle="1" w:styleId="TOCBase">
    <w:name w:val="TOC Base"/>
    <w:rsid w:val="000B4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CBD"/>
    <w:pPr>
      <w:tabs>
        <w:tab w:val="right" w:leader="dot" w:pos="9072"/>
      </w:tabs>
      <w:spacing w:before="40" w:after="40"/>
      <w:ind w:left="284"/>
    </w:pPr>
    <w:rPr>
      <w:rFonts w:ascii="Times New Roman" w:hAnsi="Times New Roman"/>
    </w:rPr>
  </w:style>
  <w:style w:type="paragraph" w:styleId="TOC1">
    <w:name w:val="toc 1"/>
    <w:basedOn w:val="TOCBase"/>
    <w:next w:val="Normal"/>
    <w:rsid w:val="000B4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CBD"/>
    <w:rPr>
      <w:rFonts w:ascii="Times New Roman" w:eastAsia="Times New Roman" w:hAnsi="Times New Roman" w:cs="Times New Roman"/>
      <w:sz w:val="16"/>
      <w:lang w:eastAsia="en-US"/>
    </w:rPr>
  </w:style>
  <w:style w:type="paragraph" w:styleId="Title">
    <w:name w:val="Title"/>
    <w:basedOn w:val="HeadingBase"/>
    <w:link w:val="TitleChar"/>
    <w:qFormat/>
    <w:rsid w:val="000B4CBD"/>
    <w:pPr>
      <w:spacing w:before="5040"/>
      <w:jc w:val="center"/>
    </w:pPr>
    <w:rPr>
      <w:sz w:val="48"/>
      <w:szCs w:val="72"/>
      <w:lang w:val="en-US"/>
    </w:rPr>
  </w:style>
  <w:style w:type="character" w:customStyle="1" w:styleId="TitleChar">
    <w:name w:val="Title Char"/>
    <w:basedOn w:val="DefaultParagraphFont"/>
    <w:link w:val="Title"/>
    <w:rsid w:val="000B4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CBD"/>
    <w:pPr>
      <w:tabs>
        <w:tab w:val="left" w:pos="3600"/>
        <w:tab w:val="left" w:pos="3958"/>
      </w:tabs>
    </w:pPr>
  </w:style>
  <w:style w:type="paragraph" w:styleId="List">
    <w:name w:val="List"/>
    <w:basedOn w:val="BodyText"/>
    <w:next w:val="BodyText"/>
    <w:rsid w:val="000B4CBD"/>
    <w:pPr>
      <w:tabs>
        <w:tab w:val="left" w:pos="340"/>
      </w:tabs>
      <w:spacing w:before="60" w:after="60"/>
      <w:ind w:left="340" w:hanging="340"/>
    </w:pPr>
  </w:style>
  <w:style w:type="paragraph" w:customStyle="1" w:styleId="Note">
    <w:name w:val="Note"/>
    <w:basedOn w:val="BodyText"/>
    <w:rsid w:val="000B4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CBD"/>
    <w:pPr>
      <w:framePr w:wrap="auto" w:hAnchor="text" w:y="6049"/>
    </w:pPr>
    <w:rPr>
      <w:color w:val="000000"/>
      <w:sz w:val="40"/>
    </w:rPr>
  </w:style>
  <w:style w:type="paragraph" w:customStyle="1" w:styleId="TOCTitle">
    <w:name w:val="TOCTitle"/>
    <w:basedOn w:val="Heading1"/>
    <w:rsid w:val="000B4CBD"/>
    <w:pPr>
      <w:spacing w:after="240"/>
      <w:jc w:val="center"/>
      <w:outlineLvl w:val="9"/>
    </w:pPr>
    <w:rPr>
      <w:caps/>
    </w:rPr>
  </w:style>
  <w:style w:type="paragraph" w:customStyle="1" w:styleId="Version">
    <w:name w:val="Version"/>
    <w:rsid w:val="000B4C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CBD"/>
    <w:pPr>
      <w:keepNext w:val="0"/>
      <w:tabs>
        <w:tab w:val="right" w:pos="4176"/>
      </w:tabs>
      <w:ind w:left="198" w:hanging="198"/>
    </w:pPr>
    <w:rPr>
      <w:rFonts w:ascii="Garamond" w:hAnsi="Garamond"/>
    </w:rPr>
  </w:style>
  <w:style w:type="paragraph" w:styleId="IndexHeading">
    <w:name w:val="index heading"/>
    <w:basedOn w:val="Normal"/>
    <w:next w:val="Index1"/>
    <w:semiHidden/>
    <w:rsid w:val="000B4CBD"/>
    <w:pPr>
      <w:spacing w:before="120" w:after="120"/>
    </w:pPr>
    <w:rPr>
      <w:rFonts w:ascii="Arial" w:hAnsi="Arial"/>
      <w:b/>
      <w:color w:val="918585"/>
      <w:sz w:val="24"/>
    </w:rPr>
  </w:style>
  <w:style w:type="paragraph" w:styleId="Header">
    <w:name w:val="header"/>
    <w:basedOn w:val="Normal"/>
    <w:link w:val="HeaderChar"/>
    <w:rsid w:val="000B4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CBD"/>
    <w:rPr>
      <w:rFonts w:ascii="Times New Roman" w:eastAsia="Times New Roman" w:hAnsi="Times New Roman" w:cs="Times New Roman"/>
      <w:sz w:val="16"/>
      <w:szCs w:val="20"/>
      <w:lang w:val="en-GB" w:eastAsia="en-US"/>
    </w:rPr>
  </w:style>
  <w:style w:type="paragraph" w:customStyle="1" w:styleId="Chapter">
    <w:name w:val="Chapter"/>
    <w:basedOn w:val="Normal"/>
    <w:rsid w:val="000B4CBD"/>
    <w:pPr>
      <w:spacing w:before="240"/>
    </w:pPr>
    <w:rPr>
      <w:rFonts w:ascii="Times New Roman" w:hAnsi="Times New Roman"/>
      <w:smallCaps/>
      <w:spacing w:val="80"/>
      <w:sz w:val="28"/>
    </w:rPr>
  </w:style>
  <w:style w:type="paragraph" w:customStyle="1" w:styleId="InChapter">
    <w:name w:val="InChapter"/>
    <w:basedOn w:val="Heading3"/>
    <w:rsid w:val="000B4CBD"/>
    <w:pPr>
      <w:spacing w:after="240"/>
      <w:outlineLvl w:val="9"/>
    </w:pPr>
    <w:rPr>
      <w:noProof/>
    </w:rPr>
  </w:style>
  <w:style w:type="paragraph" w:styleId="Index2">
    <w:name w:val="index 2"/>
    <w:basedOn w:val="Normal"/>
    <w:next w:val="Normal"/>
    <w:semiHidden/>
    <w:rsid w:val="000B4CBD"/>
    <w:pPr>
      <w:tabs>
        <w:tab w:val="right" w:pos="4176"/>
      </w:tabs>
      <w:ind w:left="568" w:hanging="284"/>
    </w:pPr>
    <w:rPr>
      <w:rFonts w:ascii="Garamond" w:hAnsi="Garamond"/>
    </w:rPr>
  </w:style>
  <w:style w:type="paragraph" w:customStyle="1" w:styleId="Byline">
    <w:name w:val="Byline"/>
    <w:rsid w:val="000B4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CBD"/>
    <w:pPr>
      <w:tabs>
        <w:tab w:val="clear" w:pos="3600"/>
        <w:tab w:val="clear" w:pos="3958"/>
      </w:tabs>
      <w:jc w:val="right"/>
    </w:pPr>
  </w:style>
  <w:style w:type="character" w:styleId="Emphasis">
    <w:name w:val="Emphasis"/>
    <w:basedOn w:val="DefaultParagraphFont"/>
    <w:qFormat/>
    <w:rsid w:val="000B4CBD"/>
    <w:rPr>
      <w:i/>
    </w:rPr>
  </w:style>
  <w:style w:type="paragraph" w:styleId="Caption">
    <w:name w:val="caption"/>
    <w:basedOn w:val="BodyText"/>
    <w:next w:val="Normal"/>
    <w:qFormat/>
    <w:rsid w:val="000B4CBD"/>
    <w:pPr>
      <w:framePr w:w="2268" w:hSpace="181" w:vSpace="181" w:wrap="around" w:vAnchor="text" w:hAnchor="page" w:x="1135" w:y="285" w:anchorLock="1"/>
    </w:pPr>
    <w:rPr>
      <w:i/>
    </w:rPr>
  </w:style>
  <w:style w:type="paragraph" w:customStyle="1" w:styleId="MiniTOCTitle">
    <w:name w:val="MiniTOCTitle"/>
    <w:basedOn w:val="Heading4"/>
    <w:rsid w:val="000B4CBD"/>
    <w:pPr>
      <w:spacing w:before="240"/>
      <w:outlineLvl w:val="9"/>
    </w:pPr>
    <w:rPr>
      <w:noProof/>
      <w:sz w:val="24"/>
    </w:rPr>
  </w:style>
  <w:style w:type="paragraph" w:customStyle="1" w:styleId="MiniTOCItem">
    <w:name w:val="MiniTOCItem"/>
    <w:basedOn w:val="ListBullet"/>
    <w:rsid w:val="000B4CBD"/>
    <w:pPr>
      <w:numPr>
        <w:numId w:val="0"/>
      </w:numPr>
      <w:tabs>
        <w:tab w:val="right" w:leader="dot" w:pos="6521"/>
      </w:tabs>
      <w:spacing w:before="0" w:after="0"/>
    </w:pPr>
  </w:style>
  <w:style w:type="paragraph" w:customStyle="1" w:styleId="TOFTitle">
    <w:name w:val="TOFTitle"/>
    <w:basedOn w:val="TOCTitle"/>
    <w:rsid w:val="000B4CBD"/>
  </w:style>
  <w:style w:type="paragraph" w:styleId="TableofFigures">
    <w:name w:val="table of figures"/>
    <w:basedOn w:val="Normal"/>
    <w:next w:val="Normal"/>
    <w:semiHidden/>
    <w:rsid w:val="000B4CBD"/>
    <w:pPr>
      <w:tabs>
        <w:tab w:val="right" w:leader="dot" w:pos="9072"/>
      </w:tabs>
      <w:ind w:left="970" w:hanging="403"/>
    </w:pPr>
    <w:rPr>
      <w:rFonts w:ascii="Times New Roman" w:hAnsi="Times New Roman"/>
      <w:b/>
    </w:rPr>
  </w:style>
  <w:style w:type="paragraph" w:styleId="ListNumber">
    <w:name w:val="List Number"/>
    <w:basedOn w:val="List"/>
    <w:rsid w:val="000B4CBD"/>
    <w:pPr>
      <w:numPr>
        <w:numId w:val="12"/>
      </w:numPr>
    </w:pPr>
  </w:style>
  <w:style w:type="character" w:customStyle="1" w:styleId="WingdingSymbols">
    <w:name w:val="Wingding Symbols"/>
    <w:rsid w:val="000B4CBD"/>
    <w:rPr>
      <w:rFonts w:ascii="Wingdings" w:hAnsi="Wingdings"/>
    </w:rPr>
  </w:style>
  <w:style w:type="paragraph" w:customStyle="1" w:styleId="TableHeading">
    <w:name w:val="Table Heading"/>
    <w:basedOn w:val="HeadingBase"/>
    <w:rsid w:val="000B4CBD"/>
    <w:pPr>
      <w:keepLines/>
      <w:pBdr>
        <w:bottom w:val="single" w:sz="6" w:space="1" w:color="918585"/>
      </w:pBdr>
      <w:spacing w:before="240"/>
    </w:pPr>
  </w:style>
  <w:style w:type="character" w:customStyle="1" w:styleId="HotSpot">
    <w:name w:val="HotSpot"/>
    <w:rsid w:val="000B4CBD"/>
    <w:rPr>
      <w:color w:val="0033CC"/>
      <w:u w:val="none"/>
    </w:rPr>
  </w:style>
  <w:style w:type="paragraph" w:customStyle="1" w:styleId="BodyTextRight">
    <w:name w:val="Body Text Right"/>
    <w:basedOn w:val="BodyText"/>
    <w:rsid w:val="000B4CBD"/>
    <w:pPr>
      <w:spacing w:before="0" w:after="0"/>
      <w:jc w:val="right"/>
    </w:pPr>
  </w:style>
  <w:style w:type="paragraph" w:styleId="Index3">
    <w:name w:val="index 3"/>
    <w:basedOn w:val="ListNumber2"/>
    <w:next w:val="Normal"/>
    <w:semiHidden/>
    <w:rsid w:val="000B4CBD"/>
    <w:pPr>
      <w:numPr>
        <w:numId w:val="0"/>
      </w:numPr>
      <w:tabs>
        <w:tab w:val="right" w:leader="dot" w:pos="4176"/>
      </w:tabs>
    </w:pPr>
  </w:style>
  <w:style w:type="paragraph" w:styleId="ListNumber2">
    <w:name w:val="List Number 2"/>
    <w:basedOn w:val="List2"/>
    <w:rsid w:val="000B4CBD"/>
    <w:pPr>
      <w:numPr>
        <w:numId w:val="11"/>
      </w:numPr>
      <w:tabs>
        <w:tab w:val="clear" w:pos="1060"/>
      </w:tabs>
    </w:pPr>
  </w:style>
  <w:style w:type="paragraph" w:customStyle="1" w:styleId="MarginNote">
    <w:name w:val="Margin Note"/>
    <w:basedOn w:val="BodyText"/>
    <w:rsid w:val="000B4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CBD"/>
    <w:rPr>
      <w:sz w:val="32"/>
    </w:rPr>
  </w:style>
  <w:style w:type="paragraph" w:customStyle="1" w:styleId="HeadingProcedure">
    <w:name w:val="Heading Procedure"/>
    <w:basedOn w:val="HeadingBase"/>
    <w:next w:val="Normal"/>
    <w:rsid w:val="000B4CBD"/>
    <w:pPr>
      <w:tabs>
        <w:tab w:val="left" w:pos="0"/>
      </w:tabs>
      <w:spacing w:before="120" w:after="60"/>
    </w:pPr>
    <w:rPr>
      <w:i/>
      <w:color w:val="918585"/>
      <w:sz w:val="22"/>
    </w:rPr>
  </w:style>
  <w:style w:type="paragraph" w:customStyle="1" w:styleId="TableBodyText">
    <w:name w:val="Table Body Text"/>
    <w:basedOn w:val="BodyText"/>
    <w:rsid w:val="000B4CBD"/>
    <w:pPr>
      <w:spacing w:before="60" w:after="60"/>
    </w:pPr>
  </w:style>
  <w:style w:type="paragraph" w:styleId="ListContinue">
    <w:name w:val="List Continue"/>
    <w:basedOn w:val="List"/>
    <w:rsid w:val="000B4CBD"/>
    <w:pPr>
      <w:ind w:firstLine="0"/>
    </w:pPr>
  </w:style>
  <w:style w:type="paragraph" w:customStyle="1" w:styleId="ListNote">
    <w:name w:val="List Note"/>
    <w:basedOn w:val="List"/>
    <w:rsid w:val="000B4CBD"/>
    <w:pPr>
      <w:pBdr>
        <w:top w:val="single" w:sz="6" w:space="2" w:color="918585"/>
        <w:bottom w:val="single" w:sz="6" w:space="2" w:color="918585"/>
      </w:pBdr>
      <w:tabs>
        <w:tab w:val="left" w:pos="1021"/>
      </w:tabs>
      <w:ind w:firstLine="0"/>
    </w:pPr>
  </w:style>
  <w:style w:type="paragraph" w:customStyle="1" w:styleId="Warning">
    <w:name w:val="Warning"/>
    <w:basedOn w:val="BodyText"/>
    <w:rsid w:val="000B4CBD"/>
    <w:pPr>
      <w:shd w:val="clear" w:color="auto" w:fill="D9D9D9"/>
      <w:tabs>
        <w:tab w:val="left" w:pos="992"/>
      </w:tabs>
      <w:ind w:left="119" w:right="119"/>
    </w:pPr>
    <w:rPr>
      <w:sz w:val="20"/>
    </w:rPr>
  </w:style>
  <w:style w:type="paragraph" w:customStyle="1" w:styleId="MarginIcons">
    <w:name w:val="Margin Icons"/>
    <w:basedOn w:val="BodyText"/>
    <w:rsid w:val="000B4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CBD"/>
    <w:rPr>
      <w:rFonts w:ascii="Courier New" w:hAnsi="Courier New"/>
    </w:rPr>
  </w:style>
  <w:style w:type="paragraph" w:customStyle="1" w:styleId="NoteBullet">
    <w:name w:val="Note Bullet"/>
    <w:basedOn w:val="Note"/>
    <w:rsid w:val="000B4CBD"/>
    <w:pPr>
      <w:tabs>
        <w:tab w:val="clear" w:pos="680"/>
      </w:tabs>
      <w:spacing w:before="60" w:after="60"/>
    </w:pPr>
  </w:style>
  <w:style w:type="paragraph" w:customStyle="1" w:styleId="SubHeading2">
    <w:name w:val="SubHeading2"/>
    <w:basedOn w:val="HeadingBase"/>
    <w:rsid w:val="000B4CBD"/>
    <w:pPr>
      <w:spacing w:before="240" w:after="60"/>
    </w:pPr>
    <w:rPr>
      <w:sz w:val="20"/>
    </w:rPr>
  </w:style>
  <w:style w:type="paragraph" w:customStyle="1" w:styleId="SubHeading1">
    <w:name w:val="SubHeading1"/>
    <w:basedOn w:val="HeadingBase"/>
    <w:rsid w:val="000B4CBD"/>
    <w:pPr>
      <w:spacing w:before="240" w:after="60"/>
    </w:pPr>
    <w:rPr>
      <w:color w:val="918585"/>
      <w:sz w:val="22"/>
    </w:rPr>
  </w:style>
  <w:style w:type="paragraph" w:customStyle="1" w:styleId="SideHeading">
    <w:name w:val="Side Heading"/>
    <w:basedOn w:val="HeadingBase"/>
    <w:rsid w:val="000B4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CBD"/>
    <w:pPr>
      <w:numPr>
        <w:numId w:val="13"/>
      </w:numPr>
    </w:pPr>
  </w:style>
  <w:style w:type="paragraph" w:styleId="PlainText">
    <w:name w:val="Plain Text"/>
    <w:basedOn w:val="Normal"/>
    <w:link w:val="PlainTextChar"/>
    <w:rsid w:val="000B4CBD"/>
    <w:rPr>
      <w:sz w:val="20"/>
    </w:rPr>
  </w:style>
  <w:style w:type="character" w:customStyle="1" w:styleId="PlainTextChar">
    <w:name w:val="Plain Text Char"/>
    <w:basedOn w:val="DefaultParagraphFont"/>
    <w:link w:val="PlainText"/>
    <w:rsid w:val="000B4CBD"/>
    <w:rPr>
      <w:rFonts w:ascii="Courier New" w:eastAsia="Times New Roman" w:hAnsi="Courier New" w:cs="Times New Roman"/>
      <w:sz w:val="20"/>
      <w:szCs w:val="20"/>
      <w:lang w:eastAsia="en-US"/>
    </w:rPr>
  </w:style>
  <w:style w:type="character" w:customStyle="1" w:styleId="MenuOption">
    <w:name w:val="Menu Option"/>
    <w:basedOn w:val="DefaultParagraphFont"/>
    <w:rsid w:val="000B4CBD"/>
    <w:rPr>
      <w:b/>
      <w:smallCaps/>
    </w:rPr>
  </w:style>
  <w:style w:type="paragraph" w:customStyle="1" w:styleId="TableListNumber">
    <w:name w:val="Table List Number"/>
    <w:basedOn w:val="ListNumber"/>
    <w:rsid w:val="000B4CBD"/>
    <w:pPr>
      <w:numPr>
        <w:numId w:val="0"/>
      </w:numPr>
    </w:pPr>
  </w:style>
  <w:style w:type="paragraph" w:styleId="TOC4">
    <w:name w:val="toc 4"/>
    <w:basedOn w:val="TOCBase"/>
    <w:next w:val="Normal"/>
    <w:semiHidden/>
    <w:rsid w:val="000B4CBD"/>
    <w:pPr>
      <w:tabs>
        <w:tab w:val="right" w:leader="dot" w:pos="9071"/>
      </w:tabs>
      <w:ind w:left="1701"/>
    </w:pPr>
  </w:style>
  <w:style w:type="paragraph" w:customStyle="1" w:styleId="ListAlpha">
    <w:name w:val="List Alpha"/>
    <w:basedOn w:val="List"/>
    <w:rsid w:val="000B4CBD"/>
    <w:pPr>
      <w:numPr>
        <w:numId w:val="10"/>
      </w:numPr>
    </w:pPr>
  </w:style>
  <w:style w:type="paragraph" w:customStyle="1" w:styleId="ListAlpha2">
    <w:name w:val="List Alpha 2"/>
    <w:basedOn w:val="List2"/>
    <w:rsid w:val="000B4CBD"/>
    <w:pPr>
      <w:numPr>
        <w:numId w:val="9"/>
      </w:numPr>
    </w:pPr>
  </w:style>
  <w:style w:type="paragraph" w:styleId="List2">
    <w:name w:val="List 2"/>
    <w:basedOn w:val="BodyText"/>
    <w:rsid w:val="000B4CBD"/>
    <w:pPr>
      <w:tabs>
        <w:tab w:val="left" w:pos="680"/>
      </w:tabs>
      <w:spacing w:before="60" w:after="60"/>
      <w:ind w:left="680" w:hanging="340"/>
    </w:pPr>
  </w:style>
  <w:style w:type="paragraph" w:styleId="List3">
    <w:name w:val="List 3"/>
    <w:basedOn w:val="BodyText"/>
    <w:rsid w:val="000B4CBD"/>
    <w:pPr>
      <w:tabs>
        <w:tab w:val="left" w:pos="1021"/>
      </w:tabs>
      <w:spacing w:before="60" w:after="60"/>
      <w:ind w:left="1020" w:hanging="340"/>
    </w:pPr>
  </w:style>
  <w:style w:type="paragraph" w:styleId="List4">
    <w:name w:val="List 4"/>
    <w:basedOn w:val="BodyText"/>
    <w:rsid w:val="000B4CBD"/>
    <w:pPr>
      <w:tabs>
        <w:tab w:val="left" w:pos="1361"/>
      </w:tabs>
      <w:spacing w:before="60" w:after="60"/>
      <w:ind w:left="1361" w:hanging="340"/>
    </w:pPr>
  </w:style>
  <w:style w:type="paragraph" w:styleId="List5">
    <w:name w:val="List 5"/>
    <w:basedOn w:val="BodyText"/>
    <w:rsid w:val="000B4CBD"/>
    <w:pPr>
      <w:tabs>
        <w:tab w:val="left" w:pos="1701"/>
      </w:tabs>
      <w:spacing w:before="60" w:after="60"/>
      <w:ind w:left="1701" w:hanging="340"/>
    </w:pPr>
  </w:style>
  <w:style w:type="paragraph" w:styleId="ListBullet4">
    <w:name w:val="List Bullet 4"/>
    <w:basedOn w:val="List4"/>
    <w:rsid w:val="000B4CBD"/>
    <w:pPr>
      <w:numPr>
        <w:numId w:val="4"/>
      </w:numPr>
      <w:tabs>
        <w:tab w:val="clear" w:pos="1361"/>
      </w:tabs>
    </w:pPr>
  </w:style>
  <w:style w:type="paragraph" w:styleId="ListBullet5">
    <w:name w:val="List Bullet 5"/>
    <w:basedOn w:val="List5"/>
    <w:rsid w:val="000B4CBD"/>
    <w:pPr>
      <w:numPr>
        <w:numId w:val="5"/>
      </w:numPr>
    </w:pPr>
  </w:style>
  <w:style w:type="paragraph" w:styleId="ListContinue2">
    <w:name w:val="List Continue 2"/>
    <w:basedOn w:val="List2"/>
    <w:rsid w:val="000B4CBD"/>
    <w:pPr>
      <w:ind w:firstLine="0"/>
    </w:pPr>
  </w:style>
  <w:style w:type="paragraph" w:styleId="ListContinue3">
    <w:name w:val="List Continue 3"/>
    <w:basedOn w:val="List3"/>
    <w:rsid w:val="000B4CBD"/>
    <w:pPr>
      <w:ind w:left="1021" w:firstLine="0"/>
    </w:pPr>
  </w:style>
  <w:style w:type="paragraph" w:styleId="ListContinue4">
    <w:name w:val="List Continue 4"/>
    <w:basedOn w:val="List4"/>
    <w:rsid w:val="000B4CBD"/>
    <w:pPr>
      <w:ind w:firstLine="0"/>
    </w:pPr>
  </w:style>
  <w:style w:type="paragraph" w:styleId="ListContinue5">
    <w:name w:val="List Continue 5"/>
    <w:basedOn w:val="List5"/>
    <w:rsid w:val="000B4CBD"/>
    <w:pPr>
      <w:ind w:firstLine="0"/>
    </w:pPr>
  </w:style>
  <w:style w:type="paragraph" w:styleId="ListNumber3">
    <w:name w:val="List Number 3"/>
    <w:basedOn w:val="List3"/>
    <w:rsid w:val="000B4CBD"/>
    <w:pPr>
      <w:numPr>
        <w:numId w:val="6"/>
      </w:numPr>
    </w:pPr>
  </w:style>
  <w:style w:type="paragraph" w:styleId="ListNumber4">
    <w:name w:val="List Number 4"/>
    <w:basedOn w:val="List4"/>
    <w:rsid w:val="000B4CBD"/>
    <w:pPr>
      <w:numPr>
        <w:numId w:val="7"/>
      </w:numPr>
    </w:pPr>
  </w:style>
  <w:style w:type="paragraph" w:styleId="ListNumber5">
    <w:name w:val="List Number 5"/>
    <w:basedOn w:val="List5"/>
    <w:rsid w:val="000B4CBD"/>
    <w:pPr>
      <w:numPr>
        <w:numId w:val="8"/>
      </w:numPr>
    </w:pPr>
  </w:style>
  <w:style w:type="paragraph" w:styleId="BlockText">
    <w:name w:val="Block Text"/>
    <w:basedOn w:val="Normal"/>
    <w:rsid w:val="000B4CBD"/>
    <w:pPr>
      <w:spacing w:after="120"/>
      <w:ind w:left="1440" w:right="1440"/>
    </w:pPr>
  </w:style>
  <w:style w:type="character" w:customStyle="1" w:styleId="Subscript">
    <w:name w:val="Subscript"/>
    <w:basedOn w:val="DefaultParagraphFont"/>
    <w:rsid w:val="000B4CBD"/>
    <w:rPr>
      <w:sz w:val="16"/>
      <w:vertAlign w:val="subscript"/>
    </w:rPr>
  </w:style>
  <w:style w:type="character" w:customStyle="1" w:styleId="Superscript">
    <w:name w:val="Superscript"/>
    <w:basedOn w:val="DefaultParagraphFont"/>
    <w:rsid w:val="000B4CBD"/>
    <w:rPr>
      <w:sz w:val="16"/>
      <w:vertAlign w:val="superscript"/>
    </w:rPr>
  </w:style>
  <w:style w:type="character" w:customStyle="1" w:styleId="Symbols">
    <w:name w:val="Symbols"/>
    <w:basedOn w:val="DefaultParagraphFont"/>
    <w:rsid w:val="000B4CBD"/>
    <w:rPr>
      <w:rFonts w:ascii="Symbol" w:hAnsi="Symbol"/>
    </w:rPr>
  </w:style>
  <w:style w:type="character" w:customStyle="1" w:styleId="MenuOptions">
    <w:name w:val="Menu Options"/>
    <w:basedOn w:val="DefaultParagraphFont"/>
    <w:rsid w:val="000B4CBD"/>
    <w:rPr>
      <w:rFonts w:ascii="Arial Narrow" w:hAnsi="Arial Narrow"/>
      <w:smallCaps/>
    </w:rPr>
  </w:style>
  <w:style w:type="character" w:customStyle="1" w:styleId="Buttons">
    <w:name w:val="Buttons"/>
    <w:basedOn w:val="DefaultParagraphFont"/>
    <w:rsid w:val="000B4CBD"/>
    <w:rPr>
      <w:b/>
    </w:rPr>
  </w:style>
  <w:style w:type="character" w:customStyle="1" w:styleId="Underlined">
    <w:name w:val="Underlined"/>
    <w:basedOn w:val="DefaultParagraphFont"/>
    <w:rsid w:val="000B4CBD"/>
    <w:rPr>
      <w:u w:val="single"/>
    </w:rPr>
  </w:style>
  <w:style w:type="paragraph" w:customStyle="1" w:styleId="TableBodyTextRight">
    <w:name w:val="Table Body Text Right"/>
    <w:basedOn w:val="TableBodyText"/>
    <w:rsid w:val="000B4CBD"/>
    <w:pPr>
      <w:widowControl w:val="0"/>
      <w:autoSpaceDE w:val="0"/>
      <w:autoSpaceDN w:val="0"/>
      <w:adjustRightInd w:val="0"/>
      <w:jc w:val="right"/>
    </w:pPr>
    <w:rPr>
      <w:rFonts w:cs="Arial"/>
      <w:szCs w:val="18"/>
    </w:rPr>
  </w:style>
  <w:style w:type="paragraph" w:customStyle="1" w:styleId="CopyrightText">
    <w:name w:val="Copyright Text"/>
    <w:basedOn w:val="BodyText"/>
    <w:rsid w:val="000B4CBD"/>
    <w:rPr>
      <w:sz w:val="18"/>
    </w:rPr>
  </w:style>
  <w:style w:type="paragraph" w:customStyle="1" w:styleId="BodySmallRight">
    <w:name w:val="Body Small Right"/>
    <w:basedOn w:val="BodyTextRight"/>
    <w:rsid w:val="000B4CBD"/>
    <w:rPr>
      <w:sz w:val="18"/>
      <w:szCs w:val="18"/>
    </w:rPr>
  </w:style>
  <w:style w:type="paragraph" w:customStyle="1" w:styleId="MarginEdition">
    <w:name w:val="Margin Edition"/>
    <w:basedOn w:val="MarginNote"/>
    <w:rsid w:val="000B4CBD"/>
    <w:pPr>
      <w:spacing w:before="0" w:after="0"/>
    </w:pPr>
    <w:rPr>
      <w:rFonts w:ascii="Times New Roman" w:hAnsi="Times New Roman"/>
      <w:color w:val="999999"/>
    </w:rPr>
  </w:style>
  <w:style w:type="paragraph" w:customStyle="1" w:styleId="Spacer">
    <w:name w:val="Spacer"/>
    <w:basedOn w:val="Normal"/>
    <w:rsid w:val="000B4CBD"/>
    <w:rPr>
      <w:sz w:val="2"/>
      <w:szCs w:val="2"/>
    </w:rPr>
  </w:style>
  <w:style w:type="character" w:customStyle="1" w:styleId="Small">
    <w:name w:val="Small"/>
    <w:basedOn w:val="DefaultParagraphFont"/>
    <w:rsid w:val="000B4CBD"/>
    <w:rPr>
      <w:sz w:val="16"/>
    </w:rPr>
  </w:style>
  <w:style w:type="paragraph" w:customStyle="1" w:styleId="WideTable">
    <w:name w:val="Wide Table"/>
    <w:basedOn w:val="Normal"/>
    <w:rsid w:val="000B4CBD"/>
    <w:pPr>
      <w:ind w:left="-1418"/>
    </w:pPr>
    <w:rPr>
      <w:sz w:val="2"/>
      <w:szCs w:val="2"/>
    </w:rPr>
  </w:style>
  <w:style w:type="character" w:styleId="PageNumber">
    <w:name w:val="page number"/>
    <w:basedOn w:val="DefaultParagraphFont"/>
    <w:rsid w:val="000B4CBD"/>
  </w:style>
  <w:style w:type="paragraph" w:styleId="Quote">
    <w:name w:val="Quote"/>
    <w:basedOn w:val="Heading1"/>
    <w:link w:val="QuoteChar"/>
    <w:qFormat/>
    <w:rsid w:val="000B4CBD"/>
    <w:rPr>
      <w:b w:val="0"/>
      <w:sz w:val="72"/>
      <w:szCs w:val="72"/>
      <w:lang w:val="en-NZ"/>
    </w:rPr>
  </w:style>
  <w:style w:type="character" w:customStyle="1" w:styleId="QuoteChar">
    <w:name w:val="Quote Char"/>
    <w:basedOn w:val="DefaultParagraphFont"/>
    <w:link w:val="Quote"/>
    <w:rsid w:val="000B4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CBD"/>
    <w:pPr>
      <w:pageBreakBefore/>
    </w:pPr>
  </w:style>
  <w:style w:type="paragraph" w:customStyle="1" w:styleId="Border">
    <w:name w:val="Border"/>
    <w:basedOn w:val="Normal"/>
    <w:qFormat/>
    <w:rsid w:val="000B4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CBD"/>
    <w:rPr>
      <w:b/>
      <w:bCs/>
      <w:i/>
      <w:iCs/>
      <w:color w:val="auto"/>
    </w:rPr>
  </w:style>
  <w:style w:type="paragraph" w:styleId="IntenseQuote">
    <w:name w:val="Intense Quote"/>
    <w:basedOn w:val="Normal"/>
    <w:next w:val="Normal"/>
    <w:link w:val="IntenseQuoteChar"/>
    <w:uiPriority w:val="30"/>
    <w:qFormat/>
    <w:rsid w:val="000B4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CBD"/>
    <w:rPr>
      <w:smallCaps/>
      <w:color w:val="auto"/>
      <w:u w:val="single"/>
    </w:rPr>
  </w:style>
  <w:style w:type="character" w:styleId="IntenseReference">
    <w:name w:val="Intense Reference"/>
    <w:basedOn w:val="DefaultParagraphFont"/>
    <w:uiPriority w:val="32"/>
    <w:qFormat/>
    <w:rsid w:val="000B4CBD"/>
    <w:rPr>
      <w:b/>
      <w:bCs/>
      <w:smallCaps/>
      <w:color w:val="auto"/>
      <w:spacing w:val="5"/>
      <w:u w:val="single"/>
    </w:rPr>
  </w:style>
  <w:style w:type="paragraph" w:customStyle="1" w:styleId="2ColumnHeading">
    <w:name w:val="2Column Heading"/>
    <w:basedOn w:val="BodyText"/>
    <w:qFormat/>
    <w:rsid w:val="000B4CBD"/>
    <w:pPr>
      <w:spacing w:after="60"/>
      <w:ind w:left="-2268"/>
    </w:pPr>
    <w:rPr>
      <w:b/>
    </w:rPr>
  </w:style>
  <w:style w:type="paragraph" w:customStyle="1" w:styleId="Heading1TOC">
    <w:name w:val="Heading1 TOC"/>
    <w:basedOn w:val="Normal"/>
    <w:qFormat/>
    <w:rsid w:val="000B4CBD"/>
    <w:pPr>
      <w:spacing w:before="240" w:after="120"/>
    </w:pPr>
    <w:rPr>
      <w:rFonts w:ascii="Times New Roman" w:hAnsi="Times New Roman"/>
      <w:b/>
      <w:sz w:val="32"/>
    </w:rPr>
  </w:style>
  <w:style w:type="paragraph" w:customStyle="1" w:styleId="Heading2TOC">
    <w:name w:val="Heading2 TOC"/>
    <w:basedOn w:val="Normal"/>
    <w:qFormat/>
    <w:rsid w:val="000B4CBD"/>
    <w:pPr>
      <w:spacing w:before="240" w:after="60"/>
    </w:pPr>
    <w:rPr>
      <w:rFonts w:ascii="Times New Roman" w:hAnsi="Times New Roman"/>
      <w:b/>
      <w:sz w:val="28"/>
    </w:rPr>
  </w:style>
  <w:style w:type="character" w:customStyle="1" w:styleId="Underline">
    <w:name w:val="Underline"/>
    <w:basedOn w:val="DefaultParagraphFont"/>
    <w:qFormat/>
    <w:rsid w:val="000B4CBD"/>
    <w:rPr>
      <w:u w:val="single"/>
    </w:rPr>
  </w:style>
  <w:style w:type="character" w:customStyle="1" w:styleId="BoldandItalics">
    <w:name w:val="Bold and Italics"/>
    <w:qFormat/>
    <w:rsid w:val="000B4CBD"/>
    <w:rPr>
      <w:b/>
      <w:i/>
      <w:u w:val="none"/>
    </w:rPr>
  </w:style>
  <w:style w:type="paragraph" w:styleId="BalloonText">
    <w:name w:val="Balloon Text"/>
    <w:basedOn w:val="Normal"/>
    <w:link w:val="BalloonTextChar"/>
    <w:rsid w:val="000B4CBD"/>
    <w:rPr>
      <w:rFonts w:ascii="Tahoma" w:hAnsi="Tahoma" w:cs="Tahoma"/>
      <w:sz w:val="16"/>
      <w:szCs w:val="16"/>
    </w:rPr>
  </w:style>
  <w:style w:type="character" w:customStyle="1" w:styleId="BalloonTextChar">
    <w:name w:val="Balloon Text Char"/>
    <w:basedOn w:val="DefaultParagraphFont"/>
    <w:link w:val="BalloonText"/>
    <w:rsid w:val="000B4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C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CBD"/>
    <w:rPr>
      <w:b/>
      <w:color w:val="660033"/>
      <w:spacing w:val="0"/>
    </w:rPr>
  </w:style>
  <w:style w:type="paragraph" w:customStyle="1" w:styleId="Nameditemlist">
    <w:name w:val="Named item list"/>
    <w:basedOn w:val="BodyText"/>
    <w:qFormat/>
    <w:rsid w:val="000B4C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2966</Words>
  <Characters>18491</Characters>
  <Application>Microsoft Office Word</Application>
  <DocSecurity>0</DocSecurity>
  <Lines>649</Lines>
  <Paragraphs>223</Paragraphs>
  <ScaleCrop>false</ScaleCrop>
  <Company>Author-it Software Corporation Ltd.</Company>
  <LinksUpToDate>false</LinksUpToDate>
  <CharactersWithSpaces>21303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UETTDREL14A Working safely near live electrical apparatus as a non-electrical worker</dc:title>
  <dc:subject>Approved</dc:subject>
  <dc:creator>E-OZ Training Standards</dc:creator>
  <cp:keywords>Release: 1</cp:keywords>
  <dc:description>Review Date: 12 April 2008</dc:description>
  <cp:lastModifiedBy>HSD_TPCMSd.prod</cp:lastModifiedBy>
  <cp:revision>3</cp:revision>
  <dcterms:created xsi:type="dcterms:W3CDTF">2016-08-21T23:45:00Z</dcterms:created>
  <dcterms:modified xsi:type="dcterms:W3CDTF">2016-08-21T23:45:00Z</dcterms:modified>
</cp:coreProperties>
</file>