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C02" w:rsidP="00561C02">
      <w:pPr>
        <w:pStyle w:val="Title"/>
      </w:pPr>
      <w:r>
        <w:fldChar w:fldCharType="begin"/>
      </w:r>
      <w:r>
        <w:instrText xml:space="preserve"> TITLE   \* MERGEFORMAT </w:instrText>
      </w:r>
      <w:r>
        <w:fldChar w:fldCharType="separate"/>
      </w:r>
      <w:r>
        <w:t>UETTDREL11A Apply sustainable energy and environmental procedures</w:t>
      </w:r>
      <w:r>
        <w:fldChar w:fldCharType="end"/>
      </w:r>
    </w:p>
    <w:p w:rsidR="00561C02" w:rsidP="00561C02">
      <w:pPr>
        <w:pStyle w:val="Version"/>
        <w:sectPr w:rsidSect="006D44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425" w:rsidP="006D4425">
      <w:pPr>
        <w:pStyle w:val="SuperHeading"/>
      </w:pPr>
      <w:r w:rsidRPr="006D4425">
        <w:t>UETTDREL11A Apply sustainable energy and environmental procedures</w:t>
      </w:r>
    </w:p>
    <w:p w:rsidR="00000000" w:rsidRPr="006D4425" w:rsidP="006D4425">
      <w:pPr>
        <w:pStyle w:val="Heading1"/>
      </w:pPr>
      <w:bookmarkStart w:id="1" w:name="O_455545"/>
      <w:bookmarkEnd w:id="1"/>
      <w:r w:rsidRPr="006D4425">
        <w:t>Modification History</w:t>
      </w:r>
    </w:p>
    <w:p w:rsidR="00000000" w:rsidRPr="006D4425" w:rsidP="006D4425">
      <w:pPr>
        <w:pStyle w:val="BodyText"/>
      </w:pPr>
      <w:r w:rsidRPr="006D4425">
        <w:t>Not applicable.</w:t>
      </w:r>
    </w:p>
    <w:p w:rsidR="00000000" w:rsidRPr="006D4425" w:rsidP="006D4425">
      <w:pPr>
        <w:pStyle w:val="AllowPageBreak"/>
      </w:pPr>
    </w:p>
    <w:p w:rsidR="00000000" w:rsidRPr="006D4425" w:rsidP="006D4425">
      <w:pPr>
        <w:pStyle w:val="Heading1"/>
      </w:pPr>
      <w:bookmarkStart w:id="2" w:name="O_455543"/>
      <w:bookmarkEnd w:id="2"/>
      <w:r w:rsidRPr="006D4425">
        <w:t>Unit Descriptor</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1)</w:t>
            </w:r>
            <w:r w:rsidRPr="006D4425">
              <w:t xml:space="preserve"> </w:t>
            </w:r>
            <w:r w:rsidRPr="006D4425">
              <w:rPr>
                <w:rStyle w:val="SpecialBold"/>
              </w:rPr>
              <w:t>Scope:</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42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1.1) Descriptor</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This Competency Standard Unit covers the implementation of relevant environmental procedures to specific projects/sites. It includes the identification of possible environmental risks and impacts, the undertaking of work in accordance with sustainable ener</w:t>
            </w:r>
            <w:r w:rsidRPr="006D4425">
              <w:t>gy and energy conservation principles, the provision of re-cycling materials and the recording and reporting of environmental incidents. It also encompasses the process of reviewing and participating and contributing in environmental procedures according t</w:t>
            </w:r>
            <w:r w:rsidRPr="006D4425">
              <w:t>o established enterprise requirements.</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3" w:name="O_455532"/>
      <w:bookmarkEnd w:id="3"/>
      <w:r w:rsidRPr="006D4425">
        <w:t>Application of the Unit</w:t>
      </w:r>
    </w:p>
    <w:tbl>
      <w:tblPr>
        <w:tblW w:w="0" w:type="auto"/>
        <w:tblLayout w:type="fixed"/>
        <w:tblCellMar>
          <w:left w:w="62" w:type="dxa"/>
          <w:right w:w="62" w:type="dxa"/>
        </w:tblCellMar>
        <w:tblLook w:val="0000"/>
      </w:tblPr>
      <w:tblGrid>
        <w:gridCol w:w="2672"/>
        <w:gridCol w:w="5699"/>
      </w:tblGrid>
      <w:tr w:rsidTr="00561C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2)</w:t>
            </w:r>
          </w:p>
        </w:tc>
      </w:tr>
      <w:tr w:rsidTr="00561C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 xml:space="preserve">This Competency Standard Unit is intended to augment formally acquired competencies. It is suitable for employment-based programs under an </w:t>
            </w:r>
            <w:r w:rsidRPr="006D4425">
              <w:t>approved contract of training.</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4" w:name="O_455539"/>
      <w:bookmarkEnd w:id="4"/>
      <w:r w:rsidRPr="006D4425">
        <w:t>Licensing/Regulatory Information</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 xml:space="preserve">3) </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The skills and knowledge described in this unit may require a licence/registration to practice in the work place subject to regulations for underta</w:t>
            </w:r>
            <w:r w:rsidRPr="006D4425">
              <w:t xml:space="preserve">king of electrical work. Practice in workplace and during training is also subject to </w:t>
            </w:r>
            <w:r w:rsidRPr="006D4425">
              <w:t>regulations directly related to Occupational Health and Safety, electricity/telecommunications/gas/water industry safety and compliance, industrial relations, environment</w:t>
            </w:r>
            <w:r w:rsidRPr="006D4425">
              <w:t>al protection, anti discrimination and training. Commonwealth, State/Territory or Local Government legislation and regulations may exist that limits the age of operating certain equipment.</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5" w:name="O_455540"/>
      <w:bookmarkEnd w:id="5"/>
      <w:r w:rsidRPr="006D4425">
        <w:t>Pre-Requisites</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 xml:space="preserve">4) </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4.1)</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Granting of competency in this unit shall be made only after competency in the following unit(s) has/have been confirmed.</w:t>
            </w:r>
          </w:p>
          <w:p w:rsidR="00000000" w:rsidRPr="006D4425" w:rsidP="006D4425">
            <w:pPr>
              <w:pStyle w:val="BodyText"/>
            </w:pPr>
            <w:r w:rsidRPr="006D4425">
              <w:t>Where pre-requisite pathways have been identified. All competencies in the Common Unit Group must be have been com</w:t>
            </w:r>
            <w:r w:rsidRPr="006D4425">
              <w:t>pleted plus all the competencies in one (1) of the identified Pathway Unit Group(s):</w:t>
            </w:r>
          </w:p>
          <w:p w:rsidR="00000000" w:rsidRPr="006D4425" w:rsidP="006D4425">
            <w:pPr>
              <w:pStyle w:val="BodyText"/>
            </w:pPr>
            <w:r w:rsidRPr="006D4425">
              <w:t>There are no prerequisite competencies to this unit.</w:t>
            </w:r>
          </w:p>
        </w:tc>
      </w:tr>
    </w:tbl>
    <w:p w:rsidR="00000000" w:rsidRPr="006D4425" w:rsidP="006D442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61C0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 xml:space="preserve">4.2) </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Participants are best equipped to achieve this unit if they have reading, writing and numeracy skills indicated by the following scales. Description of each scale is given in Volume 2, Part 3 “Literacy and Numeracy”.</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Reading</w:t>
            </w:r>
          </w:p>
        </w:tc>
        <w:tc>
          <w:tcPr>
            <w:tcW w:w="81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w:t>
            </w:r>
          </w:p>
        </w:tc>
        <w:tc>
          <w:tcPr>
            <w:tcW w:w="99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Writing</w:t>
            </w: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w:t>
            </w:r>
          </w:p>
        </w:tc>
        <w:tc>
          <w:tcPr>
            <w:tcW w:w="12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Numeracy</w:t>
            </w:r>
          </w:p>
        </w:tc>
        <w:tc>
          <w:tcPr>
            <w:tcW w:w="72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3</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6" w:name="O_455536"/>
      <w:bookmarkEnd w:id="6"/>
      <w:r w:rsidRPr="006D4425">
        <w:t>Employability Skills Information</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 xml:space="preserve">5) </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 xml:space="preserve">The required outcomes described in this unit of competency contain applicable facets of Employability </w:t>
            </w:r>
            <w:r w:rsidRPr="006D4425">
              <w:t xml:space="preserve">Skills. The Employability Skills Summary </w:t>
            </w:r>
            <w:r w:rsidRPr="006D4425">
              <w:t>of the qualification in which this unit of competency is packaged will assist in identifying Employability Skill requirements.</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7" w:name="O_455535"/>
      <w:bookmarkEnd w:id="7"/>
      <w:r w:rsidRPr="006D4425">
        <w:t>Elements and Performance Criteria Pre-Content</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6)</w:t>
            </w:r>
            <w:r w:rsidRPr="006D4425">
              <w:t xml:space="preserve"> Elements describe the essential outcomes of a competency stan</w:t>
            </w:r>
            <w:r w:rsidRPr="006D4425">
              <w:t>dard unit</w:t>
            </w: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Performance Criteria describe the required performance needed to demonstrate achievement of the element. Assessment of performance is to be consistent with the Evidence Guide.</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8" w:name="O_455534"/>
      <w:bookmarkEnd w:id="8"/>
      <w:r w:rsidRPr="006D4425">
        <w:t>Elements and Performance Criteria</w:t>
      </w:r>
    </w:p>
    <w:tbl>
      <w:tblPr>
        <w:tblW w:w="0" w:type="auto"/>
        <w:tblLayout w:type="fixed"/>
        <w:tblCellMar>
          <w:left w:w="62" w:type="dxa"/>
          <w:right w:w="62" w:type="dxa"/>
        </w:tblCellMar>
        <w:tblLook w:val="0000"/>
      </w:tblPr>
      <w:tblGrid>
        <w:gridCol w:w="380"/>
        <w:gridCol w:w="2320"/>
        <w:gridCol w:w="900"/>
        <w:gridCol w:w="4860"/>
      </w:tblGrid>
      <w:tr w:rsidTr="00561C0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PERFORMANCE CRITERIA</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w:t>
            </w:r>
          </w:p>
        </w:tc>
        <w:tc>
          <w:tcPr>
            <w:tcW w:w="232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Prepare to implement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1.1</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Works schedule(s), including drawings, plans, requirements, established procedures, and material lists, are received, analysed and confirmed, if necessary, by</w:t>
            </w:r>
            <w:r w:rsidRPr="006D4425">
              <w:t xml:space="preserve"> site inspection.</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1.2</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Relevant requirements and established procedures for the work are communicated to all personnel and identified for all work sites.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1.3</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OHS policies and procedures related to requirements and established procedures for the implementation of environmental and sustainable energy procedures are obtained and confirmed for the purposes of the work to be performed and communicated.</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1.4</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Enviro</w:t>
            </w:r>
            <w:r w:rsidRPr="006D4425">
              <w:t>nmental and sustainable energy procedures are identified, prioritised and combined within relevant projects, following consultation with others for completion within acceptable timeframes and in accordance with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1.5</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Hazards are id</w:t>
            </w:r>
            <w:r w:rsidRPr="006D4425">
              <w:t xml:space="preserve">entified, OHS risks assessed and control measures are prioritised, implemented and monitored including emergency exits kept </w:t>
            </w:r>
            <w:r w:rsidRPr="006D4425">
              <w:t>clear according to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1.6</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Relevant work permits are obtained to access and perform work according to environ</w:t>
            </w:r>
            <w:r w:rsidRPr="006D4425">
              <w:t>mental and sustainable energy procedures, requirements and/or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1.7</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Resources including personnel, equipment, tools and personal protective equipment required for the job are obtained and confirmed in working order.</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1.8</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Relevant personnel at worksite are confirmed current in environmental and sustainable energy procedures and other related work procedures according to requirements.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1.9</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Liaison and communication issues with other/authorised personnel, authorities, clien</w:t>
            </w:r>
            <w:r w:rsidRPr="006D4425">
              <w:t>ts and land owners are resolved to carry out work where necessary.</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1.10</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 xml:space="preserve">Site is prepared according to the work schedule, taking into account environmental and sustainable energy procedures and the need to minimise risk and damage to property, commerce, </w:t>
            </w:r>
            <w:r w:rsidRPr="006D4425">
              <w:t>and individuals in accordance with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1.11</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Personnel participating in the work, including plant operators and contractors, are fully briefed on environmental and sustainable energy procedures and respective responsibilities confirme</w:t>
            </w:r>
            <w:r w:rsidRPr="006D4425">
              <w:t>d where applicable in accordance with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w:t>
            </w:r>
          </w:p>
        </w:tc>
        <w:tc>
          <w:tcPr>
            <w:tcW w:w="232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Carry out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2.1</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OHS and sustainable energy principles and practices to reduce the incidents of accidents and minimise waste are monitored and followed in accordance with requirements and/or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2.2</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Use of power tools/equipment, techniques and practi</w:t>
            </w:r>
            <w:r w:rsidRPr="006D4425">
              <w:t>ces are safely followed under environmental and sustainable energy procedures and, currency according to requirements confirmed.</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2.3</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Essential knowledge and associated skills are applied in the safe implementation of environmental and sustainable energy</w:t>
            </w:r>
            <w:r w:rsidRPr="006D4425">
              <w:t xml:space="preserve"> procedures to ensure completion in an agreed timeframe and, to quality standards with a minimum of waste according to requirements.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2.4</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Relevant environmental procedures are applied to a specific project(s)/site(s).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2.5</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Work is conducted in accordance with the principles of sustainable energy and energy conservation.</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2.6</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Provision for the re-cycling or re-use of materials is undertaken where possible.</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2.7</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Hazard warnings and safety signs are recognised and hazards a</w:t>
            </w:r>
            <w:r w:rsidRPr="006D4425">
              <w:t>nd assessed OHS risks are reported to the immediate authorised persons for directions according to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2.8</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Unplanned events in the implementation of environmental and sustainable energy procedures are undertaken within the scope of e</w:t>
            </w:r>
            <w:r w:rsidRPr="006D4425">
              <w:t>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2.9</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Known solutions to a variety of problems are applied using acquired essential knowledge and associated skills on environmental and sustainable energy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2.10</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Ongoing checks of qual</w:t>
            </w:r>
            <w:r w:rsidRPr="006D4425">
              <w:t>ity of the work are undertaken in accordance with instructions and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w:t>
            </w:r>
          </w:p>
        </w:tc>
        <w:tc>
          <w:tcPr>
            <w:tcW w:w="232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Complete the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3.1</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Work undertaken is checked against works schedule for conformance with requirements and environme</w:t>
            </w:r>
            <w:r w:rsidRPr="006D4425">
              <w:t>ntal and sustainable energy procedures and, anomalies reported in accordance with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3.2</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Accidents and/or injuries are reported in accordance with requirements/established procedures, where applicable.</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3.3</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Work site is rehabilita</w:t>
            </w:r>
            <w:r w:rsidRPr="006D4425">
              <w:t>ted, cleaned up and made safe in accordance with environmental and sustainable energy procedures as well as other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3.4</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Tools, equipment and any surplus resources and materials are, where appropriate, cleaned, checked and returned to storage in accordance with environmental and sustainable energy procedures as well as other 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3.5</w:t>
            </w:r>
          </w:p>
        </w:tc>
        <w:tc>
          <w:tcPr>
            <w:tcW w:w="48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Relevant work permi</w:t>
            </w:r>
            <w:r w:rsidRPr="006D4425">
              <w:t>t(s) are signed off and, environmental risks/incidents and potential impacts are reported and recorded according to requirements/established procedures.</w:t>
            </w:r>
          </w:p>
        </w:tc>
      </w:tr>
      <w:tr w:rsidTr="00561C02">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t>3.6</w:t>
            </w:r>
          </w:p>
        </w:tc>
        <w:tc>
          <w:tcPr>
            <w:tcW w:w="48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Works completion records, reports, as installed /modified drawing and/or documentation and infor</w:t>
            </w:r>
            <w:r w:rsidRPr="006D4425">
              <w:t>mation are finalised and processed and appropriate personnel notified.</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9" w:name="O_455542"/>
      <w:bookmarkEnd w:id="9"/>
      <w:r w:rsidRPr="006D4425">
        <w:t>Required Skills and Knowledge</w:t>
      </w:r>
    </w:p>
    <w:tbl>
      <w:tblPr>
        <w:tblW w:w="0" w:type="auto"/>
        <w:tblLayout w:type="fixed"/>
        <w:tblCellMar>
          <w:left w:w="62" w:type="dxa"/>
          <w:right w:w="62" w:type="dxa"/>
        </w:tblCellMar>
        <w:tblLook w:val="0000"/>
      </w:tblPr>
      <w:tblGrid>
        <w:gridCol w:w="8460"/>
      </w:tblGrid>
      <w:tr w:rsidTr="00561C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REQUIRED SKILLS AND KNOWLEDGE</w:t>
            </w:r>
          </w:p>
        </w:tc>
      </w:tr>
      <w:tr w:rsidTr="00561C0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8)</w:t>
            </w:r>
            <w:r w:rsidRPr="006D4425">
              <w:t xml:space="preserve"> Essential Knowledge and Associated Skills (EKAS): This describes the essential skills and knowledge </w:t>
            </w:r>
            <w:r w:rsidRPr="006D4425">
              <w:t>and their level, required for this unit.</w:t>
            </w:r>
          </w:p>
          <w:p w:rsidR="00000000" w:rsidRPr="006D4425" w:rsidP="006D4425">
            <w:pPr>
              <w:pStyle w:val="BodyText"/>
            </w:pPr>
            <w:r w:rsidRPr="006D4425">
              <w:t>Evidence shall show that knowledge has been acquired of applying environmental and sustainable energy procedures.</w:t>
            </w:r>
          </w:p>
          <w:p w:rsidR="00000000" w:rsidRPr="006D4425" w:rsidP="006D4425">
            <w:pPr>
              <w:pStyle w:val="BodyText"/>
            </w:pPr>
            <w:r w:rsidRPr="006D4425">
              <w:t>All knowledge and skills detailed in this unit should be contextualised to current industry practices</w:t>
            </w:r>
            <w:r w:rsidRPr="006D4425">
              <w:t xml:space="preserve"> and technologies.</w:t>
            </w:r>
          </w:p>
          <w:p w:rsidR="00000000" w:rsidRPr="006D4425" w:rsidP="006D4425">
            <w:pPr>
              <w:pStyle w:val="BodyText"/>
            </w:pPr>
            <w:r w:rsidRPr="006D4425">
              <w:t xml:space="preserve">KS01-TEL11A </w:t>
            </w:r>
            <w:r w:rsidRPr="006D4425">
              <w:tab/>
              <w:t>Environmental fundamentals</w:t>
            </w:r>
          </w:p>
          <w:p w:rsidR="00000000" w:rsidRPr="006D4425" w:rsidP="006D4425">
            <w:pPr>
              <w:pStyle w:val="BodyText"/>
            </w:pPr>
            <w:r w:rsidRPr="006D4425">
              <w:t>Evidence shall show an understanding of environmental fundamentals to an extent indicated by the following aspects:</w:t>
            </w:r>
          </w:p>
          <w:p w:rsidR="00000000" w:rsidRPr="006D4425" w:rsidP="006D4425">
            <w:pPr>
              <w:pStyle w:val="BodyText"/>
            </w:pPr>
            <w:r w:rsidRPr="006D4425">
              <w:t>T1</w:t>
            </w:r>
            <w:r w:rsidRPr="006D4425">
              <w:tab/>
              <w:t>Environmental standards, codes, environmental legislation, supply authority re</w:t>
            </w:r>
            <w:r w:rsidRPr="006D4425">
              <w:t xml:space="preserve">gulations and or enterprise requirements applicable to the control of environment associated with the worksite encompassing: </w:t>
            </w:r>
          </w:p>
          <w:p w:rsidR="00000000" w:rsidRPr="006D4425" w:rsidP="006D4425">
            <w:pPr>
              <w:pStyle w:val="ListBullet"/>
            </w:pPr>
            <w:r w:rsidRPr="006D4425">
              <w:t xml:space="preserve">Relevant federal legislation </w:t>
            </w:r>
          </w:p>
          <w:p w:rsidR="00000000" w:rsidRPr="006D4425" w:rsidP="006D4425">
            <w:pPr>
              <w:pStyle w:val="ListBullet"/>
            </w:pPr>
            <w:r w:rsidRPr="006D4425">
              <w:t xml:space="preserve">Relevant state/territory legislation </w:t>
            </w:r>
          </w:p>
          <w:p w:rsidR="00000000" w:rsidRPr="006D4425" w:rsidP="006D4425">
            <w:pPr>
              <w:pStyle w:val="ListBullet"/>
            </w:pPr>
            <w:r w:rsidRPr="006D4425">
              <w:t xml:space="preserve">Relevant local government by-laws </w:t>
            </w:r>
          </w:p>
          <w:p w:rsidR="00000000" w:rsidRPr="006D4425" w:rsidP="006D4425">
            <w:pPr>
              <w:pStyle w:val="ListBullet"/>
            </w:pPr>
            <w:r w:rsidRPr="006D4425">
              <w:t>Relevant government or qua</w:t>
            </w:r>
            <w:r w:rsidRPr="006D4425">
              <w:t xml:space="preserve">si government policies and regulations </w:t>
            </w:r>
          </w:p>
          <w:p w:rsidR="00000000" w:rsidRPr="006D4425" w:rsidP="006D4425">
            <w:pPr>
              <w:pStyle w:val="ListBullet"/>
            </w:pPr>
            <w:r w:rsidRPr="006D4425">
              <w:t xml:space="preserve">Relevant community planning and development agreements - land care agreements </w:t>
            </w:r>
          </w:p>
          <w:p w:rsidR="00000000" w:rsidRPr="006D4425" w:rsidP="006D4425">
            <w:pPr>
              <w:pStyle w:val="BodyText"/>
            </w:pPr>
            <w:r w:rsidRPr="006D4425">
              <w:t>T2</w:t>
            </w:r>
            <w:r w:rsidRPr="006D4425">
              <w:tab/>
              <w:t xml:space="preserve">Employer and employee responsibilities </w:t>
            </w:r>
          </w:p>
          <w:p w:rsidR="00000000" w:rsidRPr="006D4425" w:rsidP="006D4425">
            <w:pPr>
              <w:pStyle w:val="BodyText"/>
            </w:pPr>
            <w:r w:rsidRPr="006D4425">
              <w:t>T3</w:t>
            </w:r>
            <w:r w:rsidRPr="006D4425">
              <w:tab/>
              <w:t xml:space="preserve">Methods of obtaining information on environmental issues and updates </w:t>
            </w:r>
          </w:p>
          <w:p w:rsidR="00000000" w:rsidRPr="006D4425" w:rsidP="006D4425">
            <w:pPr>
              <w:pStyle w:val="BodyText"/>
            </w:pPr>
            <w:r w:rsidRPr="006D4425">
              <w:t>T4</w:t>
            </w:r>
            <w:r w:rsidRPr="006D4425">
              <w:tab/>
              <w:t>Methods of identif</w:t>
            </w:r>
            <w:r w:rsidRPr="006D4425">
              <w:t xml:space="preserve">ying environmental impacts from work related activities </w:t>
            </w:r>
          </w:p>
          <w:p w:rsidR="00000000" w:rsidRPr="006D4425" w:rsidP="006D4425">
            <w:pPr>
              <w:pStyle w:val="BodyText"/>
            </w:pPr>
            <w:r w:rsidRPr="006D4425">
              <w:t>T5</w:t>
            </w:r>
            <w:r w:rsidRPr="006D4425">
              <w:tab/>
              <w:t xml:space="preserve">Meaning of environmental terms encompassing: </w:t>
            </w:r>
          </w:p>
          <w:p w:rsidR="00000000" w:rsidRPr="006D4425" w:rsidP="006D4425">
            <w:pPr>
              <w:pStyle w:val="ListBullet"/>
            </w:pPr>
            <w:r w:rsidRPr="006D4425">
              <w:t xml:space="preserve">Identification, assessment and control of risks </w:t>
            </w:r>
          </w:p>
          <w:p w:rsidR="00000000" w:rsidRPr="006D4425" w:rsidP="006D4425">
            <w:pPr>
              <w:pStyle w:val="ListBullet"/>
            </w:pPr>
            <w:r w:rsidRPr="006D4425">
              <w:t xml:space="preserve">Compliance </w:t>
            </w:r>
          </w:p>
          <w:p w:rsidR="00000000" w:rsidRPr="006D4425" w:rsidP="006D4425">
            <w:pPr>
              <w:pStyle w:val="ListBullet"/>
            </w:pPr>
            <w:r w:rsidRPr="006D4425">
              <w:t xml:space="preserve">Best practice </w:t>
            </w:r>
          </w:p>
          <w:p w:rsidR="00000000" w:rsidRPr="006D4425" w:rsidP="006D4425">
            <w:pPr>
              <w:pStyle w:val="ListBullet"/>
            </w:pPr>
            <w:r w:rsidRPr="006D4425">
              <w:t xml:space="preserve">Sustainable energy </w:t>
            </w:r>
          </w:p>
          <w:p w:rsidR="00000000" w:rsidRPr="006D4425" w:rsidP="006D4425">
            <w:pPr>
              <w:pStyle w:val="BodyText"/>
            </w:pPr>
            <w:r w:rsidRPr="006D4425">
              <w:t>T6</w:t>
            </w:r>
            <w:r w:rsidRPr="006D4425">
              <w:tab/>
            </w:r>
            <w:r w:rsidRPr="006D4425">
              <w:t xml:space="preserve">Procedures in implementing management plans to ensure compliance </w:t>
            </w:r>
          </w:p>
          <w:p w:rsidR="00000000" w:rsidRPr="006D4425" w:rsidP="006D4425">
            <w:pPr>
              <w:pStyle w:val="BodyText"/>
            </w:pPr>
            <w:r w:rsidRPr="006D4425">
              <w:t xml:space="preserve">KS02-TEL11A </w:t>
            </w:r>
            <w:r w:rsidRPr="006D4425">
              <w:tab/>
              <w:t xml:space="preserve">Material handling and the environment  </w:t>
            </w:r>
          </w:p>
          <w:p w:rsidR="00000000" w:rsidRPr="006D4425" w:rsidP="006D4425">
            <w:pPr>
              <w:pStyle w:val="BodyText"/>
            </w:pPr>
            <w:r w:rsidRPr="006D4425">
              <w:t>Evidence shall show an understanding of material handling and the environment to an extent indicated by the following aspects:</w:t>
            </w:r>
          </w:p>
          <w:p w:rsidR="00000000" w:rsidRPr="006D4425" w:rsidP="006D4425">
            <w:pPr>
              <w:pStyle w:val="BodyText"/>
            </w:pPr>
            <w:r w:rsidRPr="006D4425">
              <w:t>T1</w:t>
            </w:r>
            <w:r w:rsidRPr="006D4425">
              <w:tab/>
              <w:t>Methods</w:t>
            </w:r>
            <w:r w:rsidRPr="006D4425">
              <w:t xml:space="preserve"> of obtaining updated environmental information and data sheets on the proper use and handling of equipment and materials</w:t>
            </w:r>
          </w:p>
          <w:p w:rsidR="00000000" w:rsidRPr="006D4425" w:rsidP="006D4425">
            <w:pPr>
              <w:pStyle w:val="BodyText"/>
            </w:pPr>
            <w:r w:rsidRPr="006D4425">
              <w:t>T2</w:t>
            </w:r>
            <w:r w:rsidRPr="006D4425">
              <w:tab/>
              <w:t xml:space="preserve"> Environmental standards, codes, environmental legislation, OHS legislation, hazardous substances/dangerous goods regulations, supp</w:t>
            </w:r>
            <w:r w:rsidRPr="006D4425">
              <w:t xml:space="preserve">ly authority regulations and or enterprise requirements applicable environmental care when handling materials including provision of manufacturers and suppliers information such as material safety data sheets (MSDS) </w:t>
            </w:r>
          </w:p>
          <w:p w:rsidR="00000000" w:rsidRPr="006D4425" w:rsidP="006D4425">
            <w:pPr>
              <w:pStyle w:val="BodyText"/>
            </w:pPr>
            <w:r w:rsidRPr="006D4425">
              <w:t>T3</w:t>
            </w:r>
            <w:r w:rsidRPr="006D4425">
              <w:tab/>
              <w:t>Types and application of personal pr</w:t>
            </w:r>
            <w:r w:rsidRPr="006D4425">
              <w:t xml:space="preserve">otective equipment used for hazards substances and dangerous goods </w:t>
            </w:r>
          </w:p>
          <w:p w:rsidR="00000000" w:rsidRPr="006D4425" w:rsidP="006D4425">
            <w:pPr>
              <w:pStyle w:val="BodyText"/>
            </w:pPr>
            <w:r w:rsidRPr="006D4425">
              <w:t>T4</w:t>
            </w:r>
            <w:r w:rsidRPr="006D4425">
              <w:tab/>
              <w:t xml:space="preserve">Techniques in handling equipment to eliminate/reduce risks to the environment from spillages of oils, herbicides, pesticides and chemicals from such equipment encompassing: </w:t>
            </w:r>
          </w:p>
          <w:p w:rsidR="00000000" w:rsidRPr="006D4425" w:rsidP="006D4425">
            <w:pPr>
              <w:pStyle w:val="ListBullet"/>
            </w:pPr>
            <w:r w:rsidRPr="006D4425">
              <w:t>Vehicle lo</w:t>
            </w:r>
            <w:r w:rsidRPr="006D4425">
              <w:t xml:space="preserve">ading crane </w:t>
            </w:r>
          </w:p>
          <w:p w:rsidR="00000000" w:rsidRPr="006D4425" w:rsidP="006D4425">
            <w:pPr>
              <w:pStyle w:val="ListBullet"/>
            </w:pPr>
            <w:r w:rsidRPr="006D4425">
              <w:t xml:space="preserve">Chainsaw </w:t>
            </w:r>
          </w:p>
          <w:p w:rsidR="00000000" w:rsidRPr="006D4425" w:rsidP="006D4425">
            <w:pPr>
              <w:pStyle w:val="ListBullet"/>
            </w:pPr>
            <w:r w:rsidRPr="006D4425">
              <w:t xml:space="preserve">Enterprise vehicles </w:t>
            </w:r>
          </w:p>
          <w:p w:rsidR="00000000" w:rsidRPr="006D4425" w:rsidP="006D4425">
            <w:pPr>
              <w:pStyle w:val="ListBullet"/>
            </w:pPr>
            <w:r w:rsidRPr="006D4425">
              <w:t xml:space="preserve">Explosive power tools </w:t>
            </w:r>
          </w:p>
          <w:p w:rsidR="00000000" w:rsidRPr="006D4425" w:rsidP="006D4425">
            <w:pPr>
              <w:pStyle w:val="BodyText"/>
            </w:pPr>
            <w:r w:rsidRPr="006D4425">
              <w:t>T5</w:t>
            </w:r>
            <w:r w:rsidRPr="006D4425">
              <w:tab/>
              <w:t xml:space="preserve">Procedures for handling and control of spillages of herbicides </w:t>
            </w:r>
          </w:p>
          <w:p w:rsidR="00000000" w:rsidRPr="006D4425" w:rsidP="006D4425">
            <w:pPr>
              <w:pStyle w:val="BodyText"/>
            </w:pPr>
            <w:r w:rsidRPr="006D4425">
              <w:t>T6</w:t>
            </w:r>
            <w:r w:rsidRPr="006D4425">
              <w:tab/>
              <w:t>Methods of disposing and storage of herbicides, pesticides, oils and chemicals</w:t>
            </w:r>
          </w:p>
          <w:p w:rsidR="00000000" w:rsidRPr="006D4425" w:rsidP="006D4425">
            <w:pPr>
              <w:pStyle w:val="BodyText"/>
            </w:pPr>
            <w:r w:rsidRPr="006D4425">
              <w:t>T7</w:t>
            </w:r>
            <w:r w:rsidRPr="006D4425">
              <w:tab/>
              <w:t xml:space="preserve"> Methods of cleaning mobile plant, eq</w:t>
            </w:r>
            <w:r w:rsidRPr="006D4425">
              <w:t xml:space="preserve">uipment and tools </w:t>
            </w:r>
          </w:p>
          <w:p w:rsidR="00000000" w:rsidRPr="006D4425" w:rsidP="006D4425">
            <w:pPr>
              <w:pStyle w:val="BodyText"/>
            </w:pPr>
            <w:r w:rsidRPr="006D4425">
              <w:t>T8</w:t>
            </w:r>
            <w:r w:rsidRPr="006D4425">
              <w:tab/>
              <w:t>Emergency procedures for spillages of oil to reduce risks to the environment encompassing:</w:t>
            </w:r>
          </w:p>
          <w:p w:rsidR="00000000" w:rsidRPr="006D4425" w:rsidP="006D4425">
            <w:pPr>
              <w:pStyle w:val="ListBullet"/>
            </w:pPr>
            <w:r w:rsidRPr="006D4425">
              <w:t>Methods of cleaning up excessive spillages</w:t>
            </w:r>
          </w:p>
          <w:p w:rsidR="00000000" w:rsidRPr="006D4425" w:rsidP="006D4425">
            <w:pPr>
              <w:pStyle w:val="ListBullet"/>
            </w:pPr>
            <w:r w:rsidRPr="006D4425">
              <w:t>Methods of protection to surrounding environment</w:t>
            </w:r>
          </w:p>
          <w:p w:rsidR="00000000" w:rsidRPr="006D4425" w:rsidP="006D4425">
            <w:pPr>
              <w:pStyle w:val="ListBullet"/>
            </w:pPr>
            <w:r w:rsidRPr="006D4425">
              <w:t>Procedure for notification of relevant personnel and authorities</w:t>
            </w:r>
          </w:p>
          <w:p w:rsidR="00000000" w:rsidRPr="006D4425" w:rsidP="006D4425">
            <w:pPr>
              <w:pStyle w:val="ListBullet"/>
            </w:pPr>
            <w:r w:rsidRPr="006D4425">
              <w:t>Recording procedures</w:t>
            </w:r>
          </w:p>
          <w:p w:rsidR="00000000" w:rsidRPr="006D4425" w:rsidP="006D4425">
            <w:pPr>
              <w:pStyle w:val="BodyText"/>
            </w:pPr>
            <w:r w:rsidRPr="006D4425">
              <w:t>T9</w:t>
            </w:r>
            <w:r w:rsidRPr="006D4425">
              <w:tab/>
              <w:t xml:space="preserve">Recording of data  </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10" w:name="O_455537"/>
      <w:bookmarkEnd w:id="10"/>
      <w:r w:rsidRPr="006D4425">
        <w:t>Evidence Guide</w:t>
      </w:r>
    </w:p>
    <w:tbl>
      <w:tblPr>
        <w:tblW w:w="0" w:type="auto"/>
        <w:tblLayout w:type="fixed"/>
        <w:tblCellMar>
          <w:left w:w="62" w:type="dxa"/>
          <w:right w:w="62" w:type="dxa"/>
        </w:tblCellMar>
        <w:tblLook w:val="0000"/>
      </w:tblPr>
      <w:tblGrid>
        <w:gridCol w:w="8460"/>
      </w:tblGrid>
      <w:tr w:rsidTr="00561C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EVIDENCE GUIDE</w:t>
            </w:r>
          </w:p>
        </w:tc>
      </w:tr>
      <w:tr w:rsidTr="00561C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9)</w:t>
            </w:r>
            <w:r w:rsidRPr="006D4425">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6D4425" w:rsidP="006D4425">
            <w:pPr>
              <w:pStyle w:val="BodyText"/>
            </w:pPr>
            <w:r w:rsidRPr="006D4425">
              <w:t>The Evidenc</w:t>
            </w:r>
            <w:r w:rsidRPr="006D4425">
              <w:t>e Guide forms an integral part of this Unit and shall be used in conjunction with all component parts of this unit and, performed in accordance with the Assessment Guidelines of this Training Package.</w:t>
            </w:r>
          </w:p>
        </w:tc>
      </w:tr>
    </w:tbl>
    <w:p w:rsidR="00000000" w:rsidRPr="006D4425" w:rsidP="006D4425">
      <w:pPr>
        <w:pStyle w:val="BodyText"/>
      </w:pPr>
    </w:p>
    <w:tbl>
      <w:tblPr>
        <w:tblW w:w="0" w:type="auto"/>
        <w:tblLayout w:type="fixed"/>
        <w:tblCellMar>
          <w:left w:w="62" w:type="dxa"/>
          <w:right w:w="62" w:type="dxa"/>
        </w:tblCellMar>
        <w:tblLook w:val="0000"/>
      </w:tblPr>
      <w:tblGrid>
        <w:gridCol w:w="1890"/>
        <w:gridCol w:w="6570"/>
      </w:tblGrid>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9.1)</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Longitudinal competency</w:t>
            </w:r>
            <w:r w:rsidRPr="006D4425">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6D4425">
              <w:t>e Industry’s preferred model for apprenticeships. However, where summative (or final) assessment is used it is to include the application of the competency in the normal work environment or, at a minimum, the application of the competency in a realisticall</w:t>
            </w:r>
            <w:r w:rsidRPr="006D4425">
              <w:t>y simulated work environment. It is recognised that, in some circumstances, assessment in part or full can occur outside the workplace. However, it must be in accord with Industry and, Regulatory policy in this regard.</w:t>
            </w:r>
          </w:p>
          <w:p w:rsidR="00000000" w:rsidRPr="006D4425" w:rsidP="006D4425">
            <w:pPr>
              <w:pStyle w:val="BodyText"/>
            </w:pPr>
            <w:r w:rsidRPr="006D4425">
              <w:t>Methods chosen for a particular asses</w:t>
            </w:r>
            <w:r w:rsidRPr="006D4425">
              <w:t>sment will be influenced by various factors. These include the extent of the assessment, the most effective locations for the assessment activities to take place, access to physical resources, additional safety measures that may be required and the critica</w:t>
            </w:r>
            <w:r w:rsidRPr="006D4425">
              <w:t>l nature of the competencies being assessed.</w:t>
            </w:r>
          </w:p>
          <w:p w:rsidR="00000000" w:rsidRPr="006D4425" w:rsidP="006D4425">
            <w:pPr>
              <w:pStyle w:val="BodyText"/>
            </w:pPr>
            <w:r w:rsidRPr="006D4425">
              <w:t>The critical safety nature of working with electricity, electrical equipment, gas or any other hazardous substance/material carries risk in deeming a person competent. Hence, sources of evidence need to be ‘rich</w:t>
            </w:r>
            <w:r w:rsidRPr="006D4425">
              <w:t>’ in nature so as to minimise error in judgment.</w:t>
            </w:r>
          </w:p>
          <w:p w:rsidR="00000000" w:rsidRPr="006D4425" w:rsidP="006D4425">
            <w:pPr>
              <w:pStyle w:val="BodyText"/>
            </w:pPr>
            <w:r w:rsidRPr="006D4425">
              <w:t>Activities associated with normal every day work have a bearing on the decision as to how much and how detailed the data gathered will contribute to its ‘richness’</w:t>
            </w:r>
            <w:r w:rsidRPr="006D4425">
              <w:t>. Some skills are more critical to safety and operational requirements while the same skills may be more or less frequently practiced. These points are raised for the assessors to consider when choosing an assessment method and developing assessment instru</w:t>
            </w:r>
            <w:r w:rsidRPr="006D4425">
              <w:t>ments. Sample assessment instruments are included for Assessors in the Assessment Guidelines of this Training Package.</w:t>
            </w:r>
          </w:p>
        </w:tc>
      </w:tr>
    </w:tbl>
    <w:p w:rsidR="00000000" w:rsidRPr="006D4425" w:rsidP="006D442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9.2)</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Before the critical aspects of evidence are cons</w:t>
            </w:r>
            <w:r w:rsidRPr="006D4425">
              <w:t>idered all prerequisites shall be met.</w:t>
            </w:r>
          </w:p>
          <w:p w:rsidR="00000000" w:rsidRPr="006D4425" w:rsidP="006D4425">
            <w:pPr>
              <w:pStyle w:val="BodyText"/>
            </w:pPr>
            <w:r w:rsidRPr="006D4425">
              <w:t>Evidence for competence in this unit shall be considered holistically. Each element and associated Performance Criteria shall be demonstrated on at least two occasions in accordance with the “Assessment Guidelines – U</w:t>
            </w:r>
            <w:r w:rsidRPr="006D4425">
              <w:t>ET12”. Evidence shall also comprise:</w:t>
            </w:r>
          </w:p>
          <w:p w:rsidR="00000000" w:rsidRPr="006D4425" w:rsidP="006D4425">
            <w:pPr>
              <w:pStyle w:val="ListBullet"/>
            </w:pPr>
            <w:r w:rsidRPr="006D4425">
              <w:t xml:space="preserve">A representative body of Performance Criteria demonstrated within the timeframes typically expected of the discipline, work function and industrial environment. In particular this shall incorporate evidence that shows </w:t>
            </w:r>
            <w:r w:rsidRPr="006D4425">
              <w:t>a candidate is able to:</w:t>
            </w:r>
          </w:p>
          <w:p w:rsidR="00000000" w:rsidRPr="006D4425" w:rsidP="006D4425">
            <w:pPr>
              <w:pStyle w:val="ListBullet2"/>
            </w:pPr>
            <w:r w:rsidRPr="006D4425">
              <w:t>Implement Occupational Health and Safety workplace procedures and practices including the use of risk control measures as specified in the Performance Criteria and range; and</w:t>
            </w:r>
          </w:p>
          <w:p w:rsidR="00000000" w:rsidRPr="006D4425" w:rsidP="006D4425">
            <w:pPr>
              <w:pStyle w:val="ListBullet2"/>
            </w:pPr>
            <w:r w:rsidRPr="006D4425">
              <w:t>Apply sustainable energy principles and practices as specified in the Performance Criteria and range; and</w:t>
            </w:r>
          </w:p>
          <w:p w:rsidR="00000000" w:rsidRPr="006D4425" w:rsidP="006D4425">
            <w:pPr>
              <w:pStyle w:val="ListBullet2"/>
            </w:pPr>
            <w:r w:rsidRPr="006D4425">
              <w:t>Demonstrate an understanding of the essential knowledge and associated skills as described in this unit to such an extent that the learner’s performan</w:t>
            </w:r>
            <w:r w:rsidRPr="006D4425">
              <w:t>ce outcome is reported in accordance with the preferred approach; namely a percentile graded result, where required by the regulated environment; and</w:t>
            </w:r>
          </w:p>
          <w:p w:rsidR="00000000" w:rsidRPr="006D4425" w:rsidP="006D4425">
            <w:pPr>
              <w:pStyle w:val="ListBullet2"/>
            </w:pPr>
            <w:r w:rsidRPr="006D4425">
              <w:t>Demonstrate an appropriate level of employability skills; and</w:t>
            </w:r>
          </w:p>
          <w:p w:rsidR="00000000" w:rsidRPr="006D4425" w:rsidP="006D4425">
            <w:pPr>
              <w:pStyle w:val="ListBullet"/>
            </w:pPr>
            <w:r w:rsidRPr="006D4425">
              <w:t>Conduct work observing the relevant Anti Di</w:t>
            </w:r>
            <w:r w:rsidRPr="006D4425">
              <w:t>scrimination legislation, regulations, policies and workplace procedures; and</w:t>
            </w:r>
          </w:p>
          <w:p w:rsidR="00000000" w:rsidP="006D4425">
            <w:pPr>
              <w:pStyle w:val="ListBullet2"/>
              <w:rPr>
                <w:lang w:val="en-NZ"/>
              </w:rPr>
            </w:pPr>
            <w:r w:rsidRPr="006D4425">
              <w:t>Demonstrated performance across a representative range of contexts from the prescribed items below:</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D442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rPr>
                <w:rStyle w:val="SpecialBold"/>
              </w:rPr>
              <w:t>Range of tools/equipment/materials/procedures/workplaces/other variables</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D442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5" w:rsidP="006D4425">
            <w:pPr>
              <w:pStyle w:val="BodyText"/>
            </w:pPr>
            <w:r w:rsidRPr="006D442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5" w:rsidP="006D4425">
            <w:pPr>
              <w:pStyle w:val="BodyText"/>
            </w:pPr>
            <w:r w:rsidRPr="006D442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rPr>
                <w:rStyle w:val="SpecialBold"/>
              </w:rPr>
              <w:t>Item List</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5" w:rsidP="006D4425">
            <w:pPr>
              <w:pStyle w:val="BodyText"/>
            </w:pPr>
            <w:r w:rsidRPr="006D4425">
              <w:t>Environmental risk assessment</w:t>
            </w:r>
          </w:p>
          <w:p w:rsidR="00000000" w:rsidRPr="006D4425" w:rsidP="006D4425">
            <w:pPr>
              <w:pStyle w:val="BodyText"/>
            </w:pPr>
            <w:r w:rsidRPr="006D4425">
              <w:t>Legislative requirements</w:t>
            </w:r>
          </w:p>
          <w:p w:rsidR="00000000" w:rsidP="006D4425">
            <w:pPr>
              <w:pStyle w:val="BodyText"/>
              <w:rPr>
                <w:lang w:val="en-NZ"/>
              </w:rPr>
            </w:pPr>
            <w:r w:rsidRPr="006D4425">
              <w:t>Sustainable energy principles and practice</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5">
            <w:pPr>
              <w:pStyle w:val="BodyText"/>
              <w:rPr>
                <w:lang w:val="en-NZ"/>
              </w:rPr>
            </w:pPr>
            <w:r w:rsidRPr="006D442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5" w:rsidP="006D4425">
            <w:pPr>
              <w:pStyle w:val="BodyText"/>
            </w:pPr>
            <w:r w:rsidRPr="006D4425">
              <w:t>Dealing with an unplanned event by drawing on essential knowledge and associated skills to provide appropriate solutions incorporated in the holistic assessment with the above listed ite</w:t>
            </w:r>
            <w:r w:rsidRPr="006D4425">
              <w:t>ms.</w:t>
            </w:r>
          </w:p>
        </w:tc>
      </w:tr>
    </w:tbl>
    <w:p w:rsidR="00000000" w:rsidRPr="006D4425" w:rsidP="006D4425">
      <w:pPr>
        <w:pStyle w:val="BodyText"/>
      </w:pPr>
    </w:p>
    <w:tbl>
      <w:tblPr>
        <w:tblW w:w="0" w:type="auto"/>
        <w:tblLayout w:type="fixed"/>
        <w:tblCellMar>
          <w:left w:w="62" w:type="dxa"/>
          <w:right w:w="62" w:type="dxa"/>
        </w:tblCellMar>
        <w:tblLook w:val="0000"/>
      </w:tblPr>
      <w:tblGrid>
        <w:gridCol w:w="1890"/>
        <w:gridCol w:w="6570"/>
      </w:tblGrid>
      <w:tr w:rsidTr="00561C0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9.3)</w:t>
            </w:r>
          </w:p>
        </w:tc>
      </w:tr>
      <w:tr w:rsidTr="00561C02">
        <w:tblPrEx>
          <w:tblW w:w="0" w:type="auto"/>
          <w:tblLayout w:type="fixed"/>
          <w:tblCellMar>
            <w:left w:w="62" w:type="dxa"/>
            <w:right w:w="62" w:type="dxa"/>
          </w:tblCellMar>
          <w:tblLook w:val="0000"/>
        </w:tblPrEx>
        <w:trPr>
          <w:trHeight w:val="2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This unit should be assessed as it relates to normal work practice using procedures, information and resources typical of a workplace. This should include:</w:t>
            </w:r>
          </w:p>
          <w:p w:rsidR="00000000" w:rsidRPr="006D4425" w:rsidP="006D4425">
            <w:pPr>
              <w:pStyle w:val="ListBullet"/>
            </w:pPr>
            <w:r w:rsidRPr="006D4425">
              <w:t>OHS policy and work procedures and instructions.</w:t>
            </w:r>
          </w:p>
          <w:p w:rsidR="00000000" w:rsidRPr="006D4425" w:rsidP="006D4425">
            <w:pPr>
              <w:pStyle w:val="ListBullet"/>
            </w:pPr>
            <w:r w:rsidRPr="006D4425">
              <w:t xml:space="preserve">Suitable work environment, facilities, equipment and materials to undertake actual environmental and sustainable energy procedures. </w:t>
            </w:r>
          </w:p>
          <w:p w:rsidR="00000000" w:rsidRPr="006D4425" w:rsidP="006D4425">
            <w:pPr>
              <w:pStyle w:val="BodyText"/>
            </w:pPr>
            <w:r w:rsidRPr="006D4425">
              <w:t>In addition to the resources listed above, in context of and specific reso</w:t>
            </w:r>
            <w:r w:rsidRPr="006D4425">
              <w:t>urces for assessment, evidence should show demonstrated competency working below ground, in limited spaces, with different structural/construction types and method and in a variety of environments.</w:t>
            </w:r>
          </w:p>
        </w:tc>
      </w:tr>
    </w:tbl>
    <w:p w:rsidR="00000000" w:rsidRPr="006D4425" w:rsidP="006D4425">
      <w:pPr>
        <w:pStyle w:val="BodyText"/>
      </w:pPr>
    </w:p>
    <w:tbl>
      <w:tblPr>
        <w:tblW w:w="0" w:type="auto"/>
        <w:tblLayout w:type="fixed"/>
        <w:tblCellMar>
          <w:left w:w="62" w:type="dxa"/>
          <w:right w:w="62" w:type="dxa"/>
        </w:tblCellMar>
        <w:tblLook w:val="0000"/>
      </w:tblPr>
      <w:tblGrid>
        <w:gridCol w:w="1890"/>
        <w:gridCol w:w="6570"/>
      </w:tblGrid>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9.4)</w:t>
            </w:r>
          </w:p>
        </w:tc>
      </w:tr>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This Competency Standard Unit shall be assessed by methods given in Volume 1, Part 3 "Assessment Guidelines".</w:t>
            </w:r>
          </w:p>
          <w:p w:rsidR="00000000" w:rsidRPr="006D4425" w:rsidP="006D4425">
            <w:pPr>
              <w:pStyle w:val="BodyText"/>
            </w:pPr>
            <w:r w:rsidRPr="006D4425">
              <w:t>Note:</w:t>
            </w:r>
            <w:r w:rsidRPr="006D4425">
              <w:br/>
              <w:t xml:space="preserve">Competent performance with inherent safe working practices is expected in the Industry to which this Competency Standard Unit applies. This </w:t>
            </w:r>
            <w:r w:rsidRPr="006D4425">
              <w:t>requires that the specified essential knowledge and associated skills are assessed in a structured environment which is primarily intended for learning/assessment and incorporates all necessary equipment and facilities for learners to develop and demonstra</w:t>
            </w:r>
            <w:r w:rsidRPr="006D4425">
              <w:t>te the essential knowledge and associated skills described in this unit.</w:t>
            </w:r>
          </w:p>
        </w:tc>
      </w:tr>
    </w:tbl>
    <w:p w:rsidR="00000000" w:rsidRPr="006D4425" w:rsidP="006D4425">
      <w:pPr>
        <w:pStyle w:val="BodyText"/>
      </w:pPr>
    </w:p>
    <w:tbl>
      <w:tblPr>
        <w:tblW w:w="0" w:type="auto"/>
        <w:tblLayout w:type="fixed"/>
        <w:tblCellMar>
          <w:left w:w="62" w:type="dxa"/>
          <w:right w:w="62" w:type="dxa"/>
        </w:tblCellMar>
        <w:tblLook w:val="0000"/>
      </w:tblPr>
      <w:tblGrid>
        <w:gridCol w:w="1890"/>
        <w:gridCol w:w="6570"/>
      </w:tblGrid>
      <w:tr w:rsidTr="00561C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9.5)</w:t>
            </w:r>
          </w:p>
        </w:tc>
      </w:tr>
      <w:tr w:rsidTr="00561C02">
        <w:tblPrEx>
          <w:tblW w:w="0" w:type="auto"/>
          <w:tblLayout w:type="fixed"/>
          <w:tblCellMar>
            <w:left w:w="62" w:type="dxa"/>
            <w:right w:w="62" w:type="dxa"/>
          </w:tblCellMar>
          <w:tblLook w:val="0000"/>
        </w:tblPrEx>
        <w:trPr>
          <w:trHeight w:val="266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For optimisation of training and assessment effort, competence in this unit may be assessed concurrently with the foll</w:t>
            </w:r>
            <w:r w:rsidRPr="006D4425">
              <w:t xml:space="preserve">owing units: </w:t>
            </w:r>
          </w:p>
          <w:p w:rsidR="00000000" w:rsidRPr="006D4425" w:rsidP="006D4425">
            <w:pPr>
              <w:pStyle w:val="BodyText"/>
            </w:pPr>
            <w:r w:rsidRPr="006D4425">
              <w:t>UEENEEE101A</w:t>
            </w:r>
            <w:r w:rsidRPr="006D4425">
              <w:tab/>
              <w:t>Apply Occupational Health Safety regulations, codes and practices in the workplace</w:t>
            </w:r>
          </w:p>
          <w:p w:rsidR="00000000" w:rsidRPr="006D4425" w:rsidP="006D4425">
            <w:pPr>
              <w:pStyle w:val="BodyText"/>
            </w:pPr>
            <w:r w:rsidRPr="006D4425">
              <w:t>UETTDREL12A</w:t>
            </w:r>
            <w:r w:rsidRPr="006D4425">
              <w:tab/>
              <w:t>Operate plant and equipment near live electrical conductors and apparatus</w:t>
            </w:r>
          </w:p>
          <w:p w:rsidR="00000000" w:rsidRPr="006D4425" w:rsidP="006D4425">
            <w:pPr>
              <w:pStyle w:val="BodyText"/>
            </w:pPr>
            <w:r w:rsidRPr="006D4425">
              <w:t>UETTDREL14A</w:t>
            </w:r>
            <w:r w:rsidRPr="006D4425">
              <w:tab/>
              <w:t xml:space="preserve">Working safe near live electrical apparatus as a </w:t>
            </w:r>
            <w:r w:rsidRPr="006D4425">
              <w:t>non-electrical worker</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11" w:name="O_455541"/>
      <w:bookmarkEnd w:id="11"/>
      <w:r w:rsidRPr="006D4425">
        <w:t>Range Statement</w:t>
      </w:r>
    </w:p>
    <w:tbl>
      <w:tblPr>
        <w:tblW w:w="0" w:type="auto"/>
        <w:tblLayout w:type="fixed"/>
        <w:tblCellMar>
          <w:left w:w="62" w:type="dxa"/>
          <w:right w:w="62" w:type="dxa"/>
        </w:tblCellMar>
        <w:tblLook w:val="0000"/>
      </w:tblPr>
      <w:tblGrid>
        <w:gridCol w:w="8460"/>
      </w:tblGrid>
      <w:tr w:rsidTr="00561C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RANGE STATEMENT</w:t>
            </w:r>
          </w:p>
        </w:tc>
      </w:tr>
      <w:tr w:rsidTr="00561C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10)</w:t>
            </w:r>
            <w:r w:rsidRPr="006D4425">
              <w:t xml:space="preserve"> This relates to the competency standard unit as a whole providing the range of contexts and conditions to which the Performan</w:t>
            </w:r>
            <w:r w:rsidRPr="006D4425">
              <w:t>ce Criteria apply. It allows for different work environments and situations that will affect performance.</w:t>
            </w:r>
          </w:p>
          <w:p w:rsidR="00000000" w:rsidRPr="006D4425" w:rsidP="006D4425">
            <w:pPr>
              <w:pStyle w:val="BodyText"/>
            </w:pPr>
            <w:r w:rsidRPr="006D4425">
              <w:t xml:space="preserve">This Unit shall be demonstrated in relation to the application of relevant environmental and sustainable energy procedures to specific projects/sites </w:t>
            </w:r>
            <w:r w:rsidRPr="006D4425">
              <w:t>incorporating energy conservation principles and relevant re-cycling procedures.</w:t>
            </w:r>
          </w:p>
          <w:p w:rsidR="00000000" w:rsidRPr="006D4425" w:rsidP="006D4425">
            <w:pPr>
              <w:pStyle w:val="BodyText"/>
            </w:pPr>
            <w:r w:rsidRPr="006D4425">
              <w:t>Specific project(s)/site(s) may include, but is not limited to buildings; plants construction and maintenance sites; workshops; laboratories; catchments; flood plains irrigati</w:t>
            </w:r>
            <w:r w:rsidRPr="006D4425">
              <w:t>on sites; wetlands; drainage sites; waste disposal sites; easements.</w:t>
            </w:r>
          </w:p>
          <w:p w:rsidR="00000000" w:rsidRPr="006D4425" w:rsidP="006D4425">
            <w:pPr>
              <w:pStyle w:val="BodyText"/>
            </w:pPr>
            <w:r w:rsidRPr="006D4425">
              <w:t>Environmental risks may include impact of mismanagement of chemicals; impact of mismanagement of biological agents; detrimental impact on limited water resources; spillage; waste disposal</w:t>
            </w:r>
            <w:r w:rsidRPr="006D4425">
              <w:t>; detrimental impact on water catchment areas (urban and non-urban); detrimental impact on rivers, waterways and channels; unsatisfactory trade waste treatment and disposal processes; poor construction processes; planning deficiencies; neglect of sustainab</w:t>
            </w:r>
            <w:r w:rsidRPr="006D4425">
              <w:t>le energy principles</w:t>
            </w:r>
          </w:p>
          <w:p w:rsidR="00000000" w:rsidRPr="006D4425" w:rsidP="006D4425">
            <w:pPr>
              <w:pStyle w:val="BodyText"/>
            </w:pPr>
            <w:r w:rsidRPr="006D4425">
              <w:t xml:space="preserve">Environmental legislation may include relevant federal legislation; relevant State/Territory legislation; relevant local government by-laws; relevant government or quasi government policies and regulations; relevant community planning </w:t>
            </w:r>
            <w:r w:rsidRPr="006D4425">
              <w:t>and development agreements (e.g. land care agreements)</w:t>
            </w:r>
          </w:p>
          <w:p w:rsidR="00000000" w:rsidRPr="006D4425" w:rsidP="006D4425">
            <w:pPr>
              <w:pStyle w:val="BodyText"/>
            </w:pPr>
            <w:r w:rsidRPr="006D4425">
              <w:t>Incidents of environmental impact may include emissions to air; releases to/of water; releases to land; vibration and noise; disposal of waste; contamination of land; impact on communities; destruction</w:t>
            </w:r>
            <w:r w:rsidRPr="006D4425">
              <w:t xml:space="preserve"> of habitat; use of energy sources; waste generation processes and technologies; impact on culturally significant sites; and may involve the implementation of emergency responses</w:t>
            </w:r>
          </w:p>
          <w:p w:rsidR="00000000" w:rsidRPr="006D4425" w:rsidP="006D4425">
            <w:pPr>
              <w:pStyle w:val="BodyText"/>
            </w:pPr>
            <w:r w:rsidRPr="006D4425">
              <w:t xml:space="preserve">Environmental management documentation may include information on applicable </w:t>
            </w:r>
            <w:r w:rsidRPr="006D4425">
              <w:t xml:space="preserve">environmental laws or other requirements; complaint records; training records; process information; process operational log books; inspection, maintenance and calibration records; relevant contractor and supplier information; incident reports; information </w:t>
            </w:r>
            <w:r w:rsidRPr="006D4425">
              <w:t>on emergency preparedness and response; records of significant environmental impacts; chain of custody and compliance records; audit results; management reviews</w:t>
            </w:r>
          </w:p>
          <w:p w:rsidR="00000000" w:rsidRPr="006D4425" w:rsidP="006D4425">
            <w:pPr>
              <w:pStyle w:val="BodyText"/>
            </w:pPr>
            <w:r w:rsidRPr="006D4425">
              <w:t>The following constants and variables included in the element/Performance Criteria in this unit</w:t>
            </w:r>
            <w:r w:rsidRPr="006D4425">
              <w:t xml:space="preserve"> are fully described in the Definitions Section 1 of this volume and form an integral part of the Range Statement of this unit:</w:t>
            </w:r>
          </w:p>
          <w:p w:rsidR="00000000" w:rsidRPr="006D4425" w:rsidP="006D4425">
            <w:pPr>
              <w:pStyle w:val="ListBullet3"/>
            </w:pPr>
            <w:r w:rsidRPr="006D4425">
              <w:t>Appropriate and relevant persons (see Personnel)</w:t>
            </w:r>
          </w:p>
          <w:p w:rsidR="00000000" w:rsidRPr="006D4425" w:rsidP="006D4425">
            <w:pPr>
              <w:pStyle w:val="ListBullet3"/>
            </w:pPr>
            <w:r w:rsidRPr="006D4425">
              <w:t>Appropriate authorities</w:t>
            </w:r>
          </w:p>
          <w:p w:rsidR="00000000" w:rsidRPr="006D4425" w:rsidP="006D4425">
            <w:pPr>
              <w:pStyle w:val="ListBullet3"/>
            </w:pPr>
            <w:r w:rsidRPr="006D4425">
              <w:t>Assessing risk</w:t>
            </w:r>
          </w:p>
          <w:p w:rsidR="00000000" w:rsidRPr="006D4425" w:rsidP="006D4425">
            <w:pPr>
              <w:pStyle w:val="ListBullet3"/>
            </w:pPr>
            <w:r w:rsidRPr="006D4425">
              <w:t>Assessment</w:t>
            </w:r>
          </w:p>
          <w:p w:rsidR="00000000" w:rsidRPr="006D4425" w:rsidP="006D4425">
            <w:pPr>
              <w:pStyle w:val="ListBullet3"/>
            </w:pPr>
            <w:r w:rsidRPr="006D4425">
              <w:t>Authorisation</w:t>
            </w:r>
          </w:p>
          <w:p w:rsidR="00000000" w:rsidRPr="006D4425" w:rsidP="006D4425">
            <w:pPr>
              <w:pStyle w:val="ListBullet3"/>
            </w:pPr>
            <w:r w:rsidRPr="006D4425">
              <w:t>Diagnostic, testing and restoration</w:t>
            </w:r>
          </w:p>
          <w:p w:rsidR="00000000" w:rsidRPr="006D4425" w:rsidP="006D4425">
            <w:pPr>
              <w:pStyle w:val="ListBullet3"/>
            </w:pPr>
            <w:r w:rsidRPr="006D4425">
              <w:t>Documenting detail work events, record keeping and or storage of information</w:t>
            </w:r>
          </w:p>
          <w:p w:rsidR="00000000" w:rsidRPr="006D4425" w:rsidP="006D4425">
            <w:pPr>
              <w:pStyle w:val="ListBullet3"/>
            </w:pPr>
            <w:r w:rsidRPr="006D4425">
              <w:t>Drawings and specifications</w:t>
            </w:r>
          </w:p>
          <w:p w:rsidR="00000000" w:rsidRPr="006D4425" w:rsidP="006D4425">
            <w:pPr>
              <w:pStyle w:val="ListBullet3"/>
            </w:pPr>
            <w:r w:rsidRPr="006D4425">
              <w:t>Emergency</w:t>
            </w:r>
          </w:p>
          <w:p w:rsidR="00000000" w:rsidRPr="006D4425" w:rsidP="006D4425">
            <w:pPr>
              <w:pStyle w:val="ListBullet3"/>
            </w:pPr>
            <w:r w:rsidRPr="006D4425">
              <w:t>Environmental and sustainable energy procedures</w:t>
            </w:r>
          </w:p>
          <w:p w:rsidR="00000000" w:rsidRPr="006D4425" w:rsidP="006D4425">
            <w:pPr>
              <w:pStyle w:val="ListBullet3"/>
            </w:pPr>
            <w:r w:rsidRPr="006D4425">
              <w:t>Environmental legislation</w:t>
            </w:r>
          </w:p>
          <w:p w:rsidR="00000000" w:rsidRPr="006D4425" w:rsidP="006D4425">
            <w:pPr>
              <w:pStyle w:val="ListBullet3"/>
            </w:pPr>
            <w:r w:rsidRPr="006D4425">
              <w:t>Environmental management docume</w:t>
            </w:r>
            <w:r w:rsidRPr="006D4425">
              <w:t>ntation</w:t>
            </w:r>
          </w:p>
          <w:p w:rsidR="00000000" w:rsidRPr="006D4425" w:rsidP="006D4425">
            <w:pPr>
              <w:pStyle w:val="ListBullet3"/>
            </w:pPr>
            <w:r w:rsidRPr="006D4425">
              <w:t>Established procedures</w:t>
            </w:r>
          </w:p>
          <w:p w:rsidR="00000000" w:rsidRPr="006D4425" w:rsidP="006D4425">
            <w:pPr>
              <w:pStyle w:val="ListBullet3"/>
            </w:pPr>
            <w:r w:rsidRPr="006D4425">
              <w:t>Fall prevention</w:t>
            </w:r>
          </w:p>
          <w:p w:rsidR="00000000" w:rsidRPr="006D4425" w:rsidP="006D4425">
            <w:pPr>
              <w:pStyle w:val="ListBullet3"/>
            </w:pPr>
            <w:r w:rsidRPr="006D4425">
              <w:t>Hazards</w:t>
            </w:r>
          </w:p>
          <w:p w:rsidR="00000000" w:rsidRPr="006D4425" w:rsidP="006D4425">
            <w:pPr>
              <w:pStyle w:val="ListBullet3"/>
            </w:pPr>
            <w:r w:rsidRPr="006D4425">
              <w:t>Identifying hazards</w:t>
            </w:r>
          </w:p>
          <w:p w:rsidR="00000000" w:rsidRPr="006D4425" w:rsidP="006D4425">
            <w:pPr>
              <w:pStyle w:val="ListBullet3"/>
            </w:pPr>
            <w:r w:rsidRPr="006D4425">
              <w:t>Inspect</w:t>
            </w:r>
          </w:p>
          <w:p w:rsidR="00000000" w:rsidRPr="006D4425" w:rsidP="006D4425">
            <w:pPr>
              <w:pStyle w:val="ListBullet3"/>
            </w:pPr>
            <w:r w:rsidRPr="006D4425">
              <w:t>Legislation</w:t>
            </w:r>
          </w:p>
          <w:p w:rsidR="00000000" w:rsidRPr="006D4425" w:rsidP="006D4425">
            <w:pPr>
              <w:pStyle w:val="ListBullet3"/>
            </w:pPr>
            <w:r w:rsidRPr="006D4425">
              <w:t>MSDS</w:t>
            </w:r>
          </w:p>
          <w:p w:rsidR="00000000" w:rsidRPr="006D4425" w:rsidP="006D4425">
            <w:pPr>
              <w:pStyle w:val="ListBullet3"/>
            </w:pPr>
            <w:r w:rsidRPr="006D4425">
              <w:t>Notification</w:t>
            </w:r>
          </w:p>
          <w:p w:rsidR="00000000" w:rsidRPr="006D4425" w:rsidP="006D4425">
            <w:pPr>
              <w:pStyle w:val="ListBullet3"/>
            </w:pPr>
            <w:r w:rsidRPr="006D4425">
              <w:t>OHS practices</w:t>
            </w:r>
          </w:p>
          <w:p w:rsidR="00000000" w:rsidRPr="006D4425" w:rsidP="006D4425">
            <w:pPr>
              <w:pStyle w:val="ListBullet3"/>
            </w:pPr>
            <w:r w:rsidRPr="006D4425">
              <w:t>OHS issues</w:t>
            </w:r>
          </w:p>
          <w:p w:rsidR="00000000" w:rsidRPr="006D4425" w:rsidP="006D4425">
            <w:pPr>
              <w:pStyle w:val="ListBullet3"/>
            </w:pPr>
            <w:r w:rsidRPr="006D4425">
              <w:t>Permits and/or permits to work</w:t>
            </w:r>
          </w:p>
          <w:p w:rsidR="00000000" w:rsidRPr="006D4425" w:rsidP="006D4425">
            <w:pPr>
              <w:pStyle w:val="ListBullet3"/>
            </w:pPr>
            <w:r w:rsidRPr="006D4425">
              <w:t>Personnel</w:t>
            </w:r>
          </w:p>
          <w:p w:rsidR="00000000" w:rsidRPr="006D4425" w:rsidP="006D4425">
            <w:pPr>
              <w:pStyle w:val="ListBullet3"/>
            </w:pPr>
            <w:r w:rsidRPr="006D4425">
              <w:t>Quality assurance systems</w:t>
            </w:r>
          </w:p>
          <w:p w:rsidR="00000000" w:rsidRPr="006D4425" w:rsidP="006D4425">
            <w:pPr>
              <w:pStyle w:val="ListBullet3"/>
            </w:pPr>
            <w:r w:rsidRPr="006D4425">
              <w:t>Requirements</w:t>
            </w:r>
          </w:p>
          <w:p w:rsidR="00000000" w:rsidRPr="006D4425" w:rsidP="006D4425">
            <w:pPr>
              <w:pStyle w:val="ListBullet3"/>
            </w:pPr>
            <w:r w:rsidRPr="006D4425">
              <w:t>Testing procedures</w:t>
            </w:r>
          </w:p>
          <w:p w:rsidR="00000000" w:rsidRPr="006D4425" w:rsidP="006D4425">
            <w:pPr>
              <w:pStyle w:val="ListBullet3"/>
            </w:pPr>
            <w:r w:rsidRPr="006D4425">
              <w:t>Work clearance systems</w:t>
            </w:r>
          </w:p>
        </w:tc>
      </w:tr>
    </w:tbl>
    <w:p w:rsidR="00000000" w:rsidRPr="006D4425" w:rsidP="006D4425">
      <w:pPr>
        <w:pStyle w:val="BodyText"/>
      </w:pPr>
    </w:p>
    <w:p w:rsidR="00000000" w:rsidRPr="006D4425" w:rsidP="006D4425">
      <w:pPr>
        <w:pStyle w:val="AllowPageBreak"/>
      </w:pPr>
    </w:p>
    <w:p w:rsidR="00000000" w:rsidRPr="006D4425" w:rsidP="006D4425">
      <w:pPr>
        <w:pStyle w:val="Heading1"/>
      </w:pPr>
      <w:bookmarkStart w:id="12" w:name="O_455544"/>
      <w:bookmarkEnd w:id="12"/>
      <w:r w:rsidRPr="006D4425">
        <w:t>Unit Sector(s)</w:t>
      </w:r>
    </w:p>
    <w:p w:rsidR="00000000" w:rsidRPr="006D4425" w:rsidP="006D4425">
      <w:pPr>
        <w:pStyle w:val="BodyText"/>
      </w:pPr>
      <w:r w:rsidRPr="006D4425">
        <w:t>Not applicable.</w:t>
      </w:r>
    </w:p>
    <w:p w:rsidR="00000000" w:rsidRPr="006D4425" w:rsidP="006D4425">
      <w:pPr>
        <w:pStyle w:val="AllowPageBreak"/>
      </w:pPr>
    </w:p>
    <w:p w:rsidR="00000000" w:rsidRPr="006D4425" w:rsidP="006D4425">
      <w:pPr>
        <w:pStyle w:val="Heading1"/>
      </w:pPr>
      <w:bookmarkStart w:id="13" w:name="O_455533"/>
      <w:bookmarkEnd w:id="13"/>
      <w:r w:rsidRPr="006D4425">
        <w:t>Competency Field</w:t>
      </w:r>
    </w:p>
    <w:tbl>
      <w:tblPr>
        <w:tblW w:w="0" w:type="auto"/>
        <w:tblLayout w:type="fixed"/>
        <w:tblCellMar>
          <w:left w:w="62" w:type="dxa"/>
          <w:right w:w="62" w:type="dxa"/>
        </w:tblCellMar>
        <w:tblLook w:val="0000"/>
      </w:tblPr>
      <w:tblGrid>
        <w:gridCol w:w="2700"/>
        <w:gridCol w:w="5760"/>
      </w:tblGrid>
      <w:tr w:rsidTr="00561C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4425">
            <w:pPr>
              <w:pStyle w:val="BodyText"/>
              <w:rPr>
                <w:lang w:val="en-NZ"/>
              </w:rPr>
            </w:pPr>
            <w:r w:rsidRPr="006D4425">
              <w:rPr>
                <w:rStyle w:val="SpecialBold"/>
              </w:rPr>
              <w:t xml:space="preserve">11) </w:t>
            </w:r>
          </w:p>
        </w:tc>
      </w:tr>
      <w:tr w:rsidTr="00561C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425" w:rsidP="006D4425">
            <w:pPr>
              <w:pStyle w:val="BodyText"/>
            </w:pPr>
            <w:r w:rsidRPr="006D4425">
              <w:t>Entry Level – Cross Discipline Units.</w:t>
            </w:r>
          </w:p>
        </w:tc>
      </w:tr>
    </w:tbl>
    <w:p w:rsidR="00000000" w:rsidRPr="006D4425" w:rsidP="006D4425">
      <w:pPr>
        <w:pStyle w:val="BodyText"/>
      </w:pPr>
    </w:p>
    <w:p w:rsidR="00000000" w:rsidRPr="006D4425" w:rsidP="006D4425"/>
    <w:sectPr w:rsidSect="006D44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C02" w:rsidP="00561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2" w:rsidP="006D4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1C02" w:rsidP="006D44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1C02" w:rsidP="006D44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C02" w:rsidP="00561C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2" w:rsidP="006D4425">
    <w:pPr>
      <w:pStyle w:val="Header"/>
      <w:framePr w:wrap="around"/>
    </w:pPr>
    <w:r>
      <w:fldChar w:fldCharType="begin"/>
    </w:r>
    <w:r>
      <w:instrText xml:space="preserve"> TITLE   \* MERGEFORMAT </w:instrText>
    </w:r>
    <w:r>
      <w:fldChar w:fldCharType="separate"/>
    </w:r>
    <w:r>
      <w:t>UETTDREL11A Apply sustainable energy and environmental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1C02" w:rsidP="006D44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6B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41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01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425"/>
    <w:pPr>
      <w:spacing w:before="360" w:after="60"/>
      <w:outlineLvl w:val="0"/>
    </w:pPr>
    <w:rPr>
      <w:sz w:val="32"/>
    </w:rPr>
  </w:style>
  <w:style w:type="paragraph" w:styleId="Heading2">
    <w:name w:val="heading 2"/>
    <w:basedOn w:val="HeadingBase"/>
    <w:next w:val="BodyText"/>
    <w:link w:val="Heading2Char"/>
    <w:qFormat/>
    <w:rsid w:val="006D4425"/>
    <w:pPr>
      <w:keepLines/>
      <w:spacing w:before="240" w:after="120"/>
      <w:outlineLvl w:val="1"/>
    </w:pPr>
    <w:rPr>
      <w:sz w:val="28"/>
      <w:szCs w:val="40"/>
    </w:rPr>
  </w:style>
  <w:style w:type="paragraph" w:styleId="Heading3">
    <w:name w:val="heading 3"/>
    <w:basedOn w:val="HeadingBase"/>
    <w:next w:val="BodyText"/>
    <w:link w:val="Heading3Char"/>
    <w:qFormat/>
    <w:rsid w:val="006D4425"/>
    <w:pPr>
      <w:spacing w:before="180" w:after="120"/>
      <w:outlineLvl w:val="2"/>
    </w:pPr>
    <w:rPr>
      <w:spacing w:val="-10"/>
      <w:kern w:val="32"/>
    </w:rPr>
  </w:style>
  <w:style w:type="paragraph" w:styleId="Heading4">
    <w:name w:val="heading 4"/>
    <w:basedOn w:val="HeadingBase"/>
    <w:next w:val="BodyText"/>
    <w:link w:val="Heading4Char"/>
    <w:qFormat/>
    <w:rsid w:val="006D4425"/>
    <w:pPr>
      <w:spacing w:before="160" w:after="120"/>
      <w:outlineLvl w:val="3"/>
    </w:pPr>
    <w:rPr>
      <w:sz w:val="22"/>
    </w:rPr>
  </w:style>
  <w:style w:type="paragraph" w:styleId="Heading5">
    <w:name w:val="heading 5"/>
    <w:basedOn w:val="HeadingBase"/>
    <w:next w:val="Normal"/>
    <w:link w:val="Heading5Char"/>
    <w:qFormat/>
    <w:rsid w:val="006D4425"/>
    <w:pPr>
      <w:spacing w:before="80"/>
      <w:outlineLvl w:val="4"/>
    </w:pPr>
    <w:rPr>
      <w:color w:val="918585"/>
      <w:sz w:val="20"/>
    </w:rPr>
  </w:style>
  <w:style w:type="paragraph" w:styleId="Heading6">
    <w:name w:val="heading 6"/>
    <w:basedOn w:val="HeadingBase"/>
    <w:next w:val="Normal"/>
    <w:link w:val="Heading6Char"/>
    <w:qFormat/>
    <w:rsid w:val="006D4425"/>
    <w:pPr>
      <w:spacing w:before="60"/>
      <w:outlineLvl w:val="5"/>
    </w:pPr>
    <w:rPr>
      <w:color w:val="918585"/>
      <w:sz w:val="20"/>
    </w:rPr>
  </w:style>
  <w:style w:type="paragraph" w:styleId="Heading7">
    <w:name w:val="heading 7"/>
    <w:basedOn w:val="Normal"/>
    <w:next w:val="Normal"/>
    <w:link w:val="Heading7Char"/>
    <w:qFormat/>
    <w:rsid w:val="006D4425"/>
    <w:pPr>
      <w:ind w:left="720"/>
      <w:outlineLvl w:val="6"/>
    </w:pPr>
    <w:rPr>
      <w:i/>
    </w:rPr>
  </w:style>
  <w:style w:type="paragraph" w:styleId="Heading8">
    <w:name w:val="heading 8"/>
    <w:basedOn w:val="Normal"/>
    <w:next w:val="Normal"/>
    <w:link w:val="Heading8Char"/>
    <w:qFormat/>
    <w:rsid w:val="006D4425"/>
    <w:pPr>
      <w:ind w:left="720"/>
      <w:outlineLvl w:val="7"/>
    </w:pPr>
    <w:rPr>
      <w:i/>
    </w:rPr>
  </w:style>
  <w:style w:type="paragraph" w:styleId="Heading9">
    <w:name w:val="heading 9"/>
    <w:basedOn w:val="Normal"/>
    <w:next w:val="Normal"/>
    <w:link w:val="Heading9Char"/>
    <w:qFormat/>
    <w:rsid w:val="006D4425"/>
    <w:pPr>
      <w:ind w:left="720"/>
      <w:outlineLvl w:val="8"/>
    </w:pPr>
    <w:rPr>
      <w:i/>
    </w:rPr>
  </w:style>
  <w:style w:type="character" w:default="1" w:styleId="DefaultParagraphFont">
    <w:name w:val="Default Paragraph Font"/>
    <w:uiPriority w:val="1"/>
    <w:unhideWhenUsed/>
    <w:rsid w:val="006D4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25"/>
  </w:style>
  <w:style w:type="character" w:customStyle="1" w:styleId="Heading1Char">
    <w:name w:val="Heading 1 Char"/>
    <w:basedOn w:val="DefaultParagraphFont"/>
    <w:link w:val="Heading1"/>
    <w:rsid w:val="006D4425"/>
    <w:rPr>
      <w:rFonts w:ascii="Times New Roman" w:eastAsia="Times New Roman" w:hAnsi="Times New Roman" w:cs="Times New Roman"/>
      <w:b/>
      <w:sz w:val="32"/>
      <w:szCs w:val="20"/>
      <w:lang w:eastAsia="en-US"/>
    </w:rPr>
  </w:style>
  <w:style w:type="paragraph" w:styleId="BodyText">
    <w:name w:val="Body Text"/>
    <w:basedOn w:val="Normal"/>
    <w:link w:val="BodyTextChar"/>
    <w:rsid w:val="006D44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425"/>
    <w:rPr>
      <w:rFonts w:ascii="Times New Roman" w:eastAsia="Times New Roman" w:hAnsi="Times New Roman" w:cs="Times New Roman"/>
      <w:sz w:val="24"/>
      <w:lang w:val="en-US" w:eastAsia="en-US"/>
    </w:rPr>
  </w:style>
  <w:style w:type="paragraph" w:styleId="Footer">
    <w:name w:val="footer"/>
    <w:basedOn w:val="Normal"/>
    <w:link w:val="FooterChar"/>
    <w:rsid w:val="006D4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25"/>
    <w:rPr>
      <w:rFonts w:ascii="Times New Roman" w:eastAsia="Times New Roman" w:hAnsi="Times New Roman" w:cs="Times New Roman"/>
      <w:sz w:val="16"/>
      <w:lang w:val="en-US" w:eastAsia="en-US"/>
    </w:rPr>
  </w:style>
  <w:style w:type="paragraph" w:styleId="ListBullet">
    <w:name w:val="List Bullet"/>
    <w:basedOn w:val="List"/>
    <w:rsid w:val="006D4425"/>
    <w:pPr>
      <w:numPr>
        <w:numId w:val="14"/>
      </w:numPr>
      <w:tabs>
        <w:tab w:val="clear" w:pos="340"/>
      </w:tabs>
      <w:spacing w:before="40" w:after="40"/>
    </w:pPr>
  </w:style>
  <w:style w:type="character" w:customStyle="1" w:styleId="SpecialBold">
    <w:name w:val="Special Bold"/>
    <w:basedOn w:val="DefaultParagraphFont"/>
    <w:rsid w:val="006D4425"/>
    <w:rPr>
      <w:b/>
      <w:spacing w:val="0"/>
    </w:rPr>
  </w:style>
  <w:style w:type="paragraph" w:styleId="ListBullet2">
    <w:name w:val="List Bullet 2"/>
    <w:basedOn w:val="List2"/>
    <w:rsid w:val="006D4425"/>
    <w:pPr>
      <w:numPr>
        <w:numId w:val="15"/>
      </w:numPr>
      <w:tabs>
        <w:tab w:val="clear" w:pos="680"/>
      </w:tabs>
    </w:pPr>
  </w:style>
  <w:style w:type="paragraph" w:styleId="Header">
    <w:name w:val="header"/>
    <w:basedOn w:val="Normal"/>
    <w:link w:val="HeaderChar"/>
    <w:rsid w:val="006D4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425"/>
    <w:pPr>
      <w:spacing w:before="240" w:after="120"/>
      <w:outlineLvl w:val="0"/>
    </w:pPr>
    <w:rPr>
      <w:rFonts w:ascii="Times New Roman" w:hAnsi="Times New Roman"/>
      <w:b/>
      <w:sz w:val="28"/>
    </w:rPr>
  </w:style>
  <w:style w:type="paragraph" w:customStyle="1" w:styleId="AllowPageBreak">
    <w:name w:val="AllowPageBreak"/>
    <w:rsid w:val="006D44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4425"/>
    <w:pPr>
      <w:numPr>
        <w:numId w:val="3"/>
      </w:numPr>
      <w:tabs>
        <w:tab w:val="clear" w:pos="1021"/>
      </w:tabs>
      <w:ind w:left="1037" w:hanging="357"/>
    </w:pPr>
  </w:style>
  <w:style w:type="character" w:customStyle="1" w:styleId="Heading2Char">
    <w:name w:val="Heading 2 Char"/>
    <w:basedOn w:val="DefaultParagraphFont"/>
    <w:link w:val="Heading2"/>
    <w:rsid w:val="006D4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4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425"/>
    <w:rPr>
      <w:rFonts w:ascii="Courier New" w:eastAsia="Times New Roman" w:hAnsi="Courier New" w:cs="Times New Roman"/>
      <w:i/>
      <w:szCs w:val="20"/>
      <w:lang w:val="en-US" w:eastAsia="en-US"/>
    </w:rPr>
  </w:style>
  <w:style w:type="paragraph" w:customStyle="1" w:styleId="HeadingBase">
    <w:name w:val="Heading Base"/>
    <w:rsid w:val="006D4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25"/>
    <w:pPr>
      <w:tabs>
        <w:tab w:val="right" w:leader="dot" w:pos="9072"/>
      </w:tabs>
      <w:ind w:left="567"/>
    </w:pPr>
    <w:rPr>
      <w:szCs w:val="22"/>
    </w:rPr>
  </w:style>
  <w:style w:type="paragraph" w:customStyle="1" w:styleId="TOCBase">
    <w:name w:val="TOC Base"/>
    <w:rsid w:val="006D4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25"/>
    <w:pPr>
      <w:tabs>
        <w:tab w:val="right" w:leader="dot" w:pos="9072"/>
      </w:tabs>
      <w:spacing w:before="40" w:after="40"/>
      <w:ind w:left="284"/>
    </w:pPr>
    <w:rPr>
      <w:rFonts w:ascii="Times New Roman" w:hAnsi="Times New Roman"/>
    </w:rPr>
  </w:style>
  <w:style w:type="paragraph" w:styleId="TOC1">
    <w:name w:val="toc 1"/>
    <w:basedOn w:val="TOCBase"/>
    <w:next w:val="Normal"/>
    <w:rsid w:val="006D44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425"/>
    <w:pPr>
      <w:spacing w:before="5040"/>
      <w:jc w:val="center"/>
    </w:pPr>
    <w:rPr>
      <w:sz w:val="48"/>
      <w:szCs w:val="72"/>
      <w:lang w:val="en-US"/>
    </w:rPr>
  </w:style>
  <w:style w:type="character" w:customStyle="1" w:styleId="TitleChar">
    <w:name w:val="Title Char"/>
    <w:basedOn w:val="DefaultParagraphFont"/>
    <w:link w:val="Title"/>
    <w:rsid w:val="006D4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25"/>
    <w:pPr>
      <w:tabs>
        <w:tab w:val="left" w:pos="3600"/>
        <w:tab w:val="left" w:pos="3958"/>
      </w:tabs>
    </w:pPr>
  </w:style>
  <w:style w:type="paragraph" w:styleId="List">
    <w:name w:val="List"/>
    <w:basedOn w:val="BodyText"/>
    <w:next w:val="BodyText"/>
    <w:rsid w:val="006D4425"/>
    <w:pPr>
      <w:tabs>
        <w:tab w:val="left" w:pos="340"/>
      </w:tabs>
      <w:spacing w:before="60" w:after="60"/>
      <w:ind w:left="340" w:hanging="340"/>
    </w:pPr>
  </w:style>
  <w:style w:type="paragraph" w:customStyle="1" w:styleId="Note">
    <w:name w:val="Note"/>
    <w:basedOn w:val="BodyText"/>
    <w:rsid w:val="006D4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25"/>
    <w:pPr>
      <w:framePr w:wrap="auto" w:hAnchor="text" w:y="6049"/>
    </w:pPr>
    <w:rPr>
      <w:color w:val="000000"/>
      <w:sz w:val="40"/>
    </w:rPr>
  </w:style>
  <w:style w:type="paragraph" w:customStyle="1" w:styleId="TOCTitle">
    <w:name w:val="TOCTitle"/>
    <w:basedOn w:val="Heading1"/>
    <w:rsid w:val="006D4425"/>
    <w:pPr>
      <w:spacing w:after="240"/>
      <w:jc w:val="center"/>
      <w:outlineLvl w:val="9"/>
    </w:pPr>
    <w:rPr>
      <w:caps/>
    </w:rPr>
  </w:style>
  <w:style w:type="paragraph" w:customStyle="1" w:styleId="Version">
    <w:name w:val="Version"/>
    <w:rsid w:val="006D4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425"/>
    <w:pPr>
      <w:keepNext w:val="0"/>
      <w:tabs>
        <w:tab w:val="right" w:pos="4176"/>
      </w:tabs>
      <w:ind w:left="198" w:hanging="198"/>
    </w:pPr>
    <w:rPr>
      <w:rFonts w:ascii="Garamond" w:hAnsi="Garamond"/>
    </w:rPr>
  </w:style>
  <w:style w:type="paragraph" w:styleId="IndexHeading">
    <w:name w:val="index heading"/>
    <w:basedOn w:val="Normal"/>
    <w:next w:val="Index1"/>
    <w:semiHidden/>
    <w:rsid w:val="006D4425"/>
    <w:pPr>
      <w:spacing w:before="120" w:after="120"/>
    </w:pPr>
    <w:rPr>
      <w:rFonts w:ascii="Arial" w:hAnsi="Arial"/>
      <w:b/>
      <w:color w:val="918585"/>
      <w:sz w:val="24"/>
    </w:rPr>
  </w:style>
  <w:style w:type="paragraph" w:customStyle="1" w:styleId="Chapter">
    <w:name w:val="Chapter"/>
    <w:basedOn w:val="Normal"/>
    <w:rsid w:val="006D4425"/>
    <w:pPr>
      <w:spacing w:before="240"/>
    </w:pPr>
    <w:rPr>
      <w:rFonts w:ascii="Times New Roman" w:hAnsi="Times New Roman"/>
      <w:smallCaps/>
      <w:spacing w:val="80"/>
      <w:sz w:val="28"/>
    </w:rPr>
  </w:style>
  <w:style w:type="paragraph" w:customStyle="1" w:styleId="InChapter">
    <w:name w:val="InChapter"/>
    <w:basedOn w:val="Heading3"/>
    <w:rsid w:val="006D4425"/>
    <w:pPr>
      <w:spacing w:after="240"/>
      <w:outlineLvl w:val="9"/>
    </w:pPr>
    <w:rPr>
      <w:noProof/>
    </w:rPr>
  </w:style>
  <w:style w:type="paragraph" w:styleId="Index2">
    <w:name w:val="index 2"/>
    <w:basedOn w:val="Normal"/>
    <w:next w:val="Normal"/>
    <w:semiHidden/>
    <w:rsid w:val="006D4425"/>
    <w:pPr>
      <w:tabs>
        <w:tab w:val="right" w:pos="4176"/>
      </w:tabs>
      <w:ind w:left="568" w:hanging="284"/>
    </w:pPr>
    <w:rPr>
      <w:rFonts w:ascii="Garamond" w:hAnsi="Garamond"/>
    </w:rPr>
  </w:style>
  <w:style w:type="paragraph" w:customStyle="1" w:styleId="Byline">
    <w:name w:val="Byline"/>
    <w:rsid w:val="006D4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25"/>
    <w:pPr>
      <w:tabs>
        <w:tab w:val="clear" w:pos="3600"/>
        <w:tab w:val="clear" w:pos="3958"/>
      </w:tabs>
      <w:jc w:val="right"/>
    </w:pPr>
  </w:style>
  <w:style w:type="character" w:styleId="Emphasis">
    <w:name w:val="Emphasis"/>
    <w:basedOn w:val="DefaultParagraphFont"/>
    <w:qFormat/>
    <w:rsid w:val="006D4425"/>
    <w:rPr>
      <w:i/>
    </w:rPr>
  </w:style>
  <w:style w:type="paragraph" w:styleId="Caption">
    <w:name w:val="caption"/>
    <w:basedOn w:val="BodyText"/>
    <w:next w:val="Normal"/>
    <w:qFormat/>
    <w:rsid w:val="006D4425"/>
    <w:pPr>
      <w:framePr w:w="2268" w:hSpace="181" w:vSpace="181" w:wrap="around" w:vAnchor="text" w:hAnchor="page" w:x="1135" w:y="285" w:anchorLock="1"/>
    </w:pPr>
    <w:rPr>
      <w:i/>
    </w:rPr>
  </w:style>
  <w:style w:type="paragraph" w:customStyle="1" w:styleId="MiniTOCTitle">
    <w:name w:val="MiniTOCTitle"/>
    <w:basedOn w:val="Heading4"/>
    <w:rsid w:val="006D4425"/>
    <w:pPr>
      <w:spacing w:before="240"/>
      <w:outlineLvl w:val="9"/>
    </w:pPr>
    <w:rPr>
      <w:noProof/>
      <w:sz w:val="24"/>
    </w:rPr>
  </w:style>
  <w:style w:type="paragraph" w:customStyle="1" w:styleId="MiniTOCItem">
    <w:name w:val="MiniTOCItem"/>
    <w:basedOn w:val="ListBullet"/>
    <w:rsid w:val="006D4425"/>
    <w:pPr>
      <w:numPr>
        <w:numId w:val="0"/>
      </w:numPr>
      <w:tabs>
        <w:tab w:val="right" w:leader="dot" w:pos="6521"/>
      </w:tabs>
      <w:spacing w:before="0" w:after="0"/>
    </w:pPr>
  </w:style>
  <w:style w:type="paragraph" w:customStyle="1" w:styleId="TOFTitle">
    <w:name w:val="TOFTitle"/>
    <w:basedOn w:val="TOCTitle"/>
    <w:rsid w:val="006D4425"/>
  </w:style>
  <w:style w:type="paragraph" w:styleId="TableofFigures">
    <w:name w:val="table of figures"/>
    <w:basedOn w:val="Normal"/>
    <w:next w:val="Normal"/>
    <w:semiHidden/>
    <w:rsid w:val="006D4425"/>
    <w:pPr>
      <w:tabs>
        <w:tab w:val="right" w:leader="dot" w:pos="9072"/>
      </w:tabs>
      <w:ind w:left="970" w:hanging="403"/>
    </w:pPr>
    <w:rPr>
      <w:rFonts w:ascii="Times New Roman" w:hAnsi="Times New Roman"/>
      <w:b/>
    </w:rPr>
  </w:style>
  <w:style w:type="paragraph" w:styleId="ListNumber">
    <w:name w:val="List Number"/>
    <w:basedOn w:val="List"/>
    <w:rsid w:val="006D4425"/>
    <w:pPr>
      <w:numPr>
        <w:numId w:val="12"/>
      </w:numPr>
    </w:pPr>
  </w:style>
  <w:style w:type="character" w:customStyle="1" w:styleId="WingdingSymbols">
    <w:name w:val="Wingding Symbols"/>
    <w:rsid w:val="006D4425"/>
    <w:rPr>
      <w:rFonts w:ascii="Wingdings" w:hAnsi="Wingdings"/>
    </w:rPr>
  </w:style>
  <w:style w:type="paragraph" w:customStyle="1" w:styleId="TableHeading">
    <w:name w:val="Table Heading"/>
    <w:basedOn w:val="HeadingBase"/>
    <w:rsid w:val="006D4425"/>
    <w:pPr>
      <w:keepLines/>
      <w:pBdr>
        <w:bottom w:val="single" w:sz="6" w:space="1" w:color="918585"/>
      </w:pBdr>
      <w:spacing w:before="240"/>
    </w:pPr>
  </w:style>
  <w:style w:type="character" w:customStyle="1" w:styleId="HotSpot">
    <w:name w:val="HotSpot"/>
    <w:rsid w:val="006D4425"/>
    <w:rPr>
      <w:color w:val="0033CC"/>
      <w:u w:val="none"/>
    </w:rPr>
  </w:style>
  <w:style w:type="paragraph" w:customStyle="1" w:styleId="BodyTextRight">
    <w:name w:val="Body Text Right"/>
    <w:basedOn w:val="BodyText"/>
    <w:rsid w:val="006D4425"/>
    <w:pPr>
      <w:spacing w:before="0" w:after="0"/>
      <w:jc w:val="right"/>
    </w:pPr>
  </w:style>
  <w:style w:type="paragraph" w:styleId="Index3">
    <w:name w:val="index 3"/>
    <w:basedOn w:val="ListNumber2"/>
    <w:next w:val="Normal"/>
    <w:semiHidden/>
    <w:rsid w:val="006D4425"/>
    <w:pPr>
      <w:numPr>
        <w:numId w:val="0"/>
      </w:numPr>
      <w:tabs>
        <w:tab w:val="right" w:leader="dot" w:pos="4176"/>
      </w:tabs>
    </w:pPr>
  </w:style>
  <w:style w:type="paragraph" w:styleId="ListNumber2">
    <w:name w:val="List Number 2"/>
    <w:basedOn w:val="List2"/>
    <w:rsid w:val="006D4425"/>
    <w:pPr>
      <w:numPr>
        <w:numId w:val="11"/>
      </w:numPr>
      <w:tabs>
        <w:tab w:val="clear" w:pos="1060"/>
      </w:tabs>
    </w:pPr>
  </w:style>
  <w:style w:type="paragraph" w:customStyle="1" w:styleId="MarginNote">
    <w:name w:val="Margin Note"/>
    <w:basedOn w:val="BodyText"/>
    <w:rsid w:val="006D4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425"/>
    <w:rPr>
      <w:sz w:val="32"/>
    </w:rPr>
  </w:style>
  <w:style w:type="paragraph" w:customStyle="1" w:styleId="HeadingProcedure">
    <w:name w:val="Heading Procedure"/>
    <w:basedOn w:val="HeadingBase"/>
    <w:next w:val="Normal"/>
    <w:rsid w:val="006D4425"/>
    <w:pPr>
      <w:tabs>
        <w:tab w:val="left" w:pos="0"/>
      </w:tabs>
      <w:spacing w:before="120" w:after="60"/>
    </w:pPr>
    <w:rPr>
      <w:i/>
      <w:color w:val="918585"/>
      <w:sz w:val="22"/>
    </w:rPr>
  </w:style>
  <w:style w:type="paragraph" w:customStyle="1" w:styleId="TableBodyText">
    <w:name w:val="Table Body Text"/>
    <w:basedOn w:val="BodyText"/>
    <w:rsid w:val="006D4425"/>
    <w:pPr>
      <w:spacing w:before="60" w:after="60"/>
    </w:pPr>
  </w:style>
  <w:style w:type="paragraph" w:styleId="ListContinue">
    <w:name w:val="List Continue"/>
    <w:basedOn w:val="List"/>
    <w:rsid w:val="006D4425"/>
    <w:pPr>
      <w:ind w:firstLine="0"/>
    </w:pPr>
  </w:style>
  <w:style w:type="paragraph" w:customStyle="1" w:styleId="ListNote">
    <w:name w:val="List Note"/>
    <w:basedOn w:val="List"/>
    <w:rsid w:val="006D4425"/>
    <w:pPr>
      <w:pBdr>
        <w:top w:val="single" w:sz="6" w:space="2" w:color="918585"/>
        <w:bottom w:val="single" w:sz="6" w:space="2" w:color="918585"/>
      </w:pBdr>
      <w:tabs>
        <w:tab w:val="left" w:pos="1021"/>
      </w:tabs>
      <w:ind w:firstLine="0"/>
    </w:pPr>
  </w:style>
  <w:style w:type="paragraph" w:customStyle="1" w:styleId="Warning">
    <w:name w:val="Warning"/>
    <w:basedOn w:val="BodyText"/>
    <w:rsid w:val="006D4425"/>
    <w:pPr>
      <w:shd w:val="clear" w:color="auto" w:fill="D9D9D9"/>
      <w:tabs>
        <w:tab w:val="left" w:pos="992"/>
      </w:tabs>
      <w:ind w:left="119" w:right="119"/>
    </w:pPr>
    <w:rPr>
      <w:sz w:val="20"/>
    </w:rPr>
  </w:style>
  <w:style w:type="paragraph" w:customStyle="1" w:styleId="MarginIcons">
    <w:name w:val="Margin Icons"/>
    <w:basedOn w:val="BodyText"/>
    <w:rsid w:val="006D4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25"/>
    <w:rPr>
      <w:rFonts w:ascii="Courier New" w:hAnsi="Courier New"/>
    </w:rPr>
  </w:style>
  <w:style w:type="paragraph" w:customStyle="1" w:styleId="NoteBullet">
    <w:name w:val="Note Bullet"/>
    <w:basedOn w:val="Note"/>
    <w:rsid w:val="006D4425"/>
    <w:pPr>
      <w:tabs>
        <w:tab w:val="clear" w:pos="680"/>
      </w:tabs>
      <w:spacing w:before="60" w:after="60"/>
    </w:pPr>
  </w:style>
  <w:style w:type="paragraph" w:customStyle="1" w:styleId="SubHeading2">
    <w:name w:val="SubHeading2"/>
    <w:basedOn w:val="HeadingBase"/>
    <w:rsid w:val="006D4425"/>
    <w:pPr>
      <w:spacing w:before="240" w:after="60"/>
    </w:pPr>
    <w:rPr>
      <w:sz w:val="20"/>
    </w:rPr>
  </w:style>
  <w:style w:type="paragraph" w:customStyle="1" w:styleId="SubHeading1">
    <w:name w:val="SubHeading1"/>
    <w:basedOn w:val="HeadingBase"/>
    <w:rsid w:val="006D4425"/>
    <w:pPr>
      <w:spacing w:before="240" w:after="60"/>
    </w:pPr>
    <w:rPr>
      <w:color w:val="918585"/>
      <w:sz w:val="22"/>
    </w:rPr>
  </w:style>
  <w:style w:type="paragraph" w:customStyle="1" w:styleId="SideHeading">
    <w:name w:val="Side Heading"/>
    <w:basedOn w:val="HeadingBase"/>
    <w:rsid w:val="006D4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25"/>
    <w:pPr>
      <w:numPr>
        <w:numId w:val="13"/>
      </w:numPr>
    </w:pPr>
  </w:style>
  <w:style w:type="paragraph" w:styleId="PlainText">
    <w:name w:val="Plain Text"/>
    <w:basedOn w:val="Normal"/>
    <w:link w:val="PlainTextChar"/>
    <w:rsid w:val="006D4425"/>
    <w:rPr>
      <w:sz w:val="20"/>
    </w:rPr>
  </w:style>
  <w:style w:type="character" w:customStyle="1" w:styleId="PlainTextChar">
    <w:name w:val="Plain Text Char"/>
    <w:basedOn w:val="DefaultParagraphFont"/>
    <w:link w:val="PlainText"/>
    <w:rsid w:val="006D44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425"/>
    <w:rPr>
      <w:b/>
      <w:smallCaps/>
    </w:rPr>
  </w:style>
  <w:style w:type="paragraph" w:customStyle="1" w:styleId="TableListNumber">
    <w:name w:val="Table List Number"/>
    <w:basedOn w:val="ListNumber"/>
    <w:rsid w:val="006D4425"/>
    <w:pPr>
      <w:numPr>
        <w:numId w:val="0"/>
      </w:numPr>
    </w:pPr>
  </w:style>
  <w:style w:type="paragraph" w:styleId="TOC4">
    <w:name w:val="toc 4"/>
    <w:basedOn w:val="TOCBase"/>
    <w:next w:val="Normal"/>
    <w:semiHidden/>
    <w:rsid w:val="006D4425"/>
    <w:pPr>
      <w:tabs>
        <w:tab w:val="right" w:leader="dot" w:pos="9071"/>
      </w:tabs>
      <w:ind w:left="1701"/>
    </w:pPr>
  </w:style>
  <w:style w:type="paragraph" w:customStyle="1" w:styleId="ListAlpha">
    <w:name w:val="List Alpha"/>
    <w:basedOn w:val="List"/>
    <w:rsid w:val="006D4425"/>
    <w:pPr>
      <w:numPr>
        <w:numId w:val="10"/>
      </w:numPr>
    </w:pPr>
  </w:style>
  <w:style w:type="paragraph" w:customStyle="1" w:styleId="ListAlpha2">
    <w:name w:val="List Alpha 2"/>
    <w:basedOn w:val="List2"/>
    <w:rsid w:val="006D4425"/>
    <w:pPr>
      <w:numPr>
        <w:numId w:val="9"/>
      </w:numPr>
    </w:pPr>
  </w:style>
  <w:style w:type="paragraph" w:styleId="List2">
    <w:name w:val="List 2"/>
    <w:basedOn w:val="BodyText"/>
    <w:rsid w:val="006D4425"/>
    <w:pPr>
      <w:tabs>
        <w:tab w:val="left" w:pos="680"/>
      </w:tabs>
      <w:spacing w:before="60" w:after="60"/>
      <w:ind w:left="680" w:hanging="340"/>
    </w:pPr>
  </w:style>
  <w:style w:type="paragraph" w:styleId="List3">
    <w:name w:val="List 3"/>
    <w:basedOn w:val="BodyText"/>
    <w:rsid w:val="006D4425"/>
    <w:pPr>
      <w:tabs>
        <w:tab w:val="left" w:pos="1021"/>
      </w:tabs>
      <w:spacing w:before="60" w:after="60"/>
      <w:ind w:left="1020" w:hanging="340"/>
    </w:pPr>
  </w:style>
  <w:style w:type="paragraph" w:styleId="List4">
    <w:name w:val="List 4"/>
    <w:basedOn w:val="BodyText"/>
    <w:rsid w:val="006D4425"/>
    <w:pPr>
      <w:tabs>
        <w:tab w:val="left" w:pos="1361"/>
      </w:tabs>
      <w:spacing w:before="60" w:after="60"/>
      <w:ind w:left="1361" w:hanging="340"/>
    </w:pPr>
  </w:style>
  <w:style w:type="paragraph" w:styleId="List5">
    <w:name w:val="List 5"/>
    <w:basedOn w:val="BodyText"/>
    <w:rsid w:val="006D4425"/>
    <w:pPr>
      <w:tabs>
        <w:tab w:val="left" w:pos="1701"/>
      </w:tabs>
      <w:spacing w:before="60" w:after="60"/>
      <w:ind w:left="1701" w:hanging="340"/>
    </w:pPr>
  </w:style>
  <w:style w:type="paragraph" w:styleId="ListBullet4">
    <w:name w:val="List Bullet 4"/>
    <w:basedOn w:val="List4"/>
    <w:rsid w:val="006D4425"/>
    <w:pPr>
      <w:numPr>
        <w:numId w:val="4"/>
      </w:numPr>
    </w:pPr>
  </w:style>
  <w:style w:type="paragraph" w:styleId="ListBullet5">
    <w:name w:val="List Bullet 5"/>
    <w:basedOn w:val="List5"/>
    <w:rsid w:val="006D4425"/>
    <w:pPr>
      <w:numPr>
        <w:numId w:val="5"/>
      </w:numPr>
    </w:pPr>
  </w:style>
  <w:style w:type="paragraph" w:styleId="ListContinue2">
    <w:name w:val="List Continue 2"/>
    <w:basedOn w:val="List2"/>
    <w:rsid w:val="006D4425"/>
    <w:pPr>
      <w:ind w:firstLine="0"/>
    </w:pPr>
  </w:style>
  <w:style w:type="paragraph" w:styleId="ListContinue3">
    <w:name w:val="List Continue 3"/>
    <w:basedOn w:val="List3"/>
    <w:rsid w:val="006D4425"/>
    <w:pPr>
      <w:ind w:left="1021" w:firstLine="0"/>
    </w:pPr>
  </w:style>
  <w:style w:type="paragraph" w:styleId="ListContinue4">
    <w:name w:val="List Continue 4"/>
    <w:basedOn w:val="List4"/>
    <w:rsid w:val="006D4425"/>
    <w:pPr>
      <w:ind w:firstLine="0"/>
    </w:pPr>
  </w:style>
  <w:style w:type="paragraph" w:styleId="ListContinue5">
    <w:name w:val="List Continue 5"/>
    <w:basedOn w:val="List5"/>
    <w:rsid w:val="006D4425"/>
    <w:pPr>
      <w:ind w:firstLine="0"/>
    </w:pPr>
  </w:style>
  <w:style w:type="paragraph" w:styleId="ListNumber3">
    <w:name w:val="List Number 3"/>
    <w:basedOn w:val="List3"/>
    <w:rsid w:val="006D4425"/>
    <w:pPr>
      <w:numPr>
        <w:numId w:val="6"/>
      </w:numPr>
    </w:pPr>
  </w:style>
  <w:style w:type="paragraph" w:styleId="ListNumber4">
    <w:name w:val="List Number 4"/>
    <w:basedOn w:val="List4"/>
    <w:rsid w:val="006D4425"/>
    <w:pPr>
      <w:numPr>
        <w:numId w:val="7"/>
      </w:numPr>
    </w:pPr>
  </w:style>
  <w:style w:type="paragraph" w:styleId="ListNumber5">
    <w:name w:val="List Number 5"/>
    <w:basedOn w:val="List5"/>
    <w:rsid w:val="006D4425"/>
    <w:pPr>
      <w:numPr>
        <w:numId w:val="8"/>
      </w:numPr>
    </w:pPr>
  </w:style>
  <w:style w:type="paragraph" w:styleId="BlockText">
    <w:name w:val="Block Text"/>
    <w:basedOn w:val="Normal"/>
    <w:rsid w:val="006D4425"/>
    <w:pPr>
      <w:spacing w:after="120"/>
      <w:ind w:left="1440" w:right="1440"/>
    </w:pPr>
  </w:style>
  <w:style w:type="character" w:customStyle="1" w:styleId="Subscript">
    <w:name w:val="Subscript"/>
    <w:basedOn w:val="DefaultParagraphFont"/>
    <w:rsid w:val="006D4425"/>
    <w:rPr>
      <w:sz w:val="16"/>
      <w:vertAlign w:val="subscript"/>
    </w:rPr>
  </w:style>
  <w:style w:type="character" w:customStyle="1" w:styleId="Superscript">
    <w:name w:val="Superscript"/>
    <w:basedOn w:val="DefaultParagraphFont"/>
    <w:rsid w:val="006D4425"/>
    <w:rPr>
      <w:sz w:val="16"/>
      <w:vertAlign w:val="superscript"/>
    </w:rPr>
  </w:style>
  <w:style w:type="character" w:customStyle="1" w:styleId="Symbols">
    <w:name w:val="Symbols"/>
    <w:basedOn w:val="DefaultParagraphFont"/>
    <w:rsid w:val="006D4425"/>
    <w:rPr>
      <w:rFonts w:ascii="Symbol" w:hAnsi="Symbol"/>
    </w:rPr>
  </w:style>
  <w:style w:type="character" w:customStyle="1" w:styleId="MenuOptions">
    <w:name w:val="Menu Options"/>
    <w:basedOn w:val="DefaultParagraphFont"/>
    <w:rsid w:val="006D4425"/>
    <w:rPr>
      <w:rFonts w:ascii="Arial Narrow" w:hAnsi="Arial Narrow"/>
      <w:smallCaps/>
    </w:rPr>
  </w:style>
  <w:style w:type="character" w:customStyle="1" w:styleId="Buttons">
    <w:name w:val="Buttons"/>
    <w:basedOn w:val="DefaultParagraphFont"/>
    <w:rsid w:val="006D4425"/>
    <w:rPr>
      <w:b/>
    </w:rPr>
  </w:style>
  <w:style w:type="character" w:customStyle="1" w:styleId="Underlined">
    <w:name w:val="Underlined"/>
    <w:basedOn w:val="DefaultParagraphFont"/>
    <w:rsid w:val="006D4425"/>
    <w:rPr>
      <w:u w:val="single"/>
    </w:rPr>
  </w:style>
  <w:style w:type="paragraph" w:customStyle="1" w:styleId="TableBodyTextRight">
    <w:name w:val="Table Body Text Right"/>
    <w:basedOn w:val="TableBodyText"/>
    <w:rsid w:val="006D4425"/>
    <w:pPr>
      <w:widowControl w:val="0"/>
      <w:autoSpaceDE w:val="0"/>
      <w:autoSpaceDN w:val="0"/>
      <w:adjustRightInd w:val="0"/>
      <w:jc w:val="right"/>
    </w:pPr>
    <w:rPr>
      <w:rFonts w:cs="Arial"/>
      <w:szCs w:val="18"/>
    </w:rPr>
  </w:style>
  <w:style w:type="paragraph" w:customStyle="1" w:styleId="CopyrightText">
    <w:name w:val="Copyright Text"/>
    <w:basedOn w:val="BodyText"/>
    <w:rsid w:val="006D4425"/>
    <w:rPr>
      <w:sz w:val="18"/>
    </w:rPr>
  </w:style>
  <w:style w:type="paragraph" w:customStyle="1" w:styleId="BodySmallRight">
    <w:name w:val="Body Small Right"/>
    <w:basedOn w:val="BodyTextRight"/>
    <w:rsid w:val="006D4425"/>
    <w:rPr>
      <w:sz w:val="18"/>
      <w:szCs w:val="18"/>
    </w:rPr>
  </w:style>
  <w:style w:type="paragraph" w:customStyle="1" w:styleId="MarginEdition">
    <w:name w:val="Margin Edition"/>
    <w:basedOn w:val="MarginNote"/>
    <w:rsid w:val="006D4425"/>
    <w:pPr>
      <w:spacing w:before="0" w:after="0"/>
    </w:pPr>
    <w:rPr>
      <w:rFonts w:ascii="Times New Roman" w:hAnsi="Times New Roman"/>
      <w:color w:val="999999"/>
    </w:rPr>
  </w:style>
  <w:style w:type="paragraph" w:customStyle="1" w:styleId="Spacer">
    <w:name w:val="Spacer"/>
    <w:basedOn w:val="Normal"/>
    <w:rsid w:val="006D4425"/>
    <w:rPr>
      <w:sz w:val="2"/>
      <w:szCs w:val="2"/>
    </w:rPr>
  </w:style>
  <w:style w:type="character" w:customStyle="1" w:styleId="Small">
    <w:name w:val="Small"/>
    <w:basedOn w:val="DefaultParagraphFont"/>
    <w:rsid w:val="006D4425"/>
    <w:rPr>
      <w:sz w:val="16"/>
    </w:rPr>
  </w:style>
  <w:style w:type="paragraph" w:customStyle="1" w:styleId="WideTable">
    <w:name w:val="Wide Table"/>
    <w:basedOn w:val="Normal"/>
    <w:rsid w:val="006D4425"/>
    <w:pPr>
      <w:ind w:left="-1418"/>
    </w:pPr>
    <w:rPr>
      <w:sz w:val="2"/>
      <w:szCs w:val="2"/>
    </w:rPr>
  </w:style>
  <w:style w:type="character" w:styleId="PageNumber">
    <w:name w:val="page number"/>
    <w:basedOn w:val="DefaultParagraphFont"/>
    <w:rsid w:val="006D4425"/>
  </w:style>
  <w:style w:type="paragraph" w:styleId="Quote">
    <w:name w:val="Quote"/>
    <w:basedOn w:val="Heading1"/>
    <w:link w:val="QuoteChar"/>
    <w:qFormat/>
    <w:rsid w:val="006D4425"/>
    <w:rPr>
      <w:b w:val="0"/>
      <w:sz w:val="72"/>
      <w:szCs w:val="72"/>
      <w:lang w:val="en-NZ"/>
    </w:rPr>
  </w:style>
  <w:style w:type="character" w:customStyle="1" w:styleId="QuoteChar">
    <w:name w:val="Quote Char"/>
    <w:basedOn w:val="DefaultParagraphFont"/>
    <w:link w:val="Quote"/>
    <w:rsid w:val="006D4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25"/>
    <w:pPr>
      <w:pageBreakBefore/>
    </w:pPr>
  </w:style>
  <w:style w:type="paragraph" w:customStyle="1" w:styleId="Border">
    <w:name w:val="Border"/>
    <w:basedOn w:val="Normal"/>
    <w:qFormat/>
    <w:rsid w:val="006D4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25"/>
    <w:rPr>
      <w:b/>
      <w:bCs/>
      <w:i/>
      <w:iCs/>
      <w:color w:val="auto"/>
    </w:rPr>
  </w:style>
  <w:style w:type="paragraph" w:styleId="IntenseQuote">
    <w:name w:val="Intense Quote"/>
    <w:basedOn w:val="Normal"/>
    <w:next w:val="Normal"/>
    <w:link w:val="IntenseQuoteChar"/>
    <w:uiPriority w:val="30"/>
    <w:qFormat/>
    <w:rsid w:val="006D4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425"/>
    <w:rPr>
      <w:smallCaps/>
      <w:color w:val="auto"/>
      <w:u w:val="single"/>
    </w:rPr>
  </w:style>
  <w:style w:type="character" w:styleId="IntenseReference">
    <w:name w:val="Intense Reference"/>
    <w:basedOn w:val="DefaultParagraphFont"/>
    <w:uiPriority w:val="32"/>
    <w:qFormat/>
    <w:rsid w:val="006D4425"/>
    <w:rPr>
      <w:b/>
      <w:bCs/>
      <w:smallCaps/>
      <w:color w:val="auto"/>
      <w:spacing w:val="5"/>
      <w:u w:val="single"/>
    </w:rPr>
  </w:style>
  <w:style w:type="paragraph" w:customStyle="1" w:styleId="2ColumnHeading">
    <w:name w:val="2Column Heading"/>
    <w:basedOn w:val="BodyText"/>
    <w:qFormat/>
    <w:rsid w:val="006D4425"/>
    <w:pPr>
      <w:spacing w:after="60"/>
      <w:ind w:left="-2268"/>
    </w:pPr>
    <w:rPr>
      <w:b/>
    </w:rPr>
  </w:style>
  <w:style w:type="paragraph" w:customStyle="1" w:styleId="Heading1TOC">
    <w:name w:val="Heading1 TOC"/>
    <w:basedOn w:val="Normal"/>
    <w:qFormat/>
    <w:rsid w:val="006D4425"/>
    <w:pPr>
      <w:spacing w:before="240" w:after="120"/>
    </w:pPr>
    <w:rPr>
      <w:rFonts w:ascii="Times New Roman" w:hAnsi="Times New Roman"/>
      <w:b/>
      <w:sz w:val="32"/>
    </w:rPr>
  </w:style>
  <w:style w:type="paragraph" w:customStyle="1" w:styleId="Heading2TOC">
    <w:name w:val="Heading2 TOC"/>
    <w:basedOn w:val="Normal"/>
    <w:qFormat/>
    <w:rsid w:val="006D4425"/>
    <w:pPr>
      <w:spacing w:before="240" w:after="60"/>
    </w:pPr>
    <w:rPr>
      <w:rFonts w:ascii="Times New Roman" w:hAnsi="Times New Roman"/>
      <w:b/>
      <w:sz w:val="28"/>
    </w:rPr>
  </w:style>
  <w:style w:type="character" w:customStyle="1" w:styleId="Underline">
    <w:name w:val="Underline"/>
    <w:basedOn w:val="DefaultParagraphFont"/>
    <w:qFormat/>
    <w:rsid w:val="006D4425"/>
    <w:rPr>
      <w:u w:val="single"/>
    </w:rPr>
  </w:style>
  <w:style w:type="character" w:customStyle="1" w:styleId="BoldandItalics">
    <w:name w:val="Bold and Italics"/>
    <w:qFormat/>
    <w:rsid w:val="006D4425"/>
    <w:rPr>
      <w:b/>
      <w:i/>
      <w:u w:val="none"/>
    </w:rPr>
  </w:style>
  <w:style w:type="paragraph" w:styleId="BalloonText">
    <w:name w:val="Balloon Text"/>
    <w:basedOn w:val="Normal"/>
    <w:link w:val="BalloonTextChar"/>
    <w:rsid w:val="006D4425"/>
    <w:rPr>
      <w:rFonts w:ascii="Tahoma" w:hAnsi="Tahoma" w:cs="Tahoma"/>
      <w:sz w:val="16"/>
      <w:szCs w:val="16"/>
    </w:rPr>
  </w:style>
  <w:style w:type="character" w:customStyle="1" w:styleId="BalloonTextChar">
    <w:name w:val="Balloon Text Char"/>
    <w:basedOn w:val="DefaultParagraphFont"/>
    <w:link w:val="BalloonText"/>
    <w:rsid w:val="006D44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4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4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2750</Words>
  <Characters>17745</Characters>
  <Application>Microsoft Office Word</Application>
  <DocSecurity>0</DocSecurity>
  <Lines>626</Lines>
  <Paragraphs>239</Paragraphs>
  <ScaleCrop>false</ScaleCrop>
  <Company>Author-it Software Corporation Ltd.</Company>
  <LinksUpToDate>false</LinksUpToDate>
  <CharactersWithSpaces>20350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UETTDREL11A Apply sustainable energy and environmental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2012-05-26T12:08:00Z</dcterms:created>
  <dcterms:modified xsi:type="dcterms:W3CDTF">2012-05-26T12:08:00Z</dcterms:modified>
</cp:coreProperties>
</file>