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B45" w:rsidP="00377B45">
      <w:pPr>
        <w:pStyle w:val="Title"/>
      </w:pPr>
      <w:bookmarkStart w:id="0" w:name="_GoBack"/>
      <w:bookmarkEnd w:id="0"/>
      <w:r>
        <w:fldChar w:fldCharType="begin"/>
      </w:r>
      <w:r>
        <w:instrText xml:space="preserve"> TITLE   \* MERGEFORMAT </w:instrText>
      </w:r>
      <w:r>
        <w:fldChar w:fldCharType="separate"/>
      </w:r>
      <w:r>
        <w:t>UETTDRDS56A Design power system transmission, sub-transmission and zone substation civil and structural components</w:t>
      </w:r>
      <w:r>
        <w:fldChar w:fldCharType="end"/>
      </w:r>
    </w:p>
    <w:p w:rsidR="00377B45" w:rsidP="00377B45">
      <w:pPr>
        <w:pStyle w:val="Version"/>
        <w:sectPr w:rsidSect="002D18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8A0" w:rsidP="002D18A0">
      <w:pPr>
        <w:pStyle w:val="SuperHeading"/>
      </w:pPr>
      <w:r w:rsidRPr="002D18A0">
        <w:t>UETTDRDS56A Design power system transmission, sub-transmission and zone substation civil and structural components</w:t>
      </w:r>
    </w:p>
    <w:p w:rsidR="00000000" w:rsidRPr="002D18A0" w:rsidP="002D18A0">
      <w:pPr>
        <w:pStyle w:val="Heading1"/>
      </w:pPr>
      <w:bookmarkStart w:id="1" w:name="O_463721"/>
      <w:bookmarkEnd w:id="1"/>
      <w:r w:rsidRPr="002D18A0">
        <w:t>Modification History</w:t>
      </w:r>
    </w:p>
    <w:p w:rsidR="00000000" w:rsidRPr="002D18A0" w:rsidP="002D18A0">
      <w:pPr>
        <w:pStyle w:val="BodyText"/>
      </w:pPr>
      <w:r w:rsidRPr="002D18A0">
        <w:t>Not applicable</w:t>
      </w:r>
      <w:r w:rsidRPr="002D18A0">
        <w:t>.</w:t>
      </w:r>
    </w:p>
    <w:p w:rsidR="00000000" w:rsidRPr="002D18A0" w:rsidP="002D18A0">
      <w:pPr>
        <w:pStyle w:val="AllowPageBreak"/>
      </w:pPr>
    </w:p>
    <w:p w:rsidR="00000000" w:rsidRPr="002D18A0" w:rsidP="002D18A0">
      <w:pPr>
        <w:pStyle w:val="Heading1"/>
      </w:pPr>
      <w:bookmarkStart w:id="2" w:name="O_463719"/>
      <w:bookmarkEnd w:id="2"/>
      <w:r w:rsidRPr="002D18A0">
        <w:t>Unit Descriptor</w:t>
      </w:r>
    </w:p>
    <w:tbl>
      <w:tblPr>
        <w:tblW w:w="0" w:type="auto"/>
        <w:tblLayout w:type="fixed"/>
        <w:tblCellMar>
          <w:left w:w="62" w:type="dxa"/>
          <w:right w:w="62" w:type="dxa"/>
        </w:tblCellMar>
        <w:tblLook w:val="0000"/>
      </w:tblPr>
      <w:tblGrid>
        <w:gridCol w:w="2700"/>
        <w:gridCol w:w="5760"/>
      </w:tblGrid>
      <w:tr w:rsidTr="00377B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1)</w:t>
            </w:r>
            <w:r w:rsidRPr="002D18A0">
              <w:t xml:space="preserve"> </w:t>
            </w:r>
            <w:r w:rsidRPr="002D18A0">
              <w:rPr>
                <w:rStyle w:val="SpecialBold"/>
              </w:rPr>
              <w:t>Scope:</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D18A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1.1) Descriptor</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t xml:space="preserve">This Competency Standard Unit covers the design of transmission, sub-transmission and zone substation civil and structural components. This </w:t>
            </w:r>
            <w:r w:rsidRPr="002D18A0">
              <w:t>may include augmentations of existing substations or new substations on green field sites. The design includes civil and structural engineering aspects and must conform to safety regulations and environmental standards and incorporate the principles of saf</w:t>
            </w:r>
            <w:r w:rsidRPr="002D18A0">
              <w:t>e design. However, it excludes the certification of civil and structural design.</w:t>
            </w:r>
          </w:p>
        </w:tc>
      </w:tr>
    </w:tbl>
    <w:p w:rsidR="00000000" w:rsidRPr="002D18A0" w:rsidP="002D18A0">
      <w:pPr>
        <w:pStyle w:val="BodyText"/>
      </w:pPr>
    </w:p>
    <w:p w:rsidR="00000000" w:rsidRPr="002D18A0" w:rsidP="002D18A0">
      <w:pPr>
        <w:pStyle w:val="AllowPageBreak"/>
      </w:pPr>
    </w:p>
    <w:p w:rsidR="00000000" w:rsidRPr="002D18A0" w:rsidP="002D18A0">
      <w:pPr>
        <w:pStyle w:val="Heading1"/>
      </w:pPr>
      <w:bookmarkStart w:id="3" w:name="O_463708"/>
      <w:bookmarkEnd w:id="3"/>
      <w:r w:rsidRPr="002D18A0">
        <w:t>Application of the Unit</w:t>
      </w:r>
    </w:p>
    <w:tbl>
      <w:tblPr>
        <w:tblW w:w="0" w:type="auto"/>
        <w:tblLayout w:type="fixed"/>
        <w:tblCellMar>
          <w:left w:w="62" w:type="dxa"/>
          <w:right w:w="62" w:type="dxa"/>
        </w:tblCellMar>
        <w:tblLook w:val="0000"/>
      </w:tblPr>
      <w:tblGrid>
        <w:gridCol w:w="2672"/>
        <w:gridCol w:w="5699"/>
      </w:tblGrid>
      <w:tr w:rsidTr="00377B4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2)</w:t>
            </w:r>
          </w:p>
        </w:tc>
      </w:tr>
      <w:tr w:rsidTr="00377B4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t>This competency standard Unit is intended to augment formally acquired competencies. It is suitable for employment-based programs under an approved contract of training.</w:t>
            </w:r>
          </w:p>
        </w:tc>
      </w:tr>
    </w:tbl>
    <w:p w:rsidR="00000000" w:rsidRPr="002D18A0" w:rsidP="002D18A0">
      <w:pPr>
        <w:pStyle w:val="BodyText"/>
      </w:pPr>
    </w:p>
    <w:p w:rsidR="00000000" w:rsidRPr="002D18A0" w:rsidP="002D18A0">
      <w:pPr>
        <w:pStyle w:val="AllowPageBreak"/>
      </w:pPr>
    </w:p>
    <w:p w:rsidR="00000000" w:rsidRPr="002D18A0" w:rsidP="002D18A0">
      <w:pPr>
        <w:pStyle w:val="Heading1"/>
      </w:pPr>
      <w:bookmarkStart w:id="4" w:name="O_463715"/>
      <w:bookmarkEnd w:id="4"/>
      <w:r w:rsidRPr="002D18A0">
        <w:t>Licensing/Regulatory Information</w:t>
      </w:r>
    </w:p>
    <w:tbl>
      <w:tblPr>
        <w:tblW w:w="0" w:type="auto"/>
        <w:tblLayout w:type="fixed"/>
        <w:tblCellMar>
          <w:left w:w="62" w:type="dxa"/>
          <w:right w:w="62" w:type="dxa"/>
        </w:tblCellMar>
        <w:tblLook w:val="0000"/>
      </w:tblPr>
      <w:tblGrid>
        <w:gridCol w:w="2700"/>
        <w:gridCol w:w="5760"/>
      </w:tblGrid>
      <w:tr w:rsidTr="00377B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 xml:space="preserve">3) </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t>The skil</w:t>
            </w:r>
            <w:r w:rsidRPr="002D18A0">
              <w:t>ls and knowledge described in this unit may require a licence/registration to practice in the work place subject to regulations for undertaking of electrical work. Practice in workplace and during training is also subject to regulations directly related to</w:t>
            </w:r>
            <w:r w:rsidRPr="002D18A0">
              <w:t xml:space="preserve"> Occupational Health and Safety, electricity/telecommunications/gas/water industry </w:t>
            </w:r>
            <w:r w:rsidRPr="002D18A0">
              <w:t>safety and compliance, industrial relations, environmental protection, anti discrimination and training. Commonwealth, State/Territory or Local Government legislation and re</w:t>
            </w:r>
            <w:r w:rsidRPr="002D18A0">
              <w:t>gulations may exist that limits the age of operating certain equipment.</w:t>
            </w:r>
          </w:p>
        </w:tc>
      </w:tr>
    </w:tbl>
    <w:p w:rsidR="00000000" w:rsidRPr="002D18A0" w:rsidP="002D18A0">
      <w:pPr>
        <w:pStyle w:val="BodyText"/>
      </w:pPr>
    </w:p>
    <w:p w:rsidR="00000000" w:rsidRPr="002D18A0" w:rsidP="002D18A0">
      <w:pPr>
        <w:pStyle w:val="AllowPageBreak"/>
      </w:pPr>
    </w:p>
    <w:p w:rsidR="00000000" w:rsidRPr="002D18A0" w:rsidP="002D18A0">
      <w:pPr>
        <w:pStyle w:val="Heading1"/>
      </w:pPr>
      <w:bookmarkStart w:id="5" w:name="O_463716"/>
      <w:bookmarkEnd w:id="5"/>
      <w:r w:rsidRPr="002D18A0">
        <w:t>Pre-Requisites</w:t>
      </w:r>
    </w:p>
    <w:tbl>
      <w:tblPr>
        <w:tblW w:w="0" w:type="auto"/>
        <w:tblLayout w:type="fixed"/>
        <w:tblCellMar>
          <w:left w:w="62" w:type="dxa"/>
          <w:right w:w="62" w:type="dxa"/>
        </w:tblCellMar>
        <w:tblLook w:val="0000"/>
      </w:tblPr>
      <w:tblGrid>
        <w:gridCol w:w="2700"/>
        <w:gridCol w:w="1980"/>
        <w:gridCol w:w="3780"/>
      </w:tblGrid>
      <w:tr w:rsidTr="00377B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 xml:space="preserve">4) </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4.1)</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t>Granting of competency in this unit shall be made only after competency in the following unit(s) has/have been confirmed.</w:t>
            </w:r>
          </w:p>
          <w:p w:rsidR="00000000" w:rsidRPr="002D18A0" w:rsidP="002D18A0">
            <w:pPr>
              <w:pStyle w:val="BodyText"/>
            </w:pPr>
            <w:r w:rsidRPr="002D18A0">
              <w:t xml:space="preserve">Where pre-requisite pathways have been identified. All competencies in the Common Unit Group must be have been completed plus all the </w:t>
            </w:r>
            <w:r w:rsidRPr="002D18A0">
              <w:t>competencies in one (1) of the identified Pathway Unit Group(s):</w:t>
            </w:r>
          </w:p>
          <w:p w:rsidR="00000000" w:rsidP="002D18A0">
            <w:pPr>
              <w:pStyle w:val="BodyText"/>
              <w:rPr>
                <w:lang w:val="en-NZ"/>
              </w:rPr>
            </w:pPr>
            <w:r w:rsidRPr="002D18A0">
              <w:t>Common Unit Group</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Unit Code</w:t>
            </w:r>
          </w:p>
        </w:tc>
        <w:tc>
          <w:tcPr>
            <w:tcW w:w="378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Unit Title</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Apply Occupational Health and Safety regulations, codes and practices in the workplace</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Solve problems in d.c. Circuits</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Use drawings, diagrams, schedules, standards, codes and specifications</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Solve problems in electromagnetic devices and related circuits</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Solve problems in electromagnetic devices and related circuits</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UETTDRDS39A</w:t>
            </w:r>
          </w:p>
        </w:tc>
        <w:tc>
          <w:tcPr>
            <w:tcW w:w="37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Prepa</w:t>
            </w:r>
            <w:r w:rsidRPr="002D18A0">
              <w:t>re and manage detailed construction plans for electrical power system infrastructure</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UETTDRDS44A</w:t>
            </w:r>
          </w:p>
        </w:tc>
        <w:tc>
          <w:tcPr>
            <w:tcW w:w="37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Design power system substations modifications</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Apply sustainable energy and environmental procedures</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 xml:space="preserve">Working safely near live electrical apparatus </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Implement and monitor the power system organisational OHS policies, procedures and programs</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D18A0">
            <w:pPr>
              <w:pStyle w:val="BodyText"/>
              <w:rPr>
                <w:lang w:val="en-NZ"/>
              </w:rPr>
            </w:pPr>
            <w:r w:rsidRPr="002D18A0">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2D18A0" w:rsidP="002D18A0">
            <w:pPr>
              <w:pStyle w:val="BodyText"/>
            </w:pPr>
            <w:r w:rsidRPr="002D18A0">
              <w:t>Implement and monitor the power system environmental and sustainable energy management po</w:t>
            </w:r>
            <w:r w:rsidRPr="002D18A0">
              <w:t>licies and procedures</w:t>
            </w:r>
          </w:p>
        </w:tc>
      </w:tr>
    </w:tbl>
    <w:p w:rsidR="00000000" w:rsidRPr="002D18A0" w:rsidP="002D18A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77B4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 xml:space="preserve">4.2) </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 xml:space="preserve">Participants are best equipped to achieve this unit if they have reading, writing and numeracy skills indicated by the following scales. Description </w:t>
            </w:r>
            <w:r w:rsidRPr="002D18A0">
              <w:t>of each scale is given in Volume 2, Part 3 “Literacy and Numeracy”</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Reading</w:t>
            </w:r>
          </w:p>
        </w:tc>
        <w:tc>
          <w:tcPr>
            <w:tcW w:w="81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5</w:t>
            </w:r>
          </w:p>
        </w:tc>
        <w:tc>
          <w:tcPr>
            <w:tcW w:w="99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Writing</w:t>
            </w:r>
          </w:p>
        </w:tc>
        <w:tc>
          <w:tcPr>
            <w:tcW w:w="90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5</w:t>
            </w:r>
          </w:p>
        </w:tc>
        <w:tc>
          <w:tcPr>
            <w:tcW w:w="126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Numeracy</w:t>
            </w:r>
          </w:p>
        </w:tc>
        <w:tc>
          <w:tcPr>
            <w:tcW w:w="72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t>5</w:t>
            </w:r>
          </w:p>
        </w:tc>
      </w:tr>
    </w:tbl>
    <w:p w:rsidR="00000000" w:rsidRPr="002D18A0" w:rsidP="002D18A0">
      <w:pPr>
        <w:pStyle w:val="BodyText"/>
      </w:pPr>
    </w:p>
    <w:p w:rsidR="00000000" w:rsidRPr="002D18A0" w:rsidP="002D18A0">
      <w:pPr>
        <w:pStyle w:val="AllowPageBreak"/>
      </w:pPr>
    </w:p>
    <w:p w:rsidR="00000000" w:rsidRPr="002D18A0" w:rsidP="002D18A0">
      <w:pPr>
        <w:pStyle w:val="Heading1"/>
      </w:pPr>
      <w:bookmarkStart w:id="6" w:name="O_463712"/>
      <w:bookmarkEnd w:id="6"/>
      <w:r w:rsidRPr="002D18A0">
        <w:t>Employability Skills Information</w:t>
      </w:r>
    </w:p>
    <w:tbl>
      <w:tblPr>
        <w:tblW w:w="0" w:type="auto"/>
        <w:tblLayout w:type="fixed"/>
        <w:tblCellMar>
          <w:left w:w="62" w:type="dxa"/>
          <w:right w:w="62" w:type="dxa"/>
        </w:tblCellMar>
        <w:tblLook w:val="0000"/>
      </w:tblPr>
      <w:tblGrid>
        <w:gridCol w:w="2700"/>
        <w:gridCol w:w="5760"/>
      </w:tblGrid>
      <w:tr w:rsidTr="00377B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 xml:space="preserve">5) </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t>The required outcomes described in this unit of competency contain</w:t>
            </w:r>
            <w:r w:rsidRPr="002D18A0">
              <w:t xml:space="preserve"> applicable facets of Employability Skills. The Employability Skills Summary of the qualification in which this unit of competency is packaged will assist in identifying Employability Skill requirements.</w:t>
            </w:r>
          </w:p>
        </w:tc>
      </w:tr>
    </w:tbl>
    <w:p w:rsidR="00000000" w:rsidRPr="002D18A0" w:rsidP="002D18A0">
      <w:pPr>
        <w:pStyle w:val="BodyText"/>
      </w:pPr>
    </w:p>
    <w:p w:rsidR="00000000" w:rsidRPr="002D18A0" w:rsidP="002D18A0">
      <w:pPr>
        <w:pStyle w:val="AllowPageBreak"/>
      </w:pPr>
    </w:p>
    <w:p w:rsidR="00000000" w:rsidRPr="002D18A0" w:rsidP="002D18A0">
      <w:pPr>
        <w:pStyle w:val="Heading1"/>
      </w:pPr>
      <w:bookmarkStart w:id="7" w:name="O_463711"/>
      <w:bookmarkEnd w:id="7"/>
      <w:r w:rsidRPr="002D18A0">
        <w:t>Elements and Performance Criteria Pre-Content</w:t>
      </w:r>
    </w:p>
    <w:tbl>
      <w:tblPr>
        <w:tblW w:w="0" w:type="auto"/>
        <w:tblLayout w:type="fixed"/>
        <w:tblCellMar>
          <w:left w:w="62" w:type="dxa"/>
          <w:right w:w="62" w:type="dxa"/>
        </w:tblCellMar>
        <w:tblLook w:val="0000"/>
      </w:tblPr>
      <w:tblGrid>
        <w:gridCol w:w="2700"/>
        <w:gridCol w:w="5760"/>
      </w:tblGrid>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6)</w:t>
            </w:r>
            <w:r w:rsidRPr="002D18A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t>Performance Criteria describe the required performance needed to demonstrate achievement of the element. Assessment of performance is to</w:t>
            </w:r>
            <w:r w:rsidRPr="002D18A0">
              <w:t xml:space="preserve"> be consistent with the Evidence Guide.</w:t>
            </w:r>
          </w:p>
        </w:tc>
      </w:tr>
    </w:tbl>
    <w:p w:rsidR="00000000" w:rsidRPr="002D18A0" w:rsidP="002D18A0">
      <w:pPr>
        <w:pStyle w:val="BodyText"/>
      </w:pPr>
    </w:p>
    <w:p w:rsidR="00000000" w:rsidRPr="002D18A0" w:rsidP="002D18A0">
      <w:pPr>
        <w:pStyle w:val="AllowPageBreak"/>
      </w:pPr>
    </w:p>
    <w:p w:rsidR="00000000" w:rsidRPr="002D18A0" w:rsidP="002D18A0">
      <w:pPr>
        <w:pStyle w:val="Heading1"/>
      </w:pPr>
      <w:bookmarkStart w:id="8" w:name="O_463710"/>
      <w:bookmarkEnd w:id="8"/>
      <w:r w:rsidRPr="002D18A0">
        <w:t>Elements and Performance Criteria</w:t>
      </w:r>
    </w:p>
    <w:tbl>
      <w:tblPr>
        <w:tblW w:w="0" w:type="auto"/>
        <w:tblLayout w:type="fixed"/>
        <w:tblCellMar>
          <w:left w:w="62" w:type="dxa"/>
          <w:right w:w="62" w:type="dxa"/>
        </w:tblCellMar>
        <w:tblLook w:val="0000"/>
      </w:tblPr>
      <w:tblGrid>
        <w:gridCol w:w="406"/>
        <w:gridCol w:w="2294"/>
        <w:gridCol w:w="838"/>
        <w:gridCol w:w="4922"/>
      </w:tblGrid>
      <w:tr w:rsidTr="00377B4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PERFORMANCE CRITERIA</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1</w:t>
            </w:r>
          </w:p>
        </w:tc>
        <w:tc>
          <w:tcPr>
            <w:tcW w:w="2294" w:type="dxa"/>
            <w:vMerge w:val="restart"/>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Plan for and coordinate the design of transmission, sub-transmission and zone substation civil and structural components</w:t>
            </w: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1.1</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OHS practices/procedures and environmental and sustainable energy procedures, which may influence the design of substations, are reviewed and determined.</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1.2</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Purpose of the design is established and expected outcomes of the work are confirmed with the a</w:t>
            </w:r>
            <w:r w:rsidRPr="002D18A0">
              <w:t>ppropriate personnel.</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1.3</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Established policies, procedures and specifications for the design are obtained or established with the appropriate personnel.</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1.4</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Equipment/tools and personal protective equipment</w:t>
            </w:r>
            <w:r w:rsidRPr="002D18A0">
              <w:t xml:space="preserve"> are selected and coordinated based on specified requirements and established procedures</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1.5</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Work is prioritised and sequenced for the most efficient and effective outcome following consultation with others for completion within acceptable timeframes, t</w:t>
            </w:r>
            <w:r w:rsidRPr="002D18A0">
              <w:t>o a quality standard and in accordance with established procedures</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1.6</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Risk control measures are identified, prioritised and evaluated against the work schedule</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1.7</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Relevant work permits are secured to coordinate the performance of work according to requirements and/or established procedures</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1.8</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Resources including personnel, equipment, tools and personal protective equipment required for the job are identified, sc</w:t>
            </w:r>
            <w:r w:rsidRPr="002D18A0">
              <w:t>heduled and coordinated and confirmed in a safe and technical working order</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1.9</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Liaison and communication issues with other/authorised personnel, authorities, clients and land-owners are resolved and activities coordinated to carry out work</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1.10</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Site is prepared according to the work schedule and to minimise risk and damage to property, commerce, and individuals in accordance with established procedures</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1.11</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Personnel participating in the work, including plant operators and contractors, are ful</w:t>
            </w:r>
            <w:r w:rsidRPr="002D18A0">
              <w:t>ly briefed and respective responsibilities coordinated and authorised where applicable in accordance with established procedures</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2</w:t>
            </w:r>
          </w:p>
        </w:tc>
        <w:tc>
          <w:tcPr>
            <w:tcW w:w="2294" w:type="dxa"/>
            <w:vMerge w:val="restart"/>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Carry out and coordinate the design of transmission, sub-transmission and zone substation civil and structural components</w:t>
            </w: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2.</w:t>
            </w:r>
            <w:r w:rsidRPr="002D18A0">
              <w:t>1</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Circuit/systems modelling is used to evaluate alternative proposals as per established procedures.</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2.2</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 xml:space="preserve">OHS and sustainable energy principles, functionality and practices to avoid incidence and accidents and minimise waste are incorporated into </w:t>
            </w:r>
            <w:r w:rsidRPr="002D18A0">
              <w:t>the project in accordance with requirements and/or established procedures</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2.3</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System design decisions are made on the basis of safety and effective outcomes according to requirements and/or established procedures</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2.4</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Mathematical models of the design</w:t>
            </w:r>
            <w:r w:rsidRPr="002D18A0">
              <w:t xml:space="preserve"> are used to analyse the effectiveness of the finished project as per requirements and established procedures</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2.5</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 xml:space="preserve">Technical advice is given regarding potential hazards, safety risks and control measures so that monitoring and preventative action can be </w:t>
            </w:r>
            <w:r w:rsidRPr="002D18A0">
              <w:t>undertaken and/or appropriate authorities consulted, where necessary, in accordance with requirements and established procedures</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2.6</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Essential knowledge and associated skills are applied to analyse specific data and compare it with compliance specificat</w:t>
            </w:r>
            <w:r w:rsidRPr="002D18A0">
              <w:t>ions to ensure completion of the project within an agreed timeframe according to requirements.</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2.7</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Solutions to non-routine problems are identified and actioned using acquired essential knowledge and associated skills according to requirements</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2.8</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Qu</w:t>
            </w:r>
            <w:r w:rsidRPr="002D18A0">
              <w:t>ality of work is monitored against personal performance agreement and/or established organisational and professional standards.</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3</w:t>
            </w:r>
          </w:p>
        </w:tc>
        <w:tc>
          <w:tcPr>
            <w:tcW w:w="2294"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Complete and coordinate the design of transmission, sub-transmission and zone substation civil and structural components</w:t>
            </w: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3.1</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Final inspections of the design are undertaken to ensure they comply with all requirements and include all specifications and documentations needed to complete the design brief.</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3.2</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Appropriate personnel are notified of completion and reports and/or completion documents are finalised.</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3.3</w:t>
            </w:r>
          </w:p>
        </w:tc>
        <w:tc>
          <w:tcPr>
            <w:tcW w:w="4922"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Reports and/or completion documents are submitted to relevant personnel/organisations for approval and, where applicable, statutory or regulatory</w:t>
            </w:r>
            <w:r w:rsidRPr="002D18A0">
              <w:t xml:space="preserve"> approval</w:t>
            </w:r>
          </w:p>
        </w:tc>
      </w:tr>
      <w:tr w:rsidTr="00377B45">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t>3.4</w:t>
            </w:r>
          </w:p>
        </w:tc>
        <w:tc>
          <w:tcPr>
            <w:tcW w:w="4922"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t>Approved copies of design documents are issued and records are updated in accordance with established procedures.</w:t>
            </w:r>
          </w:p>
        </w:tc>
      </w:tr>
    </w:tbl>
    <w:p w:rsidR="00000000" w:rsidRPr="002D18A0" w:rsidP="002D18A0">
      <w:pPr>
        <w:pStyle w:val="BodyText"/>
      </w:pPr>
    </w:p>
    <w:p w:rsidR="00000000" w:rsidRPr="002D18A0" w:rsidP="002D18A0">
      <w:pPr>
        <w:pStyle w:val="AllowPageBreak"/>
      </w:pPr>
    </w:p>
    <w:p w:rsidR="00000000" w:rsidRPr="002D18A0" w:rsidP="002D18A0">
      <w:pPr>
        <w:pStyle w:val="Heading1"/>
      </w:pPr>
      <w:bookmarkStart w:id="9" w:name="O_463718"/>
      <w:bookmarkEnd w:id="9"/>
      <w:r w:rsidRPr="002D18A0">
        <w:t>Required Skills and Knowledge</w:t>
      </w:r>
    </w:p>
    <w:tbl>
      <w:tblPr>
        <w:tblW w:w="0" w:type="auto"/>
        <w:tblLayout w:type="fixed"/>
        <w:tblCellMar>
          <w:left w:w="62" w:type="dxa"/>
          <w:right w:w="62" w:type="dxa"/>
        </w:tblCellMar>
        <w:tblLook w:val="0000"/>
      </w:tblPr>
      <w:tblGrid>
        <w:gridCol w:w="8460"/>
      </w:tblGrid>
      <w:tr w:rsidTr="00377B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REQUIRED SKILLS AND KNOWLEDGE</w:t>
            </w:r>
          </w:p>
        </w:tc>
      </w:tr>
      <w:tr w:rsidTr="00377B4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8)</w:t>
            </w:r>
            <w:r w:rsidRPr="002D18A0">
              <w:t xml:space="preserve"> Essential Knowledge and Associated Skills (EKAS): This describes the essential skills and knowledge and their level, required for this unit.</w:t>
            </w:r>
          </w:p>
          <w:p w:rsidR="00000000" w:rsidRPr="002D18A0" w:rsidP="002D18A0">
            <w:pPr>
              <w:pStyle w:val="BodyText"/>
            </w:pPr>
            <w:r w:rsidRPr="002D18A0">
              <w:t>Evidence shall show that knowledge has been acquired of designing transmission, sub-transmission and zone substati</w:t>
            </w:r>
            <w:r w:rsidRPr="002D18A0">
              <w:t>on civil and structural components.</w:t>
            </w:r>
          </w:p>
          <w:p w:rsidR="00000000" w:rsidRPr="002D18A0" w:rsidP="002D18A0">
            <w:pPr>
              <w:pStyle w:val="BodyText"/>
            </w:pPr>
            <w:r w:rsidRPr="002D18A0">
              <w:t>All knowledge and skills detailed in this unit should be contextualised to current industry practices and technologies.</w:t>
            </w:r>
          </w:p>
          <w:p w:rsidR="00000000" w:rsidRPr="002D18A0" w:rsidP="002D18A0">
            <w:pPr>
              <w:pStyle w:val="BodyText"/>
            </w:pPr>
            <w:r w:rsidRPr="002D18A0">
              <w:t xml:space="preserve">KS01-TDS56A </w:t>
            </w:r>
            <w:r w:rsidRPr="002D18A0">
              <w:tab/>
              <w:t xml:space="preserve">Power system transmission, sub-transmission and zone substation – civil and structural </w:t>
            </w:r>
            <w:r w:rsidRPr="002D18A0">
              <w:t>components</w:t>
            </w:r>
          </w:p>
          <w:p w:rsidR="00000000" w:rsidRPr="002D18A0" w:rsidP="002D18A0">
            <w:pPr>
              <w:pStyle w:val="BodyText"/>
            </w:pPr>
            <w:r w:rsidRPr="002D18A0">
              <w:t xml:space="preserve">Evidence shall show an understanding of designing power system transmission, sub-transmission and zone substation – civil and structural components to an extent indicated by the following aspects: </w:t>
            </w:r>
          </w:p>
          <w:p w:rsidR="00000000" w:rsidRPr="002D18A0" w:rsidP="002D18A0">
            <w:pPr>
              <w:pStyle w:val="BodyText"/>
            </w:pPr>
            <w:r w:rsidRPr="002D18A0">
              <w:t>T1</w:t>
            </w:r>
            <w:r w:rsidRPr="002D18A0">
              <w:tab/>
              <w:t>Principles of transmission, sub-transmission</w:t>
            </w:r>
            <w:r w:rsidRPr="002D18A0">
              <w:t xml:space="preserve"> and zone substation civil and structural designs encompassing:</w:t>
            </w:r>
          </w:p>
          <w:p w:rsidR="00000000" w:rsidRPr="002D18A0" w:rsidP="002D18A0">
            <w:pPr>
              <w:pStyle w:val="ListBullet"/>
            </w:pPr>
            <w:r w:rsidRPr="002D18A0">
              <w:t>Commonwealth, State/Territory and local government legislation, Standards, codes, supply authority regulations and or enterprise requirements applicable to the substation design management pri</w:t>
            </w:r>
            <w:r w:rsidRPr="002D18A0">
              <w:t>nciples</w:t>
            </w:r>
          </w:p>
          <w:p w:rsidR="00000000" w:rsidRPr="002D18A0" w:rsidP="002D18A0">
            <w:pPr>
              <w:pStyle w:val="ListBullet"/>
            </w:pPr>
            <w:r w:rsidRPr="002D18A0">
              <w:t>Requirements for the use of the substation system construction manuals, system diagrams/plans and drawings and for plans such as work method statements for the control of OHS risks</w:t>
            </w:r>
          </w:p>
          <w:p w:rsidR="00000000" w:rsidRPr="002D18A0" w:rsidP="002D18A0">
            <w:pPr>
              <w:pStyle w:val="ListBullet"/>
            </w:pPr>
            <w:r w:rsidRPr="002D18A0">
              <w:t>Types of activities to be carried out - earthworks, foundation desi</w:t>
            </w:r>
            <w:r w:rsidRPr="002D18A0">
              <w:t>gn including relationship to geotechnical analysis, footing layout including assignment of reference levels and benchmark, conduits, pits and drainage, hydraulics including fire and safety facilities, access roads, fences and gates including implementation</w:t>
            </w:r>
            <w:r w:rsidRPr="002D18A0">
              <w:t xml:space="preserve"> of EPR control measures, transformer fire and sound attenuation measures, bunding and oil containment, indoor and outdoor structural steelwork</w:t>
            </w:r>
          </w:p>
          <w:p w:rsidR="00000000" w:rsidRPr="002D18A0" w:rsidP="002D18A0">
            <w:pPr>
              <w:pStyle w:val="ListBullet"/>
            </w:pPr>
            <w:r w:rsidRPr="002D18A0">
              <w:t>Types of civil and structural parameters - access road OK for low loaders and cranes (width, space turning radiu</w:t>
            </w:r>
            <w:r w:rsidRPr="002D18A0">
              <w:t>s, gradient), outdoor steelwork (stands) including strain/landing tower, surge arrestor, isolator, voltage transformer, current transformer, circuit breaker, fault thrower, lightening masts, cages/screens, sealing ends, cable supports, operating stands and</w:t>
            </w:r>
            <w:r w:rsidRPr="002D18A0">
              <w:t xml:space="preserve"> busbar supports</w:t>
            </w:r>
          </w:p>
          <w:p w:rsidR="00000000" w:rsidRPr="002D18A0" w:rsidP="002D18A0">
            <w:pPr>
              <w:pStyle w:val="ListBullet"/>
            </w:pPr>
            <w:r w:rsidRPr="002D18A0">
              <w:t>Indoor steelwork including frequency injection, cable supports, cages/screens, cable ladder supports</w:t>
            </w:r>
          </w:p>
        </w:tc>
      </w:tr>
    </w:tbl>
    <w:p w:rsidR="00000000" w:rsidRPr="002D18A0" w:rsidP="002D18A0">
      <w:pPr>
        <w:pStyle w:val="BodyText"/>
      </w:pPr>
    </w:p>
    <w:p w:rsidR="00000000" w:rsidRPr="002D18A0" w:rsidP="002D18A0">
      <w:pPr>
        <w:pStyle w:val="AllowPageBreak"/>
      </w:pPr>
    </w:p>
    <w:p w:rsidR="00000000" w:rsidRPr="002D18A0" w:rsidP="002D18A0">
      <w:pPr>
        <w:pStyle w:val="Heading1"/>
      </w:pPr>
      <w:bookmarkStart w:id="10" w:name="O_463713"/>
      <w:bookmarkEnd w:id="10"/>
      <w:r w:rsidRPr="002D18A0">
        <w:t>Evidence Guide</w:t>
      </w:r>
    </w:p>
    <w:tbl>
      <w:tblPr>
        <w:tblW w:w="0" w:type="auto"/>
        <w:tblLayout w:type="fixed"/>
        <w:tblCellMar>
          <w:left w:w="62" w:type="dxa"/>
          <w:right w:w="62" w:type="dxa"/>
        </w:tblCellMar>
        <w:tblLook w:val="0000"/>
      </w:tblPr>
      <w:tblGrid>
        <w:gridCol w:w="8460"/>
      </w:tblGrid>
      <w:tr w:rsidTr="00377B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EVIDENCE GUIDE</w:t>
            </w:r>
          </w:p>
        </w:tc>
      </w:tr>
      <w:tr w:rsidTr="00377B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9)</w:t>
            </w:r>
            <w:r w:rsidRPr="002D18A0">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2D18A0" w:rsidP="002D18A0">
            <w:pPr>
              <w:pStyle w:val="BodyText"/>
            </w:pPr>
            <w:r w:rsidRPr="002D18A0">
              <w:t>The Evidence Guide form</w:t>
            </w:r>
            <w:r w:rsidRPr="002D18A0">
              <w:t>s an integral part of this Competency Standard Unit and shall be used in conjunction with all component parts of this unit and, performed in accordance with the Assessment Guidelines of this Training Package.</w:t>
            </w:r>
          </w:p>
        </w:tc>
      </w:tr>
    </w:tbl>
    <w:p w:rsidR="00000000" w:rsidRPr="002D18A0" w:rsidP="002D18A0">
      <w:pPr>
        <w:pStyle w:val="BodyText"/>
      </w:pPr>
    </w:p>
    <w:tbl>
      <w:tblPr>
        <w:tblW w:w="0" w:type="auto"/>
        <w:tblLayout w:type="fixed"/>
        <w:tblCellMar>
          <w:left w:w="62" w:type="dxa"/>
          <w:right w:w="62" w:type="dxa"/>
        </w:tblCellMar>
        <w:tblLook w:val="0000"/>
      </w:tblPr>
      <w:tblGrid>
        <w:gridCol w:w="1890"/>
        <w:gridCol w:w="6570"/>
      </w:tblGrid>
      <w:tr w:rsidTr="00377B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9.1)</w:t>
            </w:r>
          </w:p>
        </w:tc>
      </w:tr>
      <w:tr w:rsidTr="00377B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t>Longitudin</w:t>
            </w:r>
            <w:r w:rsidRPr="002D18A0">
              <w:t>al competency development approaches to assessment, such as Profiling, require data to be reliably gathered in a form that can be consistently interpreted over time. This approach is best utilised in Apprenticeship programs and reduces assessment intervent</w:t>
            </w:r>
            <w:r w:rsidRPr="002D18A0">
              <w:t>ion. It is the Industry’s preferred model for apprenticeships. However, where summative (or final) assessment is used it is to include the application of the competency in the normal work environment or, at a minimum, the application of the competency in a</w:t>
            </w:r>
            <w:r w:rsidRPr="002D18A0">
              <w:t xml:space="preserve"> realistically simulated work environment. It is recognised that, in some circumstances, assessment in part or full can occur outside the workplace. However, it must be in accord with Industry and, Regulatory policy in this regard.</w:t>
            </w:r>
          </w:p>
          <w:p w:rsidR="00000000" w:rsidRPr="002D18A0" w:rsidP="002D18A0">
            <w:pPr>
              <w:pStyle w:val="BodyText"/>
            </w:pPr>
            <w:r w:rsidRPr="002D18A0">
              <w:t>Methods chosen for a par</w:t>
            </w:r>
            <w:r w:rsidRPr="002D18A0">
              <w:t>ticular assessment will be influenced by various factors. These include the extent of the assessment, the most effective locations for the assessment activities to take place, access to physical resources, additional safety measures that may be required an</w:t>
            </w:r>
            <w:r w:rsidRPr="002D18A0">
              <w:t>d the critical nature of the competencies being assessed.</w:t>
            </w:r>
          </w:p>
          <w:p w:rsidR="00000000" w:rsidRPr="002D18A0" w:rsidP="002D18A0">
            <w:pPr>
              <w:pStyle w:val="BodyText"/>
            </w:pPr>
            <w:r w:rsidRPr="002D18A0">
              <w:t>The critical safety nature of working with electricity, electrical equipment, gas or any other hazardous substance/material carries risk in deeming a person competent. Hence, sources of evidence nee</w:t>
            </w:r>
            <w:r w:rsidRPr="002D18A0">
              <w:t>d to be ‘rich’ in nature so as to minimise error in judgment.</w:t>
            </w:r>
          </w:p>
          <w:p w:rsidR="00000000" w:rsidRPr="002D18A0" w:rsidP="002D18A0">
            <w:pPr>
              <w:pStyle w:val="BodyText"/>
            </w:pPr>
            <w:r w:rsidRPr="002D18A0">
              <w:t>Activities associated with normal every day work have a bearing on the decision as to how much and how detailed the data gathered will contribute to its ‘richness’. Some skills are more critical</w:t>
            </w:r>
            <w:r w:rsidRPr="002D18A0">
              <w:t xml:space="preserve"> to safety and operational requirements while the same skills may be more or less frequently practiced. These points are raised for the assessors to consider when choosing an assessment method and developing assessment instruments. Sample assessment instru</w:t>
            </w:r>
            <w:r w:rsidRPr="002D18A0">
              <w:t>ments are included for Assessors in the Assessment Guidelines of this Training Package.</w:t>
            </w:r>
          </w:p>
        </w:tc>
      </w:tr>
    </w:tbl>
    <w:p w:rsidR="00000000" w:rsidRPr="002D18A0" w:rsidP="002D18A0">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377B45">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9.2)</w:t>
            </w:r>
          </w:p>
        </w:tc>
      </w:tr>
      <w:tr w:rsidTr="00377B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t xml:space="preserve">Before the critical aspects of evidence are considered all prerequisites shall </w:t>
            </w:r>
            <w:r w:rsidRPr="002D18A0">
              <w:t>be met.</w:t>
            </w:r>
          </w:p>
          <w:p w:rsidR="00000000" w:rsidRPr="002D18A0" w:rsidP="002D18A0">
            <w:pPr>
              <w:pStyle w:val="BodyText"/>
            </w:pPr>
            <w:r w:rsidRPr="002D18A0">
              <w:t>Evidence for competence in this unit is based, shall be considered holistically. Each element and associated Performance Criteria shall be demonstrated on at least two occasions in accordance with the “Assessment Guidelines – UET12UET12”</w:t>
            </w:r>
            <w:r w:rsidRPr="002D18A0">
              <w:t>. Evidence shall also comprise:</w:t>
            </w:r>
          </w:p>
          <w:p w:rsidR="00000000" w:rsidRPr="002D18A0" w:rsidP="002D18A0">
            <w:pPr>
              <w:pStyle w:val="ListBullet"/>
            </w:pPr>
            <w:r w:rsidRPr="002D18A0">
              <w:t>A representative body of Performance Criteria demonstrated within the timeframes typically expected of the discipline, work function and industrial environment. In particular this shall incorporate evidence that shows a cand</w:t>
            </w:r>
            <w:r w:rsidRPr="002D18A0">
              <w:t>idate is able to:</w:t>
            </w:r>
          </w:p>
          <w:p w:rsidR="00000000" w:rsidRPr="002D18A0" w:rsidP="002D18A0">
            <w:pPr>
              <w:pStyle w:val="ListBullet2"/>
            </w:pPr>
            <w:r w:rsidRPr="002D18A0">
              <w:t>Implement Occupational Health and Safety workplace procedures and practices including the use of risk control measures as specified in the Performance Criteria and range; and</w:t>
            </w:r>
          </w:p>
          <w:p w:rsidR="00000000" w:rsidRPr="002D18A0" w:rsidP="002D18A0">
            <w:pPr>
              <w:pStyle w:val="ListBullet2"/>
            </w:pPr>
            <w:r w:rsidRPr="002D18A0">
              <w:t>Apply sustainable energy principles and practices as specified</w:t>
            </w:r>
            <w:r w:rsidRPr="002D18A0">
              <w:t xml:space="preserve"> in the Performance Criteria and range; and</w:t>
            </w:r>
          </w:p>
          <w:p w:rsidR="00000000" w:rsidRPr="002D18A0" w:rsidP="002D18A0">
            <w:pPr>
              <w:pStyle w:val="ListBullet2"/>
            </w:pPr>
            <w:r w:rsidRPr="002D18A0">
              <w:t>Demonstrate an understanding of the essential knowledge and associated skills as described in this unit to such an extent that the learner’s performance outcome is reported in accordance with the preferred approa</w:t>
            </w:r>
            <w:r w:rsidRPr="002D18A0">
              <w:t>ch; namely a percentile graded result, where required by the regulated environment; and</w:t>
            </w:r>
          </w:p>
          <w:p w:rsidR="00000000" w:rsidRPr="002D18A0" w:rsidP="002D18A0">
            <w:pPr>
              <w:pStyle w:val="ListBullet2"/>
            </w:pPr>
            <w:r w:rsidRPr="002D18A0">
              <w:t>Demonstrate an appropriate level of employability skills; and</w:t>
            </w:r>
          </w:p>
          <w:p w:rsidR="00000000" w:rsidRPr="002D18A0" w:rsidP="002D18A0">
            <w:pPr>
              <w:pStyle w:val="ListBullet"/>
            </w:pPr>
            <w:r w:rsidRPr="002D18A0">
              <w:t>Conduct work observing the relevant Anti Discrimination legislation, regulations, policies and workplace p</w:t>
            </w:r>
            <w:r w:rsidRPr="002D18A0">
              <w:t>rocedures; and</w:t>
            </w:r>
          </w:p>
          <w:p w:rsidR="00000000" w:rsidP="002D18A0">
            <w:pPr>
              <w:pStyle w:val="ListBullet2"/>
              <w:rPr>
                <w:lang w:val="en-NZ"/>
              </w:rPr>
            </w:pPr>
            <w:r w:rsidRPr="002D18A0">
              <w:t>Demonstrated performance across a representative range of contexts from the prescribed items below:</w:t>
            </w:r>
          </w:p>
        </w:tc>
      </w:tr>
      <w:tr w:rsidTr="00377B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D18A0">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8A0">
            <w:pPr>
              <w:pStyle w:val="BodyText"/>
              <w:rPr>
                <w:lang w:val="en-NZ"/>
              </w:rPr>
            </w:pPr>
            <w:r w:rsidRPr="002D18A0">
              <w:rPr>
                <w:rStyle w:val="SpecialBold"/>
              </w:rPr>
              <w:t>Range of tools/equipment/materials/procedures/workplaces/other variables</w:t>
            </w:r>
          </w:p>
        </w:tc>
      </w:tr>
      <w:tr w:rsidTr="00377B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D18A0">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8A0" w:rsidP="002D18A0">
            <w:pPr>
              <w:pStyle w:val="BodyText"/>
            </w:pPr>
            <w:r w:rsidRPr="002D18A0">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8A0" w:rsidP="002D18A0">
            <w:pPr>
              <w:pStyle w:val="BodyText"/>
            </w:pPr>
            <w:r w:rsidRPr="002D18A0">
              <w:rPr>
                <w:rStyle w:val="SpecialBold"/>
              </w:rPr>
              <w:t>The minimum nu</w:t>
            </w:r>
            <w:r w:rsidRPr="002D18A0">
              <w:rPr>
                <w:rStyle w:val="SpecialBold"/>
              </w:rPr>
              <w:t>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8A0">
            <w:pPr>
              <w:pStyle w:val="BodyText"/>
              <w:rPr>
                <w:lang w:val="en-NZ"/>
              </w:rPr>
            </w:pPr>
            <w:r w:rsidRPr="002D18A0">
              <w:rPr>
                <w:rStyle w:val="SpecialBold"/>
              </w:rPr>
              <w:t>Item List</w:t>
            </w:r>
          </w:p>
        </w:tc>
      </w:tr>
      <w:tr w:rsidTr="00377B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8A0">
            <w:pPr>
              <w:pStyle w:val="BodyText"/>
              <w:rPr>
                <w:lang w:val="en-NZ"/>
              </w:rPr>
            </w:pPr>
            <w:r w:rsidRPr="002D18A0">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8A0">
            <w:pPr>
              <w:pStyle w:val="BodyText"/>
              <w:rPr>
                <w:lang w:val="en-NZ"/>
              </w:rPr>
            </w:pPr>
            <w:r w:rsidRPr="002D18A0">
              <w:t>Completion of two (2) compliant technical designs including each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8A0" w:rsidP="002D18A0">
            <w:pPr>
              <w:pStyle w:val="BodyText"/>
            </w:pPr>
            <w:r w:rsidRPr="002D18A0">
              <w:t>Earthworks.</w:t>
            </w:r>
          </w:p>
          <w:p w:rsidR="00000000" w:rsidRPr="002D18A0" w:rsidP="002D18A0">
            <w:pPr>
              <w:pStyle w:val="BodyText"/>
            </w:pPr>
            <w:r w:rsidRPr="002D18A0">
              <w:t>Foundation design including relationship to geotechnical analysis.</w:t>
            </w:r>
          </w:p>
          <w:p w:rsidR="00000000" w:rsidRPr="002D18A0" w:rsidP="002D18A0">
            <w:pPr>
              <w:pStyle w:val="BodyText"/>
            </w:pPr>
            <w:r w:rsidRPr="002D18A0">
              <w:t>Footing layout including assignment of reference levels and benchmark.</w:t>
            </w:r>
          </w:p>
          <w:p w:rsidR="00000000" w:rsidRPr="002D18A0" w:rsidP="002D18A0">
            <w:pPr>
              <w:pStyle w:val="BodyText"/>
            </w:pPr>
            <w:r w:rsidRPr="002D18A0">
              <w:t>Conduits, Pits and drainage.</w:t>
            </w:r>
          </w:p>
          <w:p w:rsidR="00000000" w:rsidRPr="002D18A0" w:rsidP="002D18A0">
            <w:pPr>
              <w:pStyle w:val="BodyText"/>
            </w:pPr>
            <w:r w:rsidRPr="002D18A0">
              <w:t xml:space="preserve">Hydraulics including </w:t>
            </w:r>
            <w:r w:rsidRPr="002D18A0">
              <w:t>fire and safety facilities.</w:t>
            </w:r>
          </w:p>
          <w:p w:rsidR="00000000" w:rsidRPr="002D18A0" w:rsidP="002D18A0">
            <w:pPr>
              <w:pStyle w:val="BodyText"/>
            </w:pPr>
            <w:r w:rsidRPr="002D18A0">
              <w:t>Access roads.</w:t>
            </w:r>
          </w:p>
          <w:p w:rsidR="00000000" w:rsidRPr="002D18A0" w:rsidP="002D18A0">
            <w:pPr>
              <w:pStyle w:val="BodyText"/>
            </w:pPr>
            <w:r w:rsidRPr="002D18A0">
              <w:t>Fences and gates including implementation of EPR control measures.</w:t>
            </w:r>
          </w:p>
          <w:p w:rsidR="00000000" w:rsidRPr="002D18A0" w:rsidP="002D18A0">
            <w:pPr>
              <w:pStyle w:val="BodyText"/>
            </w:pPr>
            <w:r w:rsidRPr="002D18A0">
              <w:t>Transformer fire and sound</w:t>
            </w:r>
            <w:r w:rsidRPr="002D18A0">
              <w:t xml:space="preserve"> attenuation measures, bunding and oil containment.</w:t>
            </w:r>
          </w:p>
          <w:p w:rsidR="00000000" w:rsidP="002D18A0">
            <w:pPr>
              <w:pStyle w:val="BodyText"/>
              <w:rPr>
                <w:lang w:val="en-NZ"/>
              </w:rPr>
            </w:pPr>
            <w:r w:rsidRPr="002D18A0">
              <w:t>Indoor and outdoor structural steelwork.</w:t>
            </w:r>
          </w:p>
        </w:tc>
      </w:tr>
      <w:tr w:rsidTr="00377B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8A0">
            <w:pPr>
              <w:pStyle w:val="BodyText"/>
              <w:rPr>
                <w:lang w:val="en-NZ"/>
              </w:rPr>
            </w:pPr>
            <w:r w:rsidRPr="002D18A0">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8A0">
            <w:pPr>
              <w:pStyle w:val="BodyText"/>
              <w:rPr>
                <w:lang w:val="en-NZ"/>
              </w:rPr>
            </w:pPr>
            <w:r w:rsidRPr="002D18A0">
              <w:t>Designs should also include all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8A0" w:rsidP="002D18A0">
            <w:pPr>
              <w:pStyle w:val="BodyText"/>
            </w:pPr>
            <w:r w:rsidRPr="002D18A0">
              <w:t>Activities that address the correction of errors in the process.</w:t>
            </w:r>
          </w:p>
          <w:p w:rsidR="00000000" w:rsidP="002D18A0">
            <w:pPr>
              <w:pStyle w:val="BodyText"/>
              <w:rPr>
                <w:lang w:val="en-NZ"/>
              </w:rPr>
            </w:pPr>
            <w:r w:rsidRPr="002D18A0">
              <w:t>Application of a design control checklist which lists all of the required design activities to be carried out in this process.</w:t>
            </w:r>
          </w:p>
        </w:tc>
      </w:tr>
      <w:tr w:rsidTr="00377B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8A0">
            <w:pPr>
              <w:pStyle w:val="BodyText"/>
              <w:rPr>
                <w:lang w:val="en-NZ"/>
              </w:rPr>
            </w:pPr>
            <w:r w:rsidRPr="002D18A0">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8A0">
            <w:pPr>
              <w:pStyle w:val="BodyText"/>
              <w:rPr>
                <w:lang w:val="en-NZ"/>
              </w:rPr>
            </w:pPr>
            <w:r w:rsidRPr="002D18A0">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8A0" w:rsidP="002D18A0">
            <w:pPr>
              <w:pStyle w:val="BodyText"/>
            </w:pPr>
            <w:r w:rsidRPr="002D18A0">
              <w:t>Dealing with an unplanned event by drawing on essential knowledge and associated skills to provide app</w:t>
            </w:r>
            <w:r w:rsidRPr="002D18A0">
              <w:t>ropriate solutions incorporated in the holistic assessment with the above listed items.</w:t>
            </w:r>
          </w:p>
        </w:tc>
      </w:tr>
    </w:tbl>
    <w:p w:rsidR="00000000" w:rsidRPr="002D18A0" w:rsidP="002D18A0">
      <w:pPr>
        <w:pStyle w:val="BodyText"/>
      </w:pPr>
    </w:p>
    <w:tbl>
      <w:tblPr>
        <w:tblW w:w="0" w:type="auto"/>
        <w:tblLayout w:type="fixed"/>
        <w:tblCellMar>
          <w:left w:w="62" w:type="dxa"/>
          <w:right w:w="62" w:type="dxa"/>
        </w:tblCellMar>
        <w:tblLook w:val="0000"/>
      </w:tblPr>
      <w:tblGrid>
        <w:gridCol w:w="1890"/>
        <w:gridCol w:w="6570"/>
      </w:tblGrid>
      <w:tr w:rsidTr="00377B4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9.3)</w:t>
            </w:r>
          </w:p>
        </w:tc>
      </w:tr>
      <w:tr w:rsidTr="00377B4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t>This unit should be assessed as it relates to normal work practice using procedures, information and resources typical of a workplace. This should include:</w:t>
            </w:r>
          </w:p>
          <w:p w:rsidR="00000000" w:rsidRPr="002D18A0" w:rsidP="002D18A0">
            <w:pPr>
              <w:pStyle w:val="ListBullet"/>
            </w:pPr>
            <w:r w:rsidRPr="002D18A0">
              <w:t>OHS policy and work procedures and instructions.</w:t>
            </w:r>
          </w:p>
          <w:p w:rsidR="00000000" w:rsidRPr="002D18A0" w:rsidP="002D18A0">
            <w:pPr>
              <w:pStyle w:val="ListBullet"/>
            </w:pPr>
            <w:r w:rsidRPr="002D18A0">
              <w:t>Suitable work environment, facilities, equipment an</w:t>
            </w:r>
            <w:r w:rsidRPr="002D18A0">
              <w:t>d materials to undertake actual design of transmission, sub-transmission and zone substation - civil and structural components.</w:t>
            </w:r>
          </w:p>
          <w:p w:rsidR="00000000" w:rsidRPr="002D18A0" w:rsidP="002D18A0">
            <w:pPr>
              <w:pStyle w:val="BodyText"/>
            </w:pPr>
            <w:r w:rsidRPr="002D18A0">
              <w:t>In addition to the resources listed above, in Context of and specific resources for assessment, evidence should show demonstrate</w:t>
            </w:r>
            <w:r w:rsidRPr="002D18A0">
              <w:t>d competency working realistic environment and a variety of conditions.</w:t>
            </w:r>
          </w:p>
        </w:tc>
      </w:tr>
    </w:tbl>
    <w:p w:rsidR="00000000" w:rsidRPr="002D18A0" w:rsidP="002D18A0">
      <w:pPr>
        <w:pStyle w:val="BodyText"/>
      </w:pPr>
    </w:p>
    <w:tbl>
      <w:tblPr>
        <w:tblW w:w="0" w:type="auto"/>
        <w:tblLayout w:type="fixed"/>
        <w:tblCellMar>
          <w:left w:w="62" w:type="dxa"/>
          <w:right w:w="62" w:type="dxa"/>
        </w:tblCellMar>
        <w:tblLook w:val="0000"/>
      </w:tblPr>
      <w:tblGrid>
        <w:gridCol w:w="1890"/>
        <w:gridCol w:w="6570"/>
      </w:tblGrid>
      <w:tr w:rsidTr="00377B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9.4)</w:t>
            </w:r>
          </w:p>
        </w:tc>
      </w:tr>
      <w:tr w:rsidTr="00377B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t>This Competency Standard Unit shall be assessed by methods given in Volume 1, Part 3 “Assessment Guidelines”.</w:t>
            </w:r>
          </w:p>
          <w:p w:rsidR="00000000" w:rsidRPr="002D18A0" w:rsidP="002D18A0">
            <w:pPr>
              <w:pStyle w:val="BodyText"/>
            </w:pPr>
            <w:r w:rsidRPr="002D18A0">
              <w:t>Note:</w:t>
            </w:r>
          </w:p>
          <w:p w:rsidR="00000000" w:rsidRPr="002D18A0" w:rsidP="002D18A0">
            <w:pPr>
              <w:pStyle w:val="BodyText"/>
            </w:pPr>
            <w:r w:rsidRPr="002D18A0">
              <w:t>Competent performance with inherent sa</w:t>
            </w:r>
            <w:r w:rsidRPr="002D18A0">
              <w:t>fe working practices is expected in the Industry to which this Competency Standard Unit applies. This requires that the specified essential knowledge and associated skills are assessed in a structured environment which is primarily intended for learning/as</w:t>
            </w:r>
            <w:r w:rsidRPr="002D18A0">
              <w:t>sessment and incorporates all necessary equipment and facilities for learners to develop and demonstrate the essential knowledge and associated skills described in this unit.</w:t>
            </w:r>
          </w:p>
        </w:tc>
      </w:tr>
    </w:tbl>
    <w:p w:rsidR="00000000" w:rsidRPr="002D18A0" w:rsidP="002D18A0">
      <w:pPr>
        <w:pStyle w:val="BodyText"/>
      </w:pPr>
    </w:p>
    <w:tbl>
      <w:tblPr>
        <w:tblW w:w="0" w:type="auto"/>
        <w:tblLayout w:type="fixed"/>
        <w:tblCellMar>
          <w:left w:w="62" w:type="dxa"/>
          <w:right w:w="62" w:type="dxa"/>
        </w:tblCellMar>
        <w:tblLook w:val="0000"/>
      </w:tblPr>
      <w:tblGrid>
        <w:gridCol w:w="1890"/>
        <w:gridCol w:w="6570"/>
      </w:tblGrid>
      <w:tr w:rsidTr="00377B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9.5)</w:t>
            </w:r>
          </w:p>
        </w:tc>
      </w:tr>
      <w:tr w:rsidTr="00377B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t>There are no recommended concurrent assessments with this unit, however in some cases efficiencies may be gained in terms of learning and assessment effort being concurrently managed.</w:t>
            </w:r>
          </w:p>
        </w:tc>
      </w:tr>
    </w:tbl>
    <w:p w:rsidR="00000000" w:rsidRPr="002D18A0" w:rsidP="002D18A0">
      <w:pPr>
        <w:pStyle w:val="BodyText"/>
      </w:pPr>
    </w:p>
    <w:p w:rsidR="00000000" w:rsidRPr="002D18A0" w:rsidP="002D18A0">
      <w:pPr>
        <w:pStyle w:val="AllowPageBreak"/>
      </w:pPr>
    </w:p>
    <w:p w:rsidR="00000000" w:rsidRPr="002D18A0" w:rsidP="002D18A0">
      <w:pPr>
        <w:pStyle w:val="Heading1"/>
      </w:pPr>
      <w:bookmarkStart w:id="11" w:name="O_463717"/>
      <w:bookmarkEnd w:id="11"/>
      <w:r w:rsidRPr="002D18A0">
        <w:t>Range Statement</w:t>
      </w:r>
    </w:p>
    <w:tbl>
      <w:tblPr>
        <w:tblW w:w="0" w:type="auto"/>
        <w:tblLayout w:type="fixed"/>
        <w:tblCellMar>
          <w:left w:w="62" w:type="dxa"/>
          <w:right w:w="62" w:type="dxa"/>
        </w:tblCellMar>
        <w:tblLook w:val="0000"/>
      </w:tblPr>
      <w:tblGrid>
        <w:gridCol w:w="8460"/>
      </w:tblGrid>
      <w:tr w:rsidTr="00377B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RANGE STATEMENT</w:t>
            </w:r>
          </w:p>
        </w:tc>
      </w:tr>
      <w:tr w:rsidTr="00377B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10)</w:t>
            </w:r>
            <w:r w:rsidRPr="002D18A0">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2D18A0" w:rsidP="002D18A0">
            <w:pPr>
              <w:pStyle w:val="BodyText"/>
            </w:pPr>
            <w:r w:rsidRPr="002D18A0">
              <w:t xml:space="preserve">This Competency Standard Unit </w:t>
            </w:r>
            <w:r w:rsidRPr="002D18A0">
              <w:t>shall be demonstrated in relation to the design of transmission, sub-transmission and zone substation civil and structural component and may include the following:</w:t>
            </w:r>
          </w:p>
          <w:p w:rsidR="00000000" w:rsidRPr="002D18A0" w:rsidP="002D18A0">
            <w:pPr>
              <w:pStyle w:val="BodyText"/>
            </w:pPr>
            <w:r w:rsidRPr="002D18A0">
              <w:t>Earthworks, foundations and footings, reference levels (RL)s, conduit and drainage, hydrauli</w:t>
            </w:r>
            <w:r w:rsidRPr="002D18A0">
              <w:t>cs, electrical isolation of water service etc, fire services, access roads, access road OK for low loaders and cranes (width, space turning radius, gradient), fences and gates, single point entry facilities in fences and gates, bundwalls and oil containmen</w:t>
            </w:r>
            <w:r w:rsidRPr="002D18A0">
              <w:t>t, retaining walls, sound attenuation facilities, panel cutouts.</w:t>
            </w:r>
          </w:p>
          <w:p w:rsidR="00000000" w:rsidRPr="002D18A0" w:rsidP="002D18A0">
            <w:pPr>
              <w:pStyle w:val="BodyText"/>
            </w:pPr>
            <w:r w:rsidRPr="002D18A0">
              <w:t>Outdoor steelwork (Stands) may include: Strain/Landing towe</w:t>
            </w:r>
            <w:r w:rsidRPr="002D18A0">
              <w:t>r, surge arrestor, isolator, voltage transformer, current transformer, circuit breaker, fault thrower, lightening masts, cages/screens, sealing ends, cable supports, operating stands and busbar supports.</w:t>
            </w:r>
          </w:p>
          <w:p w:rsidR="00000000" w:rsidRPr="002D18A0" w:rsidP="002D18A0">
            <w:pPr>
              <w:pStyle w:val="BodyText"/>
            </w:pPr>
            <w:r w:rsidRPr="002D18A0">
              <w:t>Indoor Steelwork may include: Frequency injection, c</w:t>
            </w:r>
            <w:r w:rsidRPr="002D18A0">
              <w:t>able supports, cages/screens, cable ladder</w:t>
            </w:r>
          </w:p>
          <w:p w:rsidR="00000000" w:rsidRPr="002D18A0" w:rsidP="002D18A0">
            <w:pPr>
              <w:pStyle w:val="BodyText"/>
            </w:pPr>
            <w:r w:rsidRPr="002D18A0">
              <w:t>Transformer bund facilities.</w:t>
            </w:r>
          </w:p>
          <w:p w:rsidR="00000000" w:rsidRPr="002D18A0" w:rsidP="002D18A0">
            <w:pPr>
              <w:pStyle w:val="BodyText"/>
            </w:pPr>
            <w:r w:rsidRPr="002D18A0">
              <w:t>The following constants and variables included in the element/Performance Criteria in this unit are fully described in the Definitions Section 1 of this volume and form an integral par</w:t>
            </w:r>
            <w:r w:rsidRPr="002D18A0">
              <w:t>t of the Range Statement of this unit:</w:t>
            </w:r>
          </w:p>
          <w:p w:rsidR="00000000" w:rsidRPr="002D18A0" w:rsidP="002D18A0">
            <w:pPr>
              <w:pStyle w:val="ListBullet3"/>
            </w:pPr>
            <w:r w:rsidRPr="002D18A0">
              <w:t>Appropriate and relevant persons (see Personnel)</w:t>
            </w:r>
          </w:p>
          <w:p w:rsidR="00000000" w:rsidRPr="002D18A0" w:rsidP="002D18A0">
            <w:pPr>
              <w:pStyle w:val="ListBullet3"/>
            </w:pPr>
            <w:r w:rsidRPr="002D18A0">
              <w:t>Appropriate authorities</w:t>
            </w:r>
          </w:p>
          <w:p w:rsidR="00000000" w:rsidRPr="002D18A0" w:rsidP="002D18A0">
            <w:pPr>
              <w:pStyle w:val="ListBullet3"/>
            </w:pPr>
            <w:r w:rsidRPr="002D18A0">
              <w:t>Appropriate work platform.</w:t>
            </w:r>
          </w:p>
          <w:p w:rsidR="00000000" w:rsidRPr="002D18A0" w:rsidP="002D18A0">
            <w:pPr>
              <w:pStyle w:val="ListBullet3"/>
            </w:pPr>
            <w:r w:rsidRPr="002D18A0">
              <w:t>Assessing risk</w:t>
            </w:r>
          </w:p>
          <w:p w:rsidR="00000000" w:rsidRPr="002D18A0" w:rsidP="002D18A0">
            <w:pPr>
              <w:pStyle w:val="ListBullet3"/>
            </w:pPr>
            <w:r w:rsidRPr="002D18A0">
              <w:t>Assessment</w:t>
            </w:r>
          </w:p>
          <w:p w:rsidR="00000000" w:rsidRPr="002D18A0" w:rsidP="002D18A0">
            <w:pPr>
              <w:pStyle w:val="ListBullet3"/>
            </w:pPr>
            <w:r w:rsidRPr="002D18A0">
              <w:t xml:space="preserve">Authorisation </w:t>
            </w:r>
          </w:p>
          <w:p w:rsidR="00000000" w:rsidRPr="002D18A0" w:rsidP="002D18A0">
            <w:pPr>
              <w:pStyle w:val="ListBullet3"/>
            </w:pPr>
            <w:r w:rsidRPr="002D18A0">
              <w:t>Confined space</w:t>
            </w:r>
          </w:p>
          <w:p w:rsidR="00000000" w:rsidRPr="002D18A0" w:rsidP="002D18A0">
            <w:pPr>
              <w:pStyle w:val="ListBullet3"/>
            </w:pPr>
            <w:r w:rsidRPr="002D18A0">
              <w:t>Diagnostic, testing and restoration.</w:t>
            </w:r>
          </w:p>
          <w:p w:rsidR="00000000" w:rsidRPr="002D18A0" w:rsidP="002D18A0">
            <w:pPr>
              <w:pStyle w:val="ListBullet3"/>
            </w:pPr>
            <w:r w:rsidRPr="002D18A0">
              <w:t>Documenting detail work</w:t>
            </w:r>
            <w:r w:rsidRPr="002D18A0">
              <w:t xml:space="preserve"> events, record keeping and or storage of information.</w:t>
            </w:r>
          </w:p>
          <w:p w:rsidR="00000000" w:rsidRPr="002D18A0" w:rsidP="002D18A0">
            <w:pPr>
              <w:pStyle w:val="ListBullet3"/>
            </w:pPr>
            <w:r w:rsidRPr="002D18A0">
              <w:t xml:space="preserve">Drawings and specifications </w:t>
            </w:r>
          </w:p>
          <w:p w:rsidR="00000000" w:rsidRPr="002D18A0" w:rsidP="002D18A0">
            <w:pPr>
              <w:pStyle w:val="ListBullet3"/>
            </w:pPr>
            <w:r w:rsidRPr="002D18A0">
              <w:t>Emergency</w:t>
            </w:r>
          </w:p>
          <w:p w:rsidR="00000000" w:rsidRPr="002D18A0" w:rsidP="002D18A0">
            <w:pPr>
              <w:pStyle w:val="ListBullet3"/>
            </w:pPr>
            <w:r w:rsidRPr="002D18A0">
              <w:t>Environmental and sustainable energy procedures</w:t>
            </w:r>
          </w:p>
          <w:p w:rsidR="00000000" w:rsidRPr="002D18A0" w:rsidP="002D18A0">
            <w:pPr>
              <w:pStyle w:val="ListBullet3"/>
            </w:pPr>
            <w:r w:rsidRPr="002D18A0">
              <w:t>Environmental legislation.</w:t>
            </w:r>
          </w:p>
          <w:p w:rsidR="00000000" w:rsidRPr="002D18A0" w:rsidP="002D18A0">
            <w:pPr>
              <w:pStyle w:val="ListBullet3"/>
            </w:pPr>
            <w:r w:rsidRPr="002D18A0">
              <w:t>Environmental management documentation.</w:t>
            </w:r>
          </w:p>
          <w:p w:rsidR="00000000" w:rsidRPr="002D18A0" w:rsidP="002D18A0">
            <w:pPr>
              <w:pStyle w:val="ListBullet3"/>
            </w:pPr>
            <w:r w:rsidRPr="002D18A0">
              <w:t>Established procedures.</w:t>
            </w:r>
          </w:p>
          <w:p w:rsidR="00000000" w:rsidRPr="002D18A0" w:rsidP="002D18A0">
            <w:pPr>
              <w:pStyle w:val="ListBullet3"/>
            </w:pPr>
            <w:r w:rsidRPr="002D18A0">
              <w:t>Fall prevention</w:t>
            </w:r>
          </w:p>
          <w:p w:rsidR="00000000" w:rsidRPr="002D18A0" w:rsidP="002D18A0">
            <w:pPr>
              <w:pStyle w:val="ListBullet3"/>
            </w:pPr>
            <w:r w:rsidRPr="002D18A0">
              <w:t>Hazards</w:t>
            </w:r>
          </w:p>
          <w:p w:rsidR="00000000" w:rsidRPr="002D18A0" w:rsidP="002D18A0">
            <w:pPr>
              <w:pStyle w:val="ListBullet3"/>
            </w:pPr>
            <w:r w:rsidRPr="002D18A0">
              <w:t>Identifying hazards</w:t>
            </w:r>
          </w:p>
          <w:p w:rsidR="00000000" w:rsidRPr="002D18A0" w:rsidP="002D18A0">
            <w:pPr>
              <w:pStyle w:val="ListBullet3"/>
            </w:pPr>
            <w:r w:rsidRPr="002D18A0">
              <w:t>Inspect</w:t>
            </w:r>
          </w:p>
          <w:p w:rsidR="00000000" w:rsidRPr="002D18A0" w:rsidP="002D18A0">
            <w:pPr>
              <w:pStyle w:val="ListBullet3"/>
            </w:pPr>
            <w:r w:rsidRPr="002D18A0">
              <w:t>Legislation</w:t>
            </w:r>
          </w:p>
          <w:p w:rsidR="00000000" w:rsidRPr="002D18A0" w:rsidP="002D18A0">
            <w:pPr>
              <w:pStyle w:val="ListBullet3"/>
            </w:pPr>
            <w:r w:rsidRPr="002D18A0">
              <w:t>MSDS</w:t>
            </w:r>
          </w:p>
          <w:p w:rsidR="00000000" w:rsidRPr="002D18A0" w:rsidP="002D18A0">
            <w:pPr>
              <w:pStyle w:val="ListBullet3"/>
            </w:pPr>
            <w:r w:rsidRPr="002D18A0">
              <w:t>Notification.</w:t>
            </w:r>
          </w:p>
          <w:p w:rsidR="00000000" w:rsidRPr="002D18A0" w:rsidP="002D18A0">
            <w:pPr>
              <w:pStyle w:val="ListBullet3"/>
            </w:pPr>
            <w:r w:rsidRPr="002D18A0">
              <w:t>OHS practices</w:t>
            </w:r>
          </w:p>
          <w:p w:rsidR="00000000" w:rsidRPr="002D18A0" w:rsidP="002D18A0">
            <w:pPr>
              <w:pStyle w:val="ListBullet3"/>
            </w:pPr>
            <w:r w:rsidRPr="002D18A0">
              <w:t>OHS issues</w:t>
            </w:r>
          </w:p>
          <w:p w:rsidR="00000000" w:rsidRPr="002D18A0" w:rsidP="002D18A0">
            <w:pPr>
              <w:pStyle w:val="ListBullet3"/>
            </w:pPr>
            <w:r w:rsidRPr="002D18A0">
              <w:t>Permits and / or permits to work</w:t>
            </w:r>
          </w:p>
          <w:p w:rsidR="00000000" w:rsidRPr="002D18A0" w:rsidP="002D18A0">
            <w:pPr>
              <w:pStyle w:val="ListBullet3"/>
            </w:pPr>
            <w:r w:rsidRPr="002D18A0">
              <w:t>Personnel.</w:t>
            </w:r>
          </w:p>
          <w:p w:rsidR="00000000" w:rsidRPr="002D18A0" w:rsidP="002D18A0">
            <w:pPr>
              <w:pStyle w:val="ListBullet3"/>
            </w:pPr>
            <w:r w:rsidRPr="002D18A0">
              <w:t>Quality assurance systems.</w:t>
            </w:r>
          </w:p>
          <w:p w:rsidR="00000000" w:rsidRPr="002D18A0" w:rsidP="002D18A0">
            <w:pPr>
              <w:pStyle w:val="ListBullet3"/>
            </w:pPr>
            <w:r w:rsidRPr="002D18A0">
              <w:t>Requirements.</w:t>
            </w:r>
          </w:p>
          <w:p w:rsidR="00000000" w:rsidRPr="002D18A0" w:rsidP="002D18A0">
            <w:pPr>
              <w:pStyle w:val="ListBullet3"/>
            </w:pPr>
            <w:r w:rsidRPr="002D18A0">
              <w:t>Safe design principles</w:t>
            </w:r>
          </w:p>
          <w:p w:rsidR="00000000" w:rsidRPr="002D18A0" w:rsidP="002D18A0">
            <w:pPr>
              <w:pStyle w:val="ListBullet3"/>
            </w:pPr>
            <w:r w:rsidRPr="002D18A0">
              <w:t>Testing procedures</w:t>
            </w:r>
          </w:p>
          <w:p w:rsidR="00000000" w:rsidRPr="002D18A0" w:rsidP="002D18A0">
            <w:pPr>
              <w:pStyle w:val="ListBullet3"/>
            </w:pPr>
            <w:r w:rsidRPr="002D18A0">
              <w:t>Work clearance systems</w:t>
            </w:r>
          </w:p>
        </w:tc>
      </w:tr>
    </w:tbl>
    <w:p w:rsidR="00000000" w:rsidRPr="002D18A0" w:rsidP="002D18A0">
      <w:pPr>
        <w:pStyle w:val="BodyText"/>
      </w:pPr>
    </w:p>
    <w:p w:rsidR="00000000" w:rsidRPr="002D18A0" w:rsidP="002D18A0">
      <w:pPr>
        <w:pStyle w:val="AllowPageBreak"/>
      </w:pPr>
    </w:p>
    <w:p w:rsidR="00000000" w:rsidRPr="002D18A0" w:rsidP="002D18A0">
      <w:pPr>
        <w:pStyle w:val="Heading1"/>
      </w:pPr>
      <w:bookmarkStart w:id="12" w:name="O_463720"/>
      <w:bookmarkEnd w:id="12"/>
      <w:r w:rsidRPr="002D18A0">
        <w:t>Unit Sector(s)</w:t>
      </w:r>
    </w:p>
    <w:p w:rsidR="00000000" w:rsidRPr="002D18A0" w:rsidP="002D18A0">
      <w:pPr>
        <w:pStyle w:val="BodyText"/>
      </w:pPr>
      <w:r w:rsidRPr="002D18A0">
        <w:t>Not applicable.</w:t>
      </w:r>
    </w:p>
    <w:p w:rsidR="00000000" w:rsidRPr="002D18A0" w:rsidP="002D18A0">
      <w:pPr>
        <w:pStyle w:val="AllowPageBreak"/>
      </w:pPr>
    </w:p>
    <w:p w:rsidR="00000000" w:rsidRPr="002D18A0" w:rsidP="002D18A0">
      <w:pPr>
        <w:pStyle w:val="Heading1"/>
      </w:pPr>
      <w:bookmarkStart w:id="13" w:name="O_463709"/>
      <w:bookmarkEnd w:id="13"/>
      <w:r w:rsidRPr="002D18A0">
        <w:t>Competency Field</w:t>
      </w:r>
    </w:p>
    <w:tbl>
      <w:tblPr>
        <w:tblW w:w="0" w:type="auto"/>
        <w:tblLayout w:type="fixed"/>
        <w:tblCellMar>
          <w:left w:w="62" w:type="dxa"/>
          <w:right w:w="62" w:type="dxa"/>
        </w:tblCellMar>
        <w:tblLook w:val="0000"/>
      </w:tblPr>
      <w:tblGrid>
        <w:gridCol w:w="2700"/>
        <w:gridCol w:w="5760"/>
      </w:tblGrid>
      <w:tr w:rsidTr="00377B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D18A0">
            <w:pPr>
              <w:pStyle w:val="BodyText"/>
              <w:rPr>
                <w:lang w:val="en-NZ"/>
              </w:rPr>
            </w:pPr>
            <w:r w:rsidRPr="002D18A0">
              <w:rPr>
                <w:rStyle w:val="SpecialBold"/>
              </w:rPr>
              <w:t xml:space="preserve">11) </w:t>
            </w:r>
          </w:p>
        </w:tc>
      </w:tr>
      <w:tr w:rsidTr="00377B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D18A0" w:rsidP="002D18A0">
            <w:pPr>
              <w:pStyle w:val="BodyText"/>
            </w:pPr>
            <w:r w:rsidRPr="002D18A0">
              <w:t>Design</w:t>
            </w:r>
          </w:p>
        </w:tc>
      </w:tr>
    </w:tbl>
    <w:p w:rsidR="00000000" w:rsidRPr="002D18A0" w:rsidP="002D18A0">
      <w:pPr>
        <w:pStyle w:val="BodyText"/>
      </w:pPr>
    </w:p>
    <w:p w:rsidR="00000000" w:rsidRPr="002D18A0" w:rsidP="002D18A0"/>
    <w:sectPr w:rsidSect="002D18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B45" w:rsidP="00377B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B45" w:rsidP="002D18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77B45" w:rsidP="002D18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77B45" w:rsidP="002D18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8A0" w:rsidRPr="00377B45" w:rsidP="00377B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B45" w:rsidRPr="002D2AF8" w:rsidP="002D18A0">
    <w:pPr>
      <w:pStyle w:val="Header"/>
      <w:framePr w:wrap="around"/>
    </w:pPr>
    <w:r>
      <w:fldChar w:fldCharType="begin"/>
    </w:r>
    <w:r>
      <w:instrText xml:space="preserve"> TITLE   \* MERGEFORMAT </w:instrText>
    </w:r>
    <w:r>
      <w:fldChar w:fldCharType="separate"/>
    </w:r>
    <w:r>
      <w:t>UETTDRDS56A Design power system transmission, sub-transmission and zone substation civil and 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77B45" w:rsidP="002D18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469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0C2F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FEF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8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8A0"/>
    <w:pPr>
      <w:spacing w:before="360" w:after="60"/>
      <w:outlineLvl w:val="0"/>
    </w:pPr>
    <w:rPr>
      <w:sz w:val="32"/>
    </w:rPr>
  </w:style>
  <w:style w:type="paragraph" w:styleId="Heading2">
    <w:name w:val="heading 2"/>
    <w:basedOn w:val="HeadingBase"/>
    <w:next w:val="BodyText"/>
    <w:link w:val="Heading2Char"/>
    <w:qFormat/>
    <w:rsid w:val="002D18A0"/>
    <w:pPr>
      <w:keepLines/>
      <w:spacing w:before="240" w:after="120"/>
      <w:outlineLvl w:val="1"/>
    </w:pPr>
    <w:rPr>
      <w:sz w:val="28"/>
      <w:szCs w:val="40"/>
    </w:rPr>
  </w:style>
  <w:style w:type="paragraph" w:styleId="Heading3">
    <w:name w:val="heading 3"/>
    <w:basedOn w:val="HeadingBase"/>
    <w:next w:val="BodyText"/>
    <w:link w:val="Heading3Char"/>
    <w:qFormat/>
    <w:rsid w:val="002D18A0"/>
    <w:pPr>
      <w:spacing w:before="180" w:after="120"/>
      <w:outlineLvl w:val="2"/>
    </w:pPr>
    <w:rPr>
      <w:spacing w:val="-10"/>
      <w:kern w:val="32"/>
    </w:rPr>
  </w:style>
  <w:style w:type="paragraph" w:styleId="Heading4">
    <w:name w:val="heading 4"/>
    <w:basedOn w:val="HeadingBase"/>
    <w:next w:val="BodyText"/>
    <w:link w:val="Heading4Char"/>
    <w:qFormat/>
    <w:rsid w:val="002D18A0"/>
    <w:pPr>
      <w:spacing w:before="160" w:after="120"/>
      <w:outlineLvl w:val="3"/>
    </w:pPr>
    <w:rPr>
      <w:sz w:val="22"/>
    </w:rPr>
  </w:style>
  <w:style w:type="paragraph" w:styleId="Heading5">
    <w:name w:val="heading 5"/>
    <w:basedOn w:val="HeadingBase"/>
    <w:next w:val="Normal"/>
    <w:link w:val="Heading5Char"/>
    <w:qFormat/>
    <w:rsid w:val="002D18A0"/>
    <w:pPr>
      <w:spacing w:before="80"/>
      <w:outlineLvl w:val="4"/>
    </w:pPr>
    <w:rPr>
      <w:color w:val="918585"/>
      <w:sz w:val="20"/>
    </w:rPr>
  </w:style>
  <w:style w:type="paragraph" w:styleId="Heading6">
    <w:name w:val="heading 6"/>
    <w:basedOn w:val="HeadingBase"/>
    <w:next w:val="Normal"/>
    <w:link w:val="Heading6Char"/>
    <w:qFormat/>
    <w:rsid w:val="002D18A0"/>
    <w:pPr>
      <w:spacing w:before="60"/>
      <w:outlineLvl w:val="5"/>
    </w:pPr>
    <w:rPr>
      <w:color w:val="918585"/>
      <w:sz w:val="20"/>
    </w:rPr>
  </w:style>
  <w:style w:type="paragraph" w:styleId="Heading7">
    <w:name w:val="heading 7"/>
    <w:basedOn w:val="Normal"/>
    <w:next w:val="Normal"/>
    <w:link w:val="Heading7Char"/>
    <w:qFormat/>
    <w:rsid w:val="002D18A0"/>
    <w:pPr>
      <w:ind w:left="720"/>
      <w:outlineLvl w:val="6"/>
    </w:pPr>
    <w:rPr>
      <w:i/>
    </w:rPr>
  </w:style>
  <w:style w:type="paragraph" w:styleId="Heading8">
    <w:name w:val="heading 8"/>
    <w:basedOn w:val="Normal"/>
    <w:next w:val="Normal"/>
    <w:link w:val="Heading8Char"/>
    <w:qFormat/>
    <w:rsid w:val="002D18A0"/>
    <w:pPr>
      <w:ind w:left="720"/>
      <w:outlineLvl w:val="7"/>
    </w:pPr>
    <w:rPr>
      <w:i/>
    </w:rPr>
  </w:style>
  <w:style w:type="paragraph" w:styleId="Heading9">
    <w:name w:val="heading 9"/>
    <w:basedOn w:val="Normal"/>
    <w:next w:val="Normal"/>
    <w:link w:val="Heading9Char"/>
    <w:qFormat/>
    <w:rsid w:val="002D18A0"/>
    <w:pPr>
      <w:ind w:left="720"/>
      <w:outlineLvl w:val="8"/>
    </w:pPr>
    <w:rPr>
      <w:i/>
    </w:rPr>
  </w:style>
  <w:style w:type="character" w:default="1" w:styleId="DefaultParagraphFont">
    <w:name w:val="Default Paragraph Font"/>
    <w:uiPriority w:val="1"/>
    <w:unhideWhenUsed/>
    <w:rsid w:val="002D1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8A0"/>
  </w:style>
  <w:style w:type="character" w:customStyle="1" w:styleId="Heading1Char">
    <w:name w:val="Heading 1 Char"/>
    <w:basedOn w:val="DefaultParagraphFont"/>
    <w:link w:val="Heading1"/>
    <w:rsid w:val="002D18A0"/>
    <w:rPr>
      <w:rFonts w:ascii="Times New Roman" w:eastAsia="Times New Roman" w:hAnsi="Times New Roman" w:cs="Times New Roman"/>
      <w:b/>
      <w:sz w:val="32"/>
      <w:szCs w:val="20"/>
      <w:lang w:eastAsia="en-US"/>
    </w:rPr>
  </w:style>
  <w:style w:type="paragraph" w:styleId="BodyText">
    <w:name w:val="Body Text"/>
    <w:basedOn w:val="Normal"/>
    <w:link w:val="BodyTextChar"/>
    <w:rsid w:val="002D18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8A0"/>
    <w:rPr>
      <w:rFonts w:ascii="Times New Roman" w:eastAsia="Times New Roman" w:hAnsi="Times New Roman" w:cs="Times New Roman"/>
      <w:sz w:val="24"/>
      <w:lang w:eastAsia="en-US"/>
    </w:rPr>
  </w:style>
  <w:style w:type="paragraph" w:styleId="Footer">
    <w:name w:val="footer"/>
    <w:basedOn w:val="Normal"/>
    <w:link w:val="FooterChar"/>
    <w:rsid w:val="002D1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8A0"/>
    <w:rPr>
      <w:rFonts w:ascii="Times New Roman" w:eastAsia="Times New Roman" w:hAnsi="Times New Roman" w:cs="Times New Roman"/>
      <w:sz w:val="16"/>
      <w:lang w:eastAsia="en-US"/>
    </w:rPr>
  </w:style>
  <w:style w:type="paragraph" w:styleId="ListBullet">
    <w:name w:val="List Bullet"/>
    <w:basedOn w:val="List"/>
    <w:rsid w:val="002D18A0"/>
    <w:pPr>
      <w:numPr>
        <w:numId w:val="14"/>
      </w:numPr>
      <w:tabs>
        <w:tab w:val="clear" w:pos="340"/>
      </w:tabs>
      <w:spacing w:before="40" w:after="40"/>
    </w:pPr>
  </w:style>
  <w:style w:type="character" w:customStyle="1" w:styleId="SpecialBold">
    <w:name w:val="Special Bold"/>
    <w:basedOn w:val="DefaultParagraphFont"/>
    <w:rsid w:val="002D18A0"/>
    <w:rPr>
      <w:b/>
      <w:spacing w:val="0"/>
    </w:rPr>
  </w:style>
  <w:style w:type="paragraph" w:styleId="ListBullet2">
    <w:name w:val="List Bullet 2"/>
    <w:basedOn w:val="List2"/>
    <w:rsid w:val="002D18A0"/>
    <w:pPr>
      <w:numPr>
        <w:numId w:val="15"/>
      </w:numPr>
      <w:tabs>
        <w:tab w:val="clear" w:pos="680"/>
      </w:tabs>
    </w:pPr>
  </w:style>
  <w:style w:type="paragraph" w:customStyle="1" w:styleId="SuperHeading">
    <w:name w:val="SuperHeading"/>
    <w:basedOn w:val="Normal"/>
    <w:rsid w:val="002D18A0"/>
    <w:pPr>
      <w:spacing w:before="240" w:after="120"/>
      <w:outlineLvl w:val="0"/>
    </w:pPr>
    <w:rPr>
      <w:rFonts w:ascii="Times New Roman" w:hAnsi="Times New Roman"/>
      <w:b/>
      <w:sz w:val="28"/>
    </w:rPr>
  </w:style>
  <w:style w:type="paragraph" w:customStyle="1" w:styleId="AllowPageBreak">
    <w:name w:val="AllowPageBreak"/>
    <w:rsid w:val="002D18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18A0"/>
    <w:pPr>
      <w:numPr>
        <w:numId w:val="3"/>
      </w:numPr>
      <w:tabs>
        <w:tab w:val="clear" w:pos="1021"/>
      </w:tabs>
      <w:ind w:left="1037" w:hanging="357"/>
    </w:pPr>
  </w:style>
  <w:style w:type="character" w:customStyle="1" w:styleId="Heading2Char">
    <w:name w:val="Heading 2 Char"/>
    <w:basedOn w:val="DefaultParagraphFont"/>
    <w:link w:val="Heading2"/>
    <w:rsid w:val="002D18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8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8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8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8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8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8A0"/>
    <w:rPr>
      <w:rFonts w:ascii="Courier New" w:eastAsia="Times New Roman" w:hAnsi="Courier New" w:cs="Times New Roman"/>
      <w:i/>
      <w:szCs w:val="20"/>
      <w:lang w:eastAsia="en-US"/>
    </w:rPr>
  </w:style>
  <w:style w:type="paragraph" w:customStyle="1" w:styleId="HeadingBase">
    <w:name w:val="Heading Base"/>
    <w:rsid w:val="002D1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8A0"/>
    <w:pPr>
      <w:tabs>
        <w:tab w:val="right" w:leader="dot" w:pos="9072"/>
      </w:tabs>
      <w:ind w:left="567"/>
    </w:pPr>
    <w:rPr>
      <w:szCs w:val="22"/>
    </w:rPr>
  </w:style>
  <w:style w:type="paragraph" w:customStyle="1" w:styleId="TOCBase">
    <w:name w:val="TOC Base"/>
    <w:rsid w:val="002D1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8A0"/>
    <w:pPr>
      <w:tabs>
        <w:tab w:val="right" w:leader="dot" w:pos="9072"/>
      </w:tabs>
      <w:spacing w:before="40" w:after="40"/>
      <w:ind w:left="284"/>
    </w:pPr>
    <w:rPr>
      <w:rFonts w:ascii="Times New Roman" w:hAnsi="Times New Roman"/>
    </w:rPr>
  </w:style>
  <w:style w:type="paragraph" w:styleId="TOC1">
    <w:name w:val="toc 1"/>
    <w:basedOn w:val="TOCBase"/>
    <w:next w:val="Normal"/>
    <w:rsid w:val="002D18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18A0"/>
    <w:pPr>
      <w:spacing w:before="5040"/>
      <w:jc w:val="center"/>
    </w:pPr>
    <w:rPr>
      <w:sz w:val="48"/>
      <w:szCs w:val="72"/>
      <w:lang w:val="en-US"/>
    </w:rPr>
  </w:style>
  <w:style w:type="character" w:customStyle="1" w:styleId="TitleChar">
    <w:name w:val="Title Char"/>
    <w:basedOn w:val="DefaultParagraphFont"/>
    <w:link w:val="Title"/>
    <w:rsid w:val="002D1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8A0"/>
    <w:pPr>
      <w:tabs>
        <w:tab w:val="left" w:pos="3600"/>
        <w:tab w:val="left" w:pos="3958"/>
      </w:tabs>
    </w:pPr>
  </w:style>
  <w:style w:type="paragraph" w:styleId="List">
    <w:name w:val="List"/>
    <w:basedOn w:val="BodyText"/>
    <w:next w:val="BodyText"/>
    <w:rsid w:val="002D18A0"/>
    <w:pPr>
      <w:tabs>
        <w:tab w:val="left" w:pos="340"/>
      </w:tabs>
      <w:spacing w:before="60" w:after="60"/>
      <w:ind w:left="340" w:hanging="340"/>
    </w:pPr>
  </w:style>
  <w:style w:type="paragraph" w:customStyle="1" w:styleId="Note">
    <w:name w:val="Note"/>
    <w:basedOn w:val="BodyText"/>
    <w:rsid w:val="002D18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8A0"/>
    <w:pPr>
      <w:framePr w:wrap="auto" w:hAnchor="text" w:y="6049"/>
    </w:pPr>
    <w:rPr>
      <w:color w:val="000000"/>
      <w:sz w:val="40"/>
    </w:rPr>
  </w:style>
  <w:style w:type="paragraph" w:customStyle="1" w:styleId="TOCTitle">
    <w:name w:val="TOCTitle"/>
    <w:basedOn w:val="Heading1"/>
    <w:rsid w:val="002D18A0"/>
    <w:pPr>
      <w:spacing w:after="240"/>
      <w:jc w:val="center"/>
      <w:outlineLvl w:val="9"/>
    </w:pPr>
    <w:rPr>
      <w:caps/>
    </w:rPr>
  </w:style>
  <w:style w:type="paragraph" w:customStyle="1" w:styleId="Version">
    <w:name w:val="Version"/>
    <w:rsid w:val="002D18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8A0"/>
    <w:pPr>
      <w:keepNext w:val="0"/>
      <w:tabs>
        <w:tab w:val="right" w:pos="4176"/>
      </w:tabs>
      <w:ind w:left="198" w:hanging="198"/>
    </w:pPr>
    <w:rPr>
      <w:rFonts w:ascii="Garamond" w:hAnsi="Garamond"/>
    </w:rPr>
  </w:style>
  <w:style w:type="paragraph" w:styleId="IndexHeading">
    <w:name w:val="index heading"/>
    <w:basedOn w:val="Normal"/>
    <w:next w:val="Index1"/>
    <w:semiHidden/>
    <w:rsid w:val="002D18A0"/>
    <w:pPr>
      <w:spacing w:before="120" w:after="120"/>
    </w:pPr>
    <w:rPr>
      <w:rFonts w:ascii="Arial" w:hAnsi="Arial"/>
      <w:b/>
      <w:color w:val="918585"/>
      <w:sz w:val="24"/>
    </w:rPr>
  </w:style>
  <w:style w:type="paragraph" w:styleId="Header">
    <w:name w:val="header"/>
    <w:basedOn w:val="Normal"/>
    <w:link w:val="HeaderChar"/>
    <w:rsid w:val="002D1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8A0"/>
    <w:rPr>
      <w:rFonts w:ascii="Times New Roman" w:eastAsia="Times New Roman" w:hAnsi="Times New Roman" w:cs="Times New Roman"/>
      <w:sz w:val="16"/>
      <w:szCs w:val="20"/>
      <w:lang w:val="en-GB" w:eastAsia="en-US"/>
    </w:rPr>
  </w:style>
  <w:style w:type="paragraph" w:customStyle="1" w:styleId="Chapter">
    <w:name w:val="Chapter"/>
    <w:basedOn w:val="Normal"/>
    <w:rsid w:val="002D18A0"/>
    <w:pPr>
      <w:spacing w:before="240"/>
    </w:pPr>
    <w:rPr>
      <w:rFonts w:ascii="Times New Roman" w:hAnsi="Times New Roman"/>
      <w:smallCaps/>
      <w:spacing w:val="80"/>
      <w:sz w:val="28"/>
    </w:rPr>
  </w:style>
  <w:style w:type="paragraph" w:customStyle="1" w:styleId="InChapter">
    <w:name w:val="InChapter"/>
    <w:basedOn w:val="Heading3"/>
    <w:rsid w:val="002D18A0"/>
    <w:pPr>
      <w:spacing w:after="240"/>
      <w:outlineLvl w:val="9"/>
    </w:pPr>
    <w:rPr>
      <w:noProof/>
    </w:rPr>
  </w:style>
  <w:style w:type="paragraph" w:styleId="Index2">
    <w:name w:val="index 2"/>
    <w:basedOn w:val="Normal"/>
    <w:next w:val="Normal"/>
    <w:semiHidden/>
    <w:rsid w:val="002D18A0"/>
    <w:pPr>
      <w:tabs>
        <w:tab w:val="right" w:pos="4176"/>
      </w:tabs>
      <w:ind w:left="568" w:hanging="284"/>
    </w:pPr>
    <w:rPr>
      <w:rFonts w:ascii="Garamond" w:hAnsi="Garamond"/>
    </w:rPr>
  </w:style>
  <w:style w:type="paragraph" w:customStyle="1" w:styleId="Byline">
    <w:name w:val="Byline"/>
    <w:rsid w:val="002D1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8A0"/>
    <w:pPr>
      <w:tabs>
        <w:tab w:val="clear" w:pos="3600"/>
        <w:tab w:val="clear" w:pos="3958"/>
      </w:tabs>
      <w:jc w:val="right"/>
    </w:pPr>
  </w:style>
  <w:style w:type="character" w:styleId="Emphasis">
    <w:name w:val="Emphasis"/>
    <w:basedOn w:val="DefaultParagraphFont"/>
    <w:qFormat/>
    <w:rsid w:val="002D18A0"/>
    <w:rPr>
      <w:i/>
    </w:rPr>
  </w:style>
  <w:style w:type="paragraph" w:styleId="Caption">
    <w:name w:val="caption"/>
    <w:basedOn w:val="BodyText"/>
    <w:next w:val="Normal"/>
    <w:qFormat/>
    <w:rsid w:val="002D18A0"/>
    <w:pPr>
      <w:framePr w:w="2268" w:hSpace="181" w:vSpace="181" w:wrap="around" w:vAnchor="text" w:hAnchor="page" w:x="1135" w:y="285" w:anchorLock="1"/>
    </w:pPr>
    <w:rPr>
      <w:i/>
    </w:rPr>
  </w:style>
  <w:style w:type="paragraph" w:customStyle="1" w:styleId="MiniTOCTitle">
    <w:name w:val="MiniTOCTitle"/>
    <w:basedOn w:val="Heading4"/>
    <w:rsid w:val="002D18A0"/>
    <w:pPr>
      <w:spacing w:before="240"/>
      <w:outlineLvl w:val="9"/>
    </w:pPr>
    <w:rPr>
      <w:noProof/>
      <w:sz w:val="24"/>
    </w:rPr>
  </w:style>
  <w:style w:type="paragraph" w:customStyle="1" w:styleId="MiniTOCItem">
    <w:name w:val="MiniTOCItem"/>
    <w:basedOn w:val="ListBullet"/>
    <w:rsid w:val="002D18A0"/>
    <w:pPr>
      <w:numPr>
        <w:numId w:val="0"/>
      </w:numPr>
      <w:tabs>
        <w:tab w:val="right" w:leader="dot" w:pos="6521"/>
      </w:tabs>
      <w:spacing w:before="0" w:after="0"/>
    </w:pPr>
  </w:style>
  <w:style w:type="paragraph" w:customStyle="1" w:styleId="TOFTitle">
    <w:name w:val="TOFTitle"/>
    <w:basedOn w:val="TOCTitle"/>
    <w:rsid w:val="002D18A0"/>
  </w:style>
  <w:style w:type="paragraph" w:styleId="TableofFigures">
    <w:name w:val="table of figures"/>
    <w:basedOn w:val="Normal"/>
    <w:next w:val="Normal"/>
    <w:semiHidden/>
    <w:rsid w:val="002D18A0"/>
    <w:pPr>
      <w:tabs>
        <w:tab w:val="right" w:leader="dot" w:pos="9072"/>
      </w:tabs>
      <w:ind w:left="970" w:hanging="403"/>
    </w:pPr>
    <w:rPr>
      <w:rFonts w:ascii="Times New Roman" w:hAnsi="Times New Roman"/>
      <w:b/>
    </w:rPr>
  </w:style>
  <w:style w:type="paragraph" w:styleId="ListNumber">
    <w:name w:val="List Number"/>
    <w:basedOn w:val="List"/>
    <w:rsid w:val="002D18A0"/>
    <w:pPr>
      <w:numPr>
        <w:numId w:val="12"/>
      </w:numPr>
    </w:pPr>
  </w:style>
  <w:style w:type="character" w:customStyle="1" w:styleId="WingdingSymbols">
    <w:name w:val="Wingding Symbols"/>
    <w:rsid w:val="002D18A0"/>
    <w:rPr>
      <w:rFonts w:ascii="Wingdings" w:hAnsi="Wingdings"/>
    </w:rPr>
  </w:style>
  <w:style w:type="paragraph" w:customStyle="1" w:styleId="TableHeading">
    <w:name w:val="Table Heading"/>
    <w:basedOn w:val="HeadingBase"/>
    <w:rsid w:val="002D18A0"/>
    <w:pPr>
      <w:keepLines/>
      <w:pBdr>
        <w:bottom w:val="single" w:sz="6" w:space="1" w:color="918585"/>
      </w:pBdr>
      <w:spacing w:before="240"/>
    </w:pPr>
  </w:style>
  <w:style w:type="character" w:customStyle="1" w:styleId="HotSpot">
    <w:name w:val="HotSpot"/>
    <w:rsid w:val="002D18A0"/>
    <w:rPr>
      <w:color w:val="0033CC"/>
      <w:u w:val="none"/>
    </w:rPr>
  </w:style>
  <w:style w:type="paragraph" w:customStyle="1" w:styleId="BodyTextRight">
    <w:name w:val="Body Text Right"/>
    <w:basedOn w:val="BodyText"/>
    <w:rsid w:val="002D18A0"/>
    <w:pPr>
      <w:spacing w:before="0" w:after="0"/>
      <w:jc w:val="right"/>
    </w:pPr>
  </w:style>
  <w:style w:type="paragraph" w:styleId="Index3">
    <w:name w:val="index 3"/>
    <w:basedOn w:val="ListNumber2"/>
    <w:next w:val="Normal"/>
    <w:semiHidden/>
    <w:rsid w:val="002D18A0"/>
    <w:pPr>
      <w:numPr>
        <w:numId w:val="0"/>
      </w:numPr>
      <w:tabs>
        <w:tab w:val="right" w:leader="dot" w:pos="4176"/>
      </w:tabs>
    </w:pPr>
  </w:style>
  <w:style w:type="paragraph" w:styleId="ListNumber2">
    <w:name w:val="List Number 2"/>
    <w:basedOn w:val="List2"/>
    <w:rsid w:val="002D18A0"/>
    <w:pPr>
      <w:numPr>
        <w:numId w:val="11"/>
      </w:numPr>
      <w:tabs>
        <w:tab w:val="clear" w:pos="1060"/>
      </w:tabs>
    </w:pPr>
  </w:style>
  <w:style w:type="paragraph" w:customStyle="1" w:styleId="MarginNote">
    <w:name w:val="Margin Note"/>
    <w:basedOn w:val="BodyText"/>
    <w:rsid w:val="002D1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8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8A0"/>
    <w:rPr>
      <w:sz w:val="32"/>
    </w:rPr>
  </w:style>
  <w:style w:type="paragraph" w:customStyle="1" w:styleId="HeadingProcedure">
    <w:name w:val="Heading Procedure"/>
    <w:basedOn w:val="HeadingBase"/>
    <w:next w:val="Normal"/>
    <w:rsid w:val="002D18A0"/>
    <w:pPr>
      <w:tabs>
        <w:tab w:val="left" w:pos="0"/>
      </w:tabs>
      <w:spacing w:before="120" w:after="60"/>
    </w:pPr>
    <w:rPr>
      <w:i/>
      <w:color w:val="918585"/>
      <w:sz w:val="22"/>
    </w:rPr>
  </w:style>
  <w:style w:type="paragraph" w:customStyle="1" w:styleId="TableBodyText">
    <w:name w:val="Table Body Text"/>
    <w:basedOn w:val="BodyText"/>
    <w:rsid w:val="002D18A0"/>
    <w:pPr>
      <w:spacing w:before="60" w:after="60"/>
    </w:pPr>
  </w:style>
  <w:style w:type="paragraph" w:styleId="ListContinue">
    <w:name w:val="List Continue"/>
    <w:basedOn w:val="List"/>
    <w:rsid w:val="002D18A0"/>
    <w:pPr>
      <w:ind w:firstLine="0"/>
    </w:pPr>
  </w:style>
  <w:style w:type="paragraph" w:customStyle="1" w:styleId="ListNote">
    <w:name w:val="List Note"/>
    <w:basedOn w:val="List"/>
    <w:rsid w:val="002D18A0"/>
    <w:pPr>
      <w:pBdr>
        <w:top w:val="single" w:sz="6" w:space="2" w:color="918585"/>
        <w:bottom w:val="single" w:sz="6" w:space="2" w:color="918585"/>
      </w:pBdr>
      <w:tabs>
        <w:tab w:val="left" w:pos="1021"/>
      </w:tabs>
      <w:ind w:firstLine="0"/>
    </w:pPr>
  </w:style>
  <w:style w:type="paragraph" w:customStyle="1" w:styleId="Warning">
    <w:name w:val="Warning"/>
    <w:basedOn w:val="BodyText"/>
    <w:rsid w:val="002D18A0"/>
    <w:pPr>
      <w:shd w:val="clear" w:color="auto" w:fill="D9D9D9"/>
      <w:tabs>
        <w:tab w:val="left" w:pos="992"/>
      </w:tabs>
      <w:ind w:left="119" w:right="119"/>
    </w:pPr>
    <w:rPr>
      <w:sz w:val="20"/>
    </w:rPr>
  </w:style>
  <w:style w:type="paragraph" w:customStyle="1" w:styleId="MarginIcons">
    <w:name w:val="Margin Icons"/>
    <w:basedOn w:val="BodyText"/>
    <w:rsid w:val="002D18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8A0"/>
    <w:rPr>
      <w:rFonts w:ascii="Courier New" w:hAnsi="Courier New"/>
    </w:rPr>
  </w:style>
  <w:style w:type="paragraph" w:customStyle="1" w:styleId="NoteBullet">
    <w:name w:val="Note Bullet"/>
    <w:basedOn w:val="Note"/>
    <w:rsid w:val="002D18A0"/>
    <w:pPr>
      <w:tabs>
        <w:tab w:val="clear" w:pos="680"/>
      </w:tabs>
      <w:spacing w:before="60" w:after="60"/>
    </w:pPr>
  </w:style>
  <w:style w:type="paragraph" w:customStyle="1" w:styleId="SubHeading2">
    <w:name w:val="SubHeading2"/>
    <w:basedOn w:val="HeadingBase"/>
    <w:rsid w:val="002D18A0"/>
    <w:pPr>
      <w:spacing w:before="240" w:after="60"/>
    </w:pPr>
    <w:rPr>
      <w:sz w:val="20"/>
    </w:rPr>
  </w:style>
  <w:style w:type="paragraph" w:customStyle="1" w:styleId="SubHeading1">
    <w:name w:val="SubHeading1"/>
    <w:basedOn w:val="HeadingBase"/>
    <w:rsid w:val="002D18A0"/>
    <w:pPr>
      <w:spacing w:before="240" w:after="60"/>
    </w:pPr>
    <w:rPr>
      <w:color w:val="918585"/>
      <w:sz w:val="22"/>
    </w:rPr>
  </w:style>
  <w:style w:type="paragraph" w:customStyle="1" w:styleId="SideHeading">
    <w:name w:val="Side Heading"/>
    <w:basedOn w:val="HeadingBase"/>
    <w:rsid w:val="002D1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8A0"/>
    <w:pPr>
      <w:numPr>
        <w:numId w:val="13"/>
      </w:numPr>
    </w:pPr>
  </w:style>
  <w:style w:type="paragraph" w:styleId="PlainText">
    <w:name w:val="Plain Text"/>
    <w:basedOn w:val="Normal"/>
    <w:link w:val="PlainTextChar"/>
    <w:rsid w:val="002D18A0"/>
    <w:rPr>
      <w:sz w:val="20"/>
    </w:rPr>
  </w:style>
  <w:style w:type="character" w:customStyle="1" w:styleId="PlainTextChar">
    <w:name w:val="Plain Text Char"/>
    <w:basedOn w:val="DefaultParagraphFont"/>
    <w:link w:val="PlainText"/>
    <w:rsid w:val="002D18A0"/>
    <w:rPr>
      <w:rFonts w:ascii="Courier New" w:eastAsia="Times New Roman" w:hAnsi="Courier New" w:cs="Times New Roman"/>
      <w:sz w:val="20"/>
      <w:szCs w:val="20"/>
      <w:lang w:eastAsia="en-US"/>
    </w:rPr>
  </w:style>
  <w:style w:type="character" w:customStyle="1" w:styleId="MenuOption">
    <w:name w:val="Menu Option"/>
    <w:basedOn w:val="DefaultParagraphFont"/>
    <w:rsid w:val="002D18A0"/>
    <w:rPr>
      <w:b/>
      <w:smallCaps/>
    </w:rPr>
  </w:style>
  <w:style w:type="paragraph" w:customStyle="1" w:styleId="TableListNumber">
    <w:name w:val="Table List Number"/>
    <w:basedOn w:val="ListNumber"/>
    <w:rsid w:val="002D18A0"/>
    <w:pPr>
      <w:numPr>
        <w:numId w:val="0"/>
      </w:numPr>
    </w:pPr>
  </w:style>
  <w:style w:type="paragraph" w:styleId="TOC4">
    <w:name w:val="toc 4"/>
    <w:basedOn w:val="TOCBase"/>
    <w:next w:val="Normal"/>
    <w:semiHidden/>
    <w:rsid w:val="002D18A0"/>
    <w:pPr>
      <w:tabs>
        <w:tab w:val="right" w:leader="dot" w:pos="9071"/>
      </w:tabs>
      <w:ind w:left="1701"/>
    </w:pPr>
  </w:style>
  <w:style w:type="paragraph" w:customStyle="1" w:styleId="ListAlpha">
    <w:name w:val="List Alpha"/>
    <w:basedOn w:val="List"/>
    <w:rsid w:val="002D18A0"/>
    <w:pPr>
      <w:numPr>
        <w:numId w:val="10"/>
      </w:numPr>
    </w:pPr>
  </w:style>
  <w:style w:type="paragraph" w:customStyle="1" w:styleId="ListAlpha2">
    <w:name w:val="List Alpha 2"/>
    <w:basedOn w:val="List2"/>
    <w:rsid w:val="002D18A0"/>
    <w:pPr>
      <w:numPr>
        <w:numId w:val="9"/>
      </w:numPr>
    </w:pPr>
  </w:style>
  <w:style w:type="paragraph" w:styleId="List2">
    <w:name w:val="List 2"/>
    <w:basedOn w:val="BodyText"/>
    <w:rsid w:val="002D18A0"/>
    <w:pPr>
      <w:tabs>
        <w:tab w:val="left" w:pos="680"/>
      </w:tabs>
      <w:spacing w:before="60" w:after="60"/>
      <w:ind w:left="680" w:hanging="340"/>
    </w:pPr>
  </w:style>
  <w:style w:type="paragraph" w:styleId="List3">
    <w:name w:val="List 3"/>
    <w:basedOn w:val="BodyText"/>
    <w:rsid w:val="002D18A0"/>
    <w:pPr>
      <w:tabs>
        <w:tab w:val="left" w:pos="1021"/>
      </w:tabs>
      <w:spacing w:before="60" w:after="60"/>
      <w:ind w:left="1020" w:hanging="340"/>
    </w:pPr>
  </w:style>
  <w:style w:type="paragraph" w:styleId="List4">
    <w:name w:val="List 4"/>
    <w:basedOn w:val="BodyText"/>
    <w:rsid w:val="002D18A0"/>
    <w:pPr>
      <w:tabs>
        <w:tab w:val="left" w:pos="1361"/>
      </w:tabs>
      <w:spacing w:before="60" w:after="60"/>
      <w:ind w:left="1361" w:hanging="340"/>
    </w:pPr>
  </w:style>
  <w:style w:type="paragraph" w:styleId="List5">
    <w:name w:val="List 5"/>
    <w:basedOn w:val="BodyText"/>
    <w:rsid w:val="002D18A0"/>
    <w:pPr>
      <w:tabs>
        <w:tab w:val="left" w:pos="1701"/>
      </w:tabs>
      <w:spacing w:before="60" w:after="60"/>
      <w:ind w:left="1701" w:hanging="340"/>
    </w:pPr>
  </w:style>
  <w:style w:type="paragraph" w:styleId="ListBullet4">
    <w:name w:val="List Bullet 4"/>
    <w:basedOn w:val="List4"/>
    <w:rsid w:val="002D18A0"/>
    <w:pPr>
      <w:numPr>
        <w:numId w:val="4"/>
      </w:numPr>
    </w:pPr>
  </w:style>
  <w:style w:type="paragraph" w:styleId="ListBullet5">
    <w:name w:val="List Bullet 5"/>
    <w:basedOn w:val="List5"/>
    <w:rsid w:val="002D18A0"/>
    <w:pPr>
      <w:numPr>
        <w:numId w:val="5"/>
      </w:numPr>
    </w:pPr>
  </w:style>
  <w:style w:type="paragraph" w:styleId="ListContinue2">
    <w:name w:val="List Continue 2"/>
    <w:basedOn w:val="List2"/>
    <w:rsid w:val="002D18A0"/>
    <w:pPr>
      <w:ind w:firstLine="0"/>
    </w:pPr>
  </w:style>
  <w:style w:type="paragraph" w:styleId="ListContinue3">
    <w:name w:val="List Continue 3"/>
    <w:basedOn w:val="List3"/>
    <w:rsid w:val="002D18A0"/>
    <w:pPr>
      <w:ind w:left="1021" w:firstLine="0"/>
    </w:pPr>
  </w:style>
  <w:style w:type="paragraph" w:styleId="ListContinue4">
    <w:name w:val="List Continue 4"/>
    <w:basedOn w:val="List4"/>
    <w:rsid w:val="002D18A0"/>
    <w:pPr>
      <w:ind w:firstLine="0"/>
    </w:pPr>
  </w:style>
  <w:style w:type="paragraph" w:styleId="ListContinue5">
    <w:name w:val="List Continue 5"/>
    <w:basedOn w:val="List5"/>
    <w:rsid w:val="002D18A0"/>
    <w:pPr>
      <w:ind w:firstLine="0"/>
    </w:pPr>
  </w:style>
  <w:style w:type="paragraph" w:styleId="ListNumber3">
    <w:name w:val="List Number 3"/>
    <w:basedOn w:val="List3"/>
    <w:rsid w:val="002D18A0"/>
    <w:pPr>
      <w:numPr>
        <w:numId w:val="6"/>
      </w:numPr>
    </w:pPr>
  </w:style>
  <w:style w:type="paragraph" w:styleId="ListNumber4">
    <w:name w:val="List Number 4"/>
    <w:basedOn w:val="List4"/>
    <w:rsid w:val="002D18A0"/>
    <w:pPr>
      <w:numPr>
        <w:numId w:val="7"/>
      </w:numPr>
    </w:pPr>
  </w:style>
  <w:style w:type="paragraph" w:styleId="ListNumber5">
    <w:name w:val="List Number 5"/>
    <w:basedOn w:val="List5"/>
    <w:rsid w:val="002D18A0"/>
    <w:pPr>
      <w:numPr>
        <w:numId w:val="8"/>
      </w:numPr>
    </w:pPr>
  </w:style>
  <w:style w:type="paragraph" w:styleId="BlockText">
    <w:name w:val="Block Text"/>
    <w:basedOn w:val="Normal"/>
    <w:rsid w:val="002D18A0"/>
    <w:pPr>
      <w:spacing w:after="120"/>
      <w:ind w:left="1440" w:right="1440"/>
    </w:pPr>
  </w:style>
  <w:style w:type="character" w:customStyle="1" w:styleId="Subscript">
    <w:name w:val="Subscript"/>
    <w:basedOn w:val="DefaultParagraphFont"/>
    <w:rsid w:val="002D18A0"/>
    <w:rPr>
      <w:sz w:val="16"/>
      <w:vertAlign w:val="subscript"/>
    </w:rPr>
  </w:style>
  <w:style w:type="character" w:customStyle="1" w:styleId="Superscript">
    <w:name w:val="Superscript"/>
    <w:basedOn w:val="DefaultParagraphFont"/>
    <w:rsid w:val="002D18A0"/>
    <w:rPr>
      <w:sz w:val="16"/>
      <w:vertAlign w:val="superscript"/>
    </w:rPr>
  </w:style>
  <w:style w:type="character" w:customStyle="1" w:styleId="Symbols">
    <w:name w:val="Symbols"/>
    <w:basedOn w:val="DefaultParagraphFont"/>
    <w:rsid w:val="002D18A0"/>
    <w:rPr>
      <w:rFonts w:ascii="Symbol" w:hAnsi="Symbol"/>
    </w:rPr>
  </w:style>
  <w:style w:type="character" w:customStyle="1" w:styleId="MenuOptions">
    <w:name w:val="Menu Options"/>
    <w:basedOn w:val="DefaultParagraphFont"/>
    <w:rsid w:val="002D18A0"/>
    <w:rPr>
      <w:rFonts w:ascii="Arial Narrow" w:hAnsi="Arial Narrow"/>
      <w:smallCaps/>
    </w:rPr>
  </w:style>
  <w:style w:type="character" w:customStyle="1" w:styleId="Buttons">
    <w:name w:val="Buttons"/>
    <w:basedOn w:val="DefaultParagraphFont"/>
    <w:rsid w:val="002D18A0"/>
    <w:rPr>
      <w:b/>
    </w:rPr>
  </w:style>
  <w:style w:type="character" w:customStyle="1" w:styleId="Underlined">
    <w:name w:val="Underlined"/>
    <w:basedOn w:val="DefaultParagraphFont"/>
    <w:rsid w:val="002D18A0"/>
    <w:rPr>
      <w:u w:val="single"/>
    </w:rPr>
  </w:style>
  <w:style w:type="paragraph" w:customStyle="1" w:styleId="TableBodyTextRight">
    <w:name w:val="Table Body Text Right"/>
    <w:basedOn w:val="TableBodyText"/>
    <w:rsid w:val="002D18A0"/>
    <w:pPr>
      <w:widowControl w:val="0"/>
      <w:autoSpaceDE w:val="0"/>
      <w:autoSpaceDN w:val="0"/>
      <w:adjustRightInd w:val="0"/>
      <w:jc w:val="right"/>
    </w:pPr>
    <w:rPr>
      <w:rFonts w:cs="Arial"/>
      <w:szCs w:val="18"/>
    </w:rPr>
  </w:style>
  <w:style w:type="paragraph" w:customStyle="1" w:styleId="CopyrightText">
    <w:name w:val="Copyright Text"/>
    <w:basedOn w:val="BodyText"/>
    <w:rsid w:val="002D18A0"/>
    <w:rPr>
      <w:sz w:val="18"/>
    </w:rPr>
  </w:style>
  <w:style w:type="paragraph" w:customStyle="1" w:styleId="BodySmallRight">
    <w:name w:val="Body Small Right"/>
    <w:basedOn w:val="BodyTextRight"/>
    <w:rsid w:val="002D18A0"/>
    <w:rPr>
      <w:sz w:val="18"/>
      <w:szCs w:val="18"/>
    </w:rPr>
  </w:style>
  <w:style w:type="paragraph" w:customStyle="1" w:styleId="MarginEdition">
    <w:name w:val="Margin Edition"/>
    <w:basedOn w:val="MarginNote"/>
    <w:rsid w:val="002D18A0"/>
    <w:pPr>
      <w:spacing w:before="0" w:after="0"/>
    </w:pPr>
    <w:rPr>
      <w:rFonts w:ascii="Times New Roman" w:hAnsi="Times New Roman"/>
      <w:color w:val="999999"/>
    </w:rPr>
  </w:style>
  <w:style w:type="paragraph" w:customStyle="1" w:styleId="Spacer">
    <w:name w:val="Spacer"/>
    <w:basedOn w:val="Normal"/>
    <w:rsid w:val="002D18A0"/>
    <w:rPr>
      <w:sz w:val="2"/>
      <w:szCs w:val="2"/>
    </w:rPr>
  </w:style>
  <w:style w:type="character" w:customStyle="1" w:styleId="Small">
    <w:name w:val="Small"/>
    <w:basedOn w:val="DefaultParagraphFont"/>
    <w:rsid w:val="002D18A0"/>
    <w:rPr>
      <w:sz w:val="16"/>
    </w:rPr>
  </w:style>
  <w:style w:type="paragraph" w:customStyle="1" w:styleId="WideTable">
    <w:name w:val="Wide Table"/>
    <w:basedOn w:val="Normal"/>
    <w:rsid w:val="002D18A0"/>
    <w:pPr>
      <w:ind w:left="-1418"/>
    </w:pPr>
    <w:rPr>
      <w:sz w:val="2"/>
      <w:szCs w:val="2"/>
    </w:rPr>
  </w:style>
  <w:style w:type="character" w:styleId="PageNumber">
    <w:name w:val="page number"/>
    <w:basedOn w:val="DefaultParagraphFont"/>
    <w:rsid w:val="002D18A0"/>
  </w:style>
  <w:style w:type="paragraph" w:styleId="Quote">
    <w:name w:val="Quote"/>
    <w:basedOn w:val="Heading1"/>
    <w:link w:val="QuoteChar"/>
    <w:qFormat/>
    <w:rsid w:val="002D18A0"/>
    <w:rPr>
      <w:b w:val="0"/>
      <w:sz w:val="72"/>
      <w:szCs w:val="72"/>
      <w:lang w:val="en-NZ"/>
    </w:rPr>
  </w:style>
  <w:style w:type="character" w:customStyle="1" w:styleId="QuoteChar">
    <w:name w:val="Quote Char"/>
    <w:basedOn w:val="DefaultParagraphFont"/>
    <w:link w:val="Quote"/>
    <w:rsid w:val="002D1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8A0"/>
    <w:pPr>
      <w:pageBreakBefore/>
    </w:pPr>
  </w:style>
  <w:style w:type="paragraph" w:customStyle="1" w:styleId="Border">
    <w:name w:val="Border"/>
    <w:basedOn w:val="Normal"/>
    <w:qFormat/>
    <w:rsid w:val="002D18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8A0"/>
    <w:rPr>
      <w:b/>
      <w:bCs/>
      <w:i/>
      <w:iCs/>
      <w:color w:val="auto"/>
    </w:rPr>
  </w:style>
  <w:style w:type="paragraph" w:styleId="IntenseQuote">
    <w:name w:val="Intense Quote"/>
    <w:basedOn w:val="Normal"/>
    <w:next w:val="Normal"/>
    <w:link w:val="IntenseQuoteChar"/>
    <w:uiPriority w:val="30"/>
    <w:qFormat/>
    <w:rsid w:val="002D18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8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8A0"/>
    <w:rPr>
      <w:smallCaps/>
      <w:color w:val="auto"/>
      <w:u w:val="single"/>
    </w:rPr>
  </w:style>
  <w:style w:type="character" w:styleId="IntenseReference">
    <w:name w:val="Intense Reference"/>
    <w:basedOn w:val="DefaultParagraphFont"/>
    <w:uiPriority w:val="32"/>
    <w:qFormat/>
    <w:rsid w:val="002D18A0"/>
    <w:rPr>
      <w:b/>
      <w:bCs/>
      <w:smallCaps/>
      <w:color w:val="auto"/>
      <w:spacing w:val="5"/>
      <w:u w:val="single"/>
    </w:rPr>
  </w:style>
  <w:style w:type="paragraph" w:customStyle="1" w:styleId="2ColumnHeading">
    <w:name w:val="2Column Heading"/>
    <w:basedOn w:val="BodyText"/>
    <w:qFormat/>
    <w:rsid w:val="002D18A0"/>
    <w:pPr>
      <w:spacing w:after="60"/>
      <w:ind w:left="-2268"/>
    </w:pPr>
    <w:rPr>
      <w:b/>
    </w:rPr>
  </w:style>
  <w:style w:type="paragraph" w:customStyle="1" w:styleId="Heading1TOC">
    <w:name w:val="Heading1 TOC"/>
    <w:basedOn w:val="Normal"/>
    <w:qFormat/>
    <w:rsid w:val="002D18A0"/>
    <w:pPr>
      <w:spacing w:before="240" w:after="120"/>
    </w:pPr>
    <w:rPr>
      <w:rFonts w:ascii="Times New Roman" w:hAnsi="Times New Roman"/>
      <w:b/>
      <w:sz w:val="32"/>
    </w:rPr>
  </w:style>
  <w:style w:type="paragraph" w:customStyle="1" w:styleId="Heading2TOC">
    <w:name w:val="Heading2 TOC"/>
    <w:basedOn w:val="Normal"/>
    <w:qFormat/>
    <w:rsid w:val="002D18A0"/>
    <w:pPr>
      <w:spacing w:before="240" w:after="60"/>
    </w:pPr>
    <w:rPr>
      <w:rFonts w:ascii="Times New Roman" w:hAnsi="Times New Roman"/>
      <w:b/>
      <w:sz w:val="28"/>
    </w:rPr>
  </w:style>
  <w:style w:type="character" w:customStyle="1" w:styleId="Underline">
    <w:name w:val="Underline"/>
    <w:basedOn w:val="DefaultParagraphFont"/>
    <w:qFormat/>
    <w:rsid w:val="002D18A0"/>
    <w:rPr>
      <w:u w:val="single"/>
    </w:rPr>
  </w:style>
  <w:style w:type="character" w:customStyle="1" w:styleId="BoldandItalics">
    <w:name w:val="Bold and Italics"/>
    <w:qFormat/>
    <w:rsid w:val="002D18A0"/>
    <w:rPr>
      <w:b/>
      <w:i/>
      <w:u w:val="none"/>
    </w:rPr>
  </w:style>
  <w:style w:type="paragraph" w:styleId="BalloonText">
    <w:name w:val="Balloon Text"/>
    <w:basedOn w:val="Normal"/>
    <w:link w:val="BalloonTextChar"/>
    <w:rsid w:val="002D18A0"/>
    <w:rPr>
      <w:rFonts w:ascii="Tahoma" w:hAnsi="Tahoma" w:cs="Tahoma"/>
      <w:sz w:val="16"/>
      <w:szCs w:val="16"/>
    </w:rPr>
  </w:style>
  <w:style w:type="character" w:customStyle="1" w:styleId="BalloonTextChar">
    <w:name w:val="Balloon Text Char"/>
    <w:basedOn w:val="DefaultParagraphFont"/>
    <w:link w:val="BalloonText"/>
    <w:rsid w:val="002D18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8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8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8A0"/>
    <w:rPr>
      <w:b/>
      <w:color w:val="660033"/>
      <w:spacing w:val="0"/>
    </w:rPr>
  </w:style>
  <w:style w:type="paragraph" w:customStyle="1" w:styleId="Nameditemlist">
    <w:name w:val="Named item list"/>
    <w:basedOn w:val="BodyText"/>
    <w:qFormat/>
    <w:rsid w:val="002D18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2601</Words>
  <Characters>16538</Characters>
  <Application>Microsoft Office Word</Application>
  <DocSecurity>0</DocSecurity>
  <Lines>644</Lines>
  <Paragraphs>237</Paragraphs>
  <ScaleCrop>false</ScaleCrop>
  <Company>Author-it Software Corporation Ltd.</Company>
  <LinksUpToDate>false</LinksUpToDate>
  <CharactersWithSpaces>18959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UETTDRDS56A Design power system transmission, sub-transmission and zone substation civil and structural components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2012-10-11T22:28:00Z</dcterms:created>
  <dcterms:modified xsi:type="dcterms:W3CDTF">2012-10-11T22:28:00Z</dcterms:modified>
</cp:coreProperties>
</file>