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C89" w:rsidP="00DD5C89">
      <w:pPr>
        <w:pStyle w:val="Title"/>
      </w:pPr>
      <w:bookmarkStart w:id="0" w:name="_GoBack"/>
      <w:bookmarkEnd w:id="0"/>
      <w:r>
        <w:fldChar w:fldCharType="begin"/>
      </w:r>
      <w:r>
        <w:instrText xml:space="preserve"> TITLE   \* MERGEFORMAT </w:instrText>
      </w:r>
      <w:r>
        <w:fldChar w:fldCharType="separate"/>
      </w:r>
      <w:r>
        <w:t>UETTDRDS52A Design power system transmission, sub-transmission and zone substation buildings</w:t>
      </w:r>
      <w:r>
        <w:fldChar w:fldCharType="end"/>
      </w:r>
    </w:p>
    <w:p w:rsidR="00DD5C89" w:rsidP="00DD5C89">
      <w:pPr>
        <w:pStyle w:val="Version"/>
        <w:sectPr w:rsidSect="00632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8D1" w:rsidP="006328D1">
      <w:pPr>
        <w:pStyle w:val="SuperHeading"/>
      </w:pPr>
      <w:r w:rsidRPr="006328D1">
        <w:t>UETTDRDS52A Design power system transmission, sub-transmission and zone substation buildings</w:t>
      </w:r>
    </w:p>
    <w:p w:rsidR="00000000" w:rsidRPr="006328D1" w:rsidP="006328D1">
      <w:pPr>
        <w:pStyle w:val="Heading1"/>
      </w:pPr>
      <w:bookmarkStart w:id="1" w:name="O_463661"/>
      <w:bookmarkEnd w:id="1"/>
      <w:r w:rsidRPr="006328D1">
        <w:t>Modification History</w:t>
      </w:r>
    </w:p>
    <w:p w:rsidR="00000000" w:rsidRPr="006328D1" w:rsidP="006328D1">
      <w:pPr>
        <w:pStyle w:val="BodyText"/>
      </w:pPr>
      <w:r w:rsidRPr="006328D1">
        <w:t>Not applicable.</w:t>
      </w:r>
    </w:p>
    <w:p w:rsidR="00000000" w:rsidRPr="006328D1" w:rsidP="006328D1">
      <w:pPr>
        <w:pStyle w:val="AllowPageBreak"/>
      </w:pPr>
    </w:p>
    <w:p w:rsidR="00000000" w:rsidRPr="006328D1" w:rsidP="006328D1">
      <w:pPr>
        <w:pStyle w:val="Heading1"/>
      </w:pPr>
      <w:bookmarkStart w:id="2" w:name="O_463659"/>
      <w:bookmarkEnd w:id="2"/>
      <w:r w:rsidRPr="006328D1">
        <w:t>Uni</w:t>
      </w:r>
      <w:r w:rsidRPr="006328D1">
        <w:t>t Descriptor</w:t>
      </w:r>
    </w:p>
    <w:tbl>
      <w:tblPr>
        <w:tblW w:w="0" w:type="auto"/>
        <w:tblLayout w:type="fixed"/>
        <w:tblCellMar>
          <w:left w:w="62" w:type="dxa"/>
          <w:right w:w="62" w:type="dxa"/>
        </w:tblCellMar>
        <w:tblLook w:val="0000"/>
      </w:tblPr>
      <w:tblGrid>
        <w:gridCol w:w="2700"/>
        <w:gridCol w:w="5760"/>
      </w:tblGrid>
      <w:tr w:rsidTr="00DD5C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1)</w:t>
            </w:r>
            <w:r w:rsidRPr="006328D1">
              <w:t xml:space="preserve"> </w:t>
            </w:r>
            <w:r w:rsidRPr="006328D1">
              <w:rPr>
                <w:rStyle w:val="SpecialBold"/>
              </w:rPr>
              <w:t>Scope:</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28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1.1) Descriptor</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 xml:space="preserve">This Competency Standard Unit covers the design of transmission, sub-transmission and zone substation buildings. This may include basic augmentations </w:t>
            </w:r>
            <w:r w:rsidRPr="006328D1">
              <w:t>or new installations on green field sites. The design must conform to safety and building regulations and environmental standards and incorporate the principles of safe design.</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3" w:name="O_463648"/>
      <w:bookmarkEnd w:id="3"/>
      <w:r w:rsidRPr="006328D1">
        <w:t>Application of the Unit</w:t>
      </w:r>
    </w:p>
    <w:tbl>
      <w:tblPr>
        <w:tblW w:w="0" w:type="auto"/>
        <w:tblLayout w:type="fixed"/>
        <w:tblCellMar>
          <w:left w:w="62" w:type="dxa"/>
          <w:right w:w="62" w:type="dxa"/>
        </w:tblCellMar>
        <w:tblLook w:val="0000"/>
      </w:tblPr>
      <w:tblGrid>
        <w:gridCol w:w="2672"/>
        <w:gridCol w:w="5699"/>
      </w:tblGrid>
      <w:tr w:rsidTr="00DD5C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2)</w:t>
            </w:r>
          </w:p>
        </w:tc>
      </w:tr>
      <w:tr w:rsidTr="00DD5C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This competency standard Unit is intended to augment formally acquired competencies. It is suitable for employment-based programs under an approved contract of training.</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4" w:name="O_463655"/>
      <w:bookmarkEnd w:id="4"/>
      <w:r w:rsidRPr="006328D1">
        <w:t>Licensing/Regulatory Information</w:t>
      </w:r>
    </w:p>
    <w:tbl>
      <w:tblPr>
        <w:tblW w:w="0" w:type="auto"/>
        <w:tblLayout w:type="fixed"/>
        <w:tblCellMar>
          <w:left w:w="62" w:type="dxa"/>
          <w:right w:w="62" w:type="dxa"/>
        </w:tblCellMar>
        <w:tblLook w:val="0000"/>
      </w:tblPr>
      <w:tblGrid>
        <w:gridCol w:w="2700"/>
        <w:gridCol w:w="5760"/>
      </w:tblGrid>
      <w:tr w:rsidTr="00DD5C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 xml:space="preserve">3) </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The skil</w:t>
            </w:r>
            <w:r w:rsidRPr="006328D1">
              <w:t>ls and knowledge described in this unit may require a licence/registration to practice in the work place subject to regulations for undertaking of electrical work. Practice in workplace and during training is also subject to regulations directly related to</w:t>
            </w:r>
            <w:r w:rsidRPr="006328D1">
              <w:t xml:space="preserve"> Occupational Health and Safety, electricity/telecommunications/gas/water industry safety and compliance, industrial relations, environmental protection, anti discrimination and training. Commonwealth, State/Territory or Local Government </w:t>
            </w:r>
            <w:r w:rsidRPr="006328D1">
              <w:t>legislation and re</w:t>
            </w:r>
            <w:r w:rsidRPr="006328D1">
              <w:t>gulations may exist that limits the age of operating certain equipment.</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5" w:name="O_463656"/>
      <w:bookmarkEnd w:id="5"/>
      <w:r w:rsidRPr="006328D1">
        <w:t>Pre-Requisites</w:t>
      </w:r>
    </w:p>
    <w:tbl>
      <w:tblPr>
        <w:tblW w:w="0" w:type="auto"/>
        <w:tblLayout w:type="fixed"/>
        <w:tblCellMar>
          <w:left w:w="62" w:type="dxa"/>
          <w:right w:w="62" w:type="dxa"/>
        </w:tblCellMar>
        <w:tblLook w:val="0000"/>
      </w:tblPr>
      <w:tblGrid>
        <w:gridCol w:w="2681"/>
        <w:gridCol w:w="19"/>
        <w:gridCol w:w="1890"/>
        <w:gridCol w:w="3870"/>
      </w:tblGrid>
      <w:tr w:rsidTr="00DD5C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 xml:space="preserve">4) </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4.1)</w:t>
            </w:r>
          </w:p>
        </w:tc>
      </w:tr>
      <w:tr w:rsidTr="00DD5C89">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Granting of competency in this unit shall be made only after competency in the following unit(s) has/have been confirmed.</w:t>
            </w:r>
          </w:p>
          <w:p w:rsidR="00000000" w:rsidRPr="006328D1" w:rsidP="006328D1">
            <w:pPr>
              <w:pStyle w:val="BodyText"/>
            </w:pPr>
            <w:r w:rsidRPr="006328D1">
              <w:t xml:space="preserve">Where pre-requisite pathways have been identified. All competencies in the Common Unit Group must be have been completed plus all the </w:t>
            </w:r>
            <w:r w:rsidRPr="006328D1">
              <w:t>competencies in one (1) of the identified Pathway Unit Group(s):</w:t>
            </w:r>
          </w:p>
          <w:p w:rsidR="00000000" w:rsidP="006328D1">
            <w:pPr>
              <w:pStyle w:val="BodyText"/>
              <w:rPr>
                <w:lang w:val="en-NZ"/>
              </w:rPr>
            </w:pPr>
            <w:r w:rsidRPr="006328D1">
              <w:t>Common Unit Group</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Unit Code</w:t>
            </w:r>
          </w:p>
        </w:tc>
        <w:tc>
          <w:tcPr>
            <w:tcW w:w="387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Unit Title</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Apply Occupational Health and Safety regulations, codes and practices in the workplace</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Solve problems in d.c. Circuits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Use drawings, diagrams, schedules, standards, codes and specifications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UEENEEG101A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Solve problems in electromagnetic devices and related circuits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Solve problems in electromagnetic devices and related circuits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UETTDRDS39A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Prepa</w:t>
            </w:r>
            <w:r w:rsidRPr="006328D1">
              <w:t>re and manage detailed construction plans for electrical power system infrastructure</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UETTDRDS44A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Design power system substations modifications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Apply sustainable energy and environmental procedures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 xml:space="preserve">Working safely near live electrical apparatus </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UETTDRIS62A</w:t>
            </w:r>
          </w:p>
        </w:tc>
        <w:tc>
          <w:tcPr>
            <w:tcW w:w="387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Implement and monitor the power system organisational OHS policies, procedures and programs</w:t>
            </w:r>
          </w:p>
        </w:tc>
      </w:tr>
      <w:tr w:rsidTr="00DD5C8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6328D1">
            <w:pPr>
              <w:pStyle w:val="BodyText"/>
              <w:rPr>
                <w:lang w:val="en-NZ"/>
              </w:rPr>
            </w:pPr>
            <w:r w:rsidRPr="006328D1">
              <w:t>UETTDRIS63A</w:t>
            </w:r>
          </w:p>
        </w:tc>
        <w:tc>
          <w:tcPr>
            <w:tcW w:w="3870" w:type="dxa"/>
            <w:tcBorders>
              <w:top w:val="nil"/>
              <w:left w:val="nil"/>
              <w:bottom w:val="nil"/>
              <w:right w:val="nil"/>
            </w:tcBorders>
            <w:tcMar>
              <w:top w:w="0" w:type="dxa"/>
              <w:left w:w="62" w:type="dxa"/>
              <w:bottom w:w="0" w:type="dxa"/>
              <w:right w:w="62" w:type="dxa"/>
            </w:tcMar>
            <w:vAlign w:val="center"/>
          </w:tcPr>
          <w:p w:rsidR="00000000" w:rsidRPr="006328D1" w:rsidP="006328D1">
            <w:pPr>
              <w:pStyle w:val="BodyText"/>
            </w:pPr>
            <w:r w:rsidRPr="006328D1">
              <w:t>Implement and monitor the power system environmental and sustainable energy management po</w:t>
            </w:r>
            <w:r w:rsidRPr="006328D1">
              <w:t>licies and procedures</w:t>
            </w:r>
          </w:p>
        </w:tc>
      </w:tr>
    </w:tbl>
    <w:p w:rsidR="00000000" w:rsidRPr="006328D1" w:rsidP="006328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5C8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 xml:space="preserve">4.2) </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 xml:space="preserve">Participants are best equipped to achieve this unit if they have reading, writing and numeracy skills indicated by the following scales. Description </w:t>
            </w:r>
            <w:r w:rsidRPr="006328D1">
              <w:t>of each scale is given in Volume 2, Part 3 “Literacy and Numeracy”</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Reading</w:t>
            </w:r>
          </w:p>
        </w:tc>
        <w:tc>
          <w:tcPr>
            <w:tcW w:w="81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5</w:t>
            </w:r>
          </w:p>
        </w:tc>
        <w:tc>
          <w:tcPr>
            <w:tcW w:w="99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Writing</w:t>
            </w:r>
          </w:p>
        </w:tc>
        <w:tc>
          <w:tcPr>
            <w:tcW w:w="90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5</w:t>
            </w:r>
          </w:p>
        </w:tc>
        <w:tc>
          <w:tcPr>
            <w:tcW w:w="12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Numeracy</w:t>
            </w:r>
          </w:p>
        </w:tc>
        <w:tc>
          <w:tcPr>
            <w:tcW w:w="72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5</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6" w:name="O_463652"/>
      <w:bookmarkEnd w:id="6"/>
      <w:r w:rsidRPr="006328D1">
        <w:t>Employability Skills Information</w:t>
      </w:r>
    </w:p>
    <w:tbl>
      <w:tblPr>
        <w:tblW w:w="0" w:type="auto"/>
        <w:tblLayout w:type="fixed"/>
        <w:tblCellMar>
          <w:left w:w="62" w:type="dxa"/>
          <w:right w:w="62" w:type="dxa"/>
        </w:tblCellMar>
        <w:tblLook w:val="0000"/>
      </w:tblPr>
      <w:tblGrid>
        <w:gridCol w:w="2700"/>
        <w:gridCol w:w="5760"/>
      </w:tblGrid>
      <w:tr w:rsidTr="00DD5C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 xml:space="preserve">5) </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328D1">
              <w:t>requirements.</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7" w:name="O_463651"/>
      <w:bookmarkEnd w:id="7"/>
      <w:r w:rsidRPr="006328D1">
        <w:t>Elements and Performance Criteria Pre-Content</w:t>
      </w:r>
    </w:p>
    <w:tbl>
      <w:tblPr>
        <w:tblW w:w="0" w:type="auto"/>
        <w:tblLayout w:type="fixed"/>
        <w:tblCellMar>
          <w:left w:w="62" w:type="dxa"/>
          <w:right w:w="62" w:type="dxa"/>
        </w:tblCellMar>
        <w:tblLook w:val="0000"/>
      </w:tblPr>
      <w:tblGrid>
        <w:gridCol w:w="2700"/>
        <w:gridCol w:w="5760"/>
      </w:tblGrid>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6)</w:t>
            </w:r>
            <w:r w:rsidRPr="006328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Performance Criteria describe the required performance needed to demonstrate achievement of the element</w:t>
            </w:r>
            <w:r w:rsidRPr="006328D1">
              <w:t>. Assessment of performance is to be consistent with the Evidence Guide.</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8" w:name="O_463650"/>
      <w:bookmarkEnd w:id="8"/>
      <w:r w:rsidRPr="006328D1">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DD5C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PERFORMANCE CRITERIA</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w:t>
            </w:r>
          </w:p>
        </w:tc>
        <w:tc>
          <w:tcPr>
            <w:tcW w:w="2295"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Plan for and coordinate the desi</w:t>
            </w:r>
            <w:r w:rsidRPr="006328D1">
              <w:t>gn of transmission, sub-transmission and zone substation buildings</w:t>
            </w: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1.1</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OHS practices/procedures and environmental and sustainable energy procedures, which may influence the design of substations buildings, are reviewed and determined.</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1.2</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Purpose of the</w:t>
            </w:r>
            <w:r w:rsidRPr="006328D1">
              <w:t xml:space="preserve"> design is established and expected outcomes of the work are confirmed with the appropriate personnel.</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1.3</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Established policies, procedures and specifications for the design are obtained or established with the appropriate personnel.</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1.4</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Equipment/tools and personal protective equipment are selected and coordinated based on specified requirements and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1.5</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Work is prioritised and sequenced for the most efficient and effective outcome following consultation with othe</w:t>
            </w:r>
            <w:r w:rsidRPr="006328D1">
              <w:t>rs for completion within acceptable timeframes, to a quality standard and in accordance with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1.6</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Risk control measures are identified, prioritised and evaluated against the work schedule</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1.7</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Relevant work permits are secured to coordinate the performance of work according to requirements and/or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1.8</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Resources including personnel, equipment, tools and personal protective equipment required for the job are identified, sc</w:t>
            </w:r>
            <w:r w:rsidRPr="006328D1">
              <w:t>heduled and coordinated and confirmed in a safe and technical working order</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1.9</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Liaison and communication issues with other/authorised personnel, authorities, clients and land-owners are resolved and activities coordinated to carry out work</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1.10</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Site</w:t>
            </w:r>
            <w:r w:rsidRPr="006328D1">
              <w:t xml:space="preserve"> is prepared according to the work schedule and to minimise risk and damage to property, commerce, and individuals in accordance with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1.11</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Personnel participating in the work, including plant operators and contractors, are fully b</w:t>
            </w:r>
            <w:r w:rsidRPr="006328D1">
              <w:t>riefed and respective responsibilities coordinated and authorised where applicable in accordance with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w:t>
            </w:r>
          </w:p>
        </w:tc>
        <w:tc>
          <w:tcPr>
            <w:tcW w:w="2295" w:type="dxa"/>
            <w:vMerge w:val="restart"/>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Carry out and coordinate the design of transmission, sub-transmission and zone substation buildings</w:t>
            </w: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2.1</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Circuit/systems modelling is used to evaluate alternative proposals as per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2.2</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OHS and sustainable energy principles, functionality and practices to reduce the incidence of accidents and minimise waste are incorporated into the p</w:t>
            </w:r>
            <w:r w:rsidRPr="006328D1">
              <w:t>roject in accordance with requirements and/or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2.3</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System design decisions are made on the basis of safety and effective outcomes according to requirements and/or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2.4</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Mathematical models of the system are used to analyse the effectiveness of the finished project as per requirements and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2.5</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Technical advice is given regarding potential hazards, safety risks and control measures so that monitorin</w:t>
            </w:r>
            <w:r w:rsidRPr="006328D1">
              <w:t>g and preventative action can be undertaken and/or appropriate authorities consulted, where necessary, in accordance with requirements and established procedures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2.6</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Essential knowledge a</w:t>
            </w:r>
            <w:r w:rsidRPr="006328D1">
              <w:t>nd associated skills are applied to analyse specific data and compare it with compliance specifications to ensure completion of the project within an agreed timeframe according to requirements.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2.7</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Solutions to non-routine problems are identified and ac</w:t>
            </w:r>
            <w:r w:rsidRPr="006328D1">
              <w:t>tioned using acquired essential knowledge and associated skills according to requirements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2.8</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Quality of work is monitored against personal performance agreement and/or established organisational and professional standards.</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3</w:t>
            </w:r>
          </w:p>
        </w:tc>
        <w:tc>
          <w:tcPr>
            <w:tcW w:w="2295"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Complete and coordinate th</w:t>
            </w:r>
            <w:r w:rsidRPr="006328D1">
              <w:t>e design of transmission, sub-transmission and zone substation buildings</w:t>
            </w: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3.1</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Final checks of the design are undertaken to ensure they comply with all requirements and include all specifications and documentations needed to complete the design brief.</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3.2</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Appropriate personnel are notified of completion and reports and/or completion documents are finalised.</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3.3</w:t>
            </w:r>
          </w:p>
        </w:tc>
        <w:tc>
          <w:tcPr>
            <w:tcW w:w="4929"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Reports and/or completion documents are submitted to relevant personnel/organisations for approval and, where applicable, statutory or regulator</w:t>
            </w:r>
            <w:r w:rsidRPr="006328D1">
              <w:t>y approval</w:t>
            </w:r>
          </w:p>
        </w:tc>
      </w:tr>
      <w:tr w:rsidTr="00DD5C89">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t>3.4</w:t>
            </w:r>
          </w:p>
        </w:tc>
        <w:tc>
          <w:tcPr>
            <w:tcW w:w="4929"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Approved copies of design documents are issued and records are updated in accordance with established procedures.</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9" w:name="O_463658"/>
      <w:bookmarkEnd w:id="9"/>
      <w:r w:rsidRPr="006328D1">
        <w:t>Required Skills and Knowledge</w:t>
      </w:r>
    </w:p>
    <w:tbl>
      <w:tblPr>
        <w:tblW w:w="0" w:type="auto"/>
        <w:tblLayout w:type="fixed"/>
        <w:tblCellMar>
          <w:left w:w="62" w:type="dxa"/>
          <w:right w:w="62" w:type="dxa"/>
        </w:tblCellMar>
        <w:tblLook w:val="0000"/>
      </w:tblPr>
      <w:tblGrid>
        <w:gridCol w:w="8460"/>
      </w:tblGrid>
      <w:tr w:rsidTr="00DD5C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REQUIRED SKILLS AND KNOWLEDGE</w:t>
            </w:r>
          </w:p>
        </w:tc>
      </w:tr>
      <w:tr w:rsidTr="00DD5C8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8)</w:t>
            </w:r>
            <w:r w:rsidRPr="006328D1">
              <w:t xml:space="preserve"> Essential Knowledge and Associated Skills (EKAS): This describes the essential skills and knowledge and their level, required for this unit.</w:t>
            </w:r>
          </w:p>
          <w:p w:rsidR="00000000" w:rsidRPr="006328D1" w:rsidP="006328D1">
            <w:pPr>
              <w:pStyle w:val="BodyText"/>
            </w:pPr>
            <w:r w:rsidRPr="006328D1">
              <w:t>Evidence shall show that knowledge has been acquired of designing transmission, sub-transmission and zone substati</w:t>
            </w:r>
            <w:r w:rsidRPr="006328D1">
              <w:t>on buildings.</w:t>
            </w:r>
          </w:p>
          <w:p w:rsidR="00000000" w:rsidRPr="006328D1" w:rsidP="006328D1">
            <w:pPr>
              <w:pStyle w:val="BodyText"/>
            </w:pPr>
            <w:r w:rsidRPr="006328D1">
              <w:t>All knowledge and skills detailed in this unit should be contextualised to current industry practices and technologies.</w:t>
            </w:r>
          </w:p>
          <w:p w:rsidR="00000000" w:rsidRPr="006328D1" w:rsidP="006328D1">
            <w:pPr>
              <w:pStyle w:val="BodyText"/>
            </w:pPr>
            <w:r w:rsidRPr="006328D1">
              <w:t xml:space="preserve">KS01-TDS52A </w:t>
            </w:r>
            <w:r w:rsidRPr="006328D1">
              <w:tab/>
              <w:t xml:space="preserve">Power system transmission, sub-transmission and zone substation buildings </w:t>
            </w:r>
          </w:p>
          <w:p w:rsidR="00000000" w:rsidRPr="006328D1" w:rsidP="006328D1">
            <w:pPr>
              <w:pStyle w:val="BodyText"/>
            </w:pPr>
            <w:r w:rsidRPr="006328D1">
              <w:t>Evidence shall show an understandi</w:t>
            </w:r>
            <w:r w:rsidRPr="006328D1">
              <w:t xml:space="preserve">ng of designing power system transmission, sub-transmission and zone substation buildings to an extent indicated by the following aspects: </w:t>
            </w:r>
          </w:p>
          <w:p w:rsidR="00000000" w:rsidRPr="006328D1" w:rsidP="006328D1">
            <w:pPr>
              <w:pStyle w:val="BodyText"/>
            </w:pPr>
            <w:r w:rsidRPr="006328D1">
              <w:t>T1</w:t>
            </w:r>
            <w:r w:rsidRPr="006328D1">
              <w:tab/>
              <w:t>Electrical power circuit analysis encompassing:</w:t>
            </w:r>
          </w:p>
          <w:p w:rsidR="00000000" w:rsidRPr="006328D1" w:rsidP="006328D1">
            <w:pPr>
              <w:pStyle w:val="ListBullet"/>
            </w:pPr>
            <w:r w:rsidRPr="006328D1">
              <w:t>Superposition theorem</w:t>
            </w:r>
          </w:p>
          <w:p w:rsidR="00000000" w:rsidRPr="006328D1" w:rsidP="006328D1">
            <w:pPr>
              <w:pStyle w:val="ListBullet"/>
            </w:pPr>
            <w:r w:rsidRPr="006328D1">
              <w:t>Kirchhoff‘s laws</w:t>
            </w:r>
          </w:p>
          <w:p w:rsidR="00000000" w:rsidRPr="006328D1" w:rsidP="006328D1">
            <w:pPr>
              <w:pStyle w:val="ListBullet"/>
            </w:pPr>
            <w:r w:rsidRPr="006328D1">
              <w:t>Mesh analysis</w:t>
            </w:r>
          </w:p>
          <w:p w:rsidR="00000000" w:rsidRPr="006328D1" w:rsidP="006328D1">
            <w:pPr>
              <w:pStyle w:val="ListBullet"/>
            </w:pPr>
            <w:r w:rsidRPr="006328D1">
              <w:t>Thevenin‘s &amp;</w:t>
            </w:r>
            <w:r w:rsidRPr="006328D1">
              <w:t xml:space="preserve"> Norton‘s theorems</w:t>
            </w:r>
          </w:p>
          <w:p w:rsidR="00000000" w:rsidRPr="006328D1" w:rsidP="006328D1">
            <w:pPr>
              <w:pStyle w:val="ListBullet"/>
            </w:pPr>
            <w:r w:rsidRPr="006328D1">
              <w:t>Maximum power transfer theorem</w:t>
            </w:r>
          </w:p>
          <w:p w:rsidR="00000000" w:rsidRPr="006328D1" w:rsidP="006328D1">
            <w:pPr>
              <w:pStyle w:val="ListBullet"/>
            </w:pPr>
            <w:r w:rsidRPr="006328D1">
              <w:t>Complex impedance</w:t>
            </w:r>
          </w:p>
          <w:p w:rsidR="00000000" w:rsidRPr="006328D1" w:rsidP="006328D1">
            <w:pPr>
              <w:pStyle w:val="ListBullet"/>
            </w:pPr>
            <w:r w:rsidRPr="006328D1">
              <w:t>Frequency domain</w:t>
            </w:r>
          </w:p>
          <w:p w:rsidR="00000000" w:rsidRPr="006328D1" w:rsidP="006328D1">
            <w:pPr>
              <w:pStyle w:val="ListBullet"/>
            </w:pPr>
            <w:r w:rsidRPr="006328D1">
              <w:t>Transients</w:t>
            </w:r>
          </w:p>
          <w:p w:rsidR="00000000" w:rsidRPr="006328D1" w:rsidP="006328D1">
            <w:pPr>
              <w:pStyle w:val="BodyText"/>
            </w:pPr>
            <w:r w:rsidRPr="006328D1">
              <w:t>T2</w:t>
            </w:r>
            <w:r w:rsidRPr="006328D1">
              <w:tab/>
              <w:t>Identification of basic concepts, principles and applications - Application of velocity, acceleration, force, density, torque, and pressure encompassing:</w:t>
            </w:r>
          </w:p>
          <w:p w:rsidR="00000000" w:rsidRPr="006328D1" w:rsidP="006328D1">
            <w:pPr>
              <w:pStyle w:val="ListBullet"/>
            </w:pPr>
            <w:r w:rsidRPr="006328D1">
              <w:t>App</w:t>
            </w:r>
            <w:r w:rsidRPr="006328D1">
              <w:t>lications of the SI units</w:t>
            </w:r>
          </w:p>
          <w:p w:rsidR="00000000" w:rsidRPr="006328D1" w:rsidP="006328D1">
            <w:pPr>
              <w:pStyle w:val="ListBullet"/>
            </w:pPr>
            <w:r w:rsidRPr="006328D1">
              <w:t>The relationship between work, power and energy</w:t>
            </w:r>
          </w:p>
          <w:p w:rsidR="00000000" w:rsidRPr="006328D1" w:rsidP="006328D1">
            <w:pPr>
              <w:pStyle w:val="ListBullet"/>
            </w:pPr>
            <w:r w:rsidRPr="006328D1">
              <w:t>Behaviour of object under force - using a block and tackle under load, concept of mechanical advantage, determination of resultant forces and determining the sag in a catenary conduc</w:t>
            </w:r>
            <w:r w:rsidRPr="006328D1">
              <w:t>tor and the force applied at each end</w:t>
            </w:r>
          </w:p>
          <w:p w:rsidR="00000000" w:rsidRPr="006328D1" w:rsidP="006328D1">
            <w:pPr>
              <w:pStyle w:val="ListBullet"/>
            </w:pPr>
            <w:r w:rsidRPr="006328D1">
              <w:t>Fundamentals of the basic laws of fluid mechanics.</w:t>
            </w:r>
          </w:p>
          <w:p w:rsidR="00000000" w:rsidRPr="006328D1" w:rsidP="006328D1">
            <w:pPr>
              <w:pStyle w:val="BodyText"/>
            </w:pPr>
            <w:r w:rsidRPr="006328D1">
              <w:t>T3</w:t>
            </w:r>
            <w:r w:rsidRPr="006328D1">
              <w:tab/>
              <w:t>Principles to light design layout encompassing:</w:t>
            </w:r>
          </w:p>
          <w:p w:rsidR="00000000" w:rsidRPr="006328D1" w:rsidP="006328D1">
            <w:pPr>
              <w:pStyle w:val="ListBullet"/>
            </w:pPr>
            <w:r w:rsidRPr="006328D1">
              <w:t>Commonwealth, State/Territory and local government legislation, Standards, codes, supply authority regulations and or enterprise requirements applicable to the light design principles</w:t>
            </w:r>
          </w:p>
          <w:p w:rsidR="00000000" w:rsidRPr="006328D1" w:rsidP="006328D1">
            <w:pPr>
              <w:pStyle w:val="ListBullet"/>
            </w:pPr>
            <w:r w:rsidRPr="006328D1">
              <w:t>Requirements for the use of street lighting system construction manuals,</w:t>
            </w:r>
            <w:r w:rsidRPr="006328D1">
              <w:t xml:space="preserve"> system diagrams/plans and drawings and for plans such as work method statements for the control of OHS risks</w:t>
            </w:r>
          </w:p>
          <w:p w:rsidR="00000000" w:rsidRPr="006328D1" w:rsidP="006328D1">
            <w:pPr>
              <w:pStyle w:val="ListBullet"/>
            </w:pPr>
            <w:r w:rsidRPr="006328D1">
              <w:t>Types of tariffs and charges</w:t>
            </w:r>
          </w:p>
          <w:p w:rsidR="00000000" w:rsidRPr="006328D1" w:rsidP="006328D1">
            <w:pPr>
              <w:pStyle w:val="ListBullet"/>
            </w:pPr>
            <w:r w:rsidRPr="006328D1">
              <w:t>Types of street lighting components - column types, foundations, brackets, luminaries and mounting heights</w:t>
            </w:r>
          </w:p>
          <w:p w:rsidR="00000000" w:rsidRPr="006328D1" w:rsidP="006328D1">
            <w:pPr>
              <w:pStyle w:val="ListBullet"/>
            </w:pPr>
            <w:r w:rsidRPr="006328D1">
              <w:t>Types of e</w:t>
            </w:r>
            <w:r w:rsidRPr="006328D1">
              <w:t>lectrical street lighting circuits - types of supply, lighting circuit and control circuit</w:t>
            </w:r>
          </w:p>
          <w:p w:rsidR="00000000" w:rsidRPr="006328D1" w:rsidP="006328D1">
            <w:pPr>
              <w:pStyle w:val="ListBullet"/>
            </w:pPr>
            <w:r w:rsidRPr="006328D1">
              <w:t>Fundamentals of lighting production - electromagnetic spectrum, visible and non-visible radiation, spectral energy distribution, infra-red, ultra-violet, radiation-s</w:t>
            </w:r>
            <w:r w:rsidRPr="006328D1">
              <w:t>afety, incandescence and phosphorescence, reflection and refraction.</w:t>
            </w:r>
          </w:p>
          <w:p w:rsidR="00000000" w:rsidRPr="006328D1" w:rsidP="006328D1">
            <w:pPr>
              <w:pStyle w:val="ListBullet"/>
            </w:pPr>
            <w:r w:rsidRPr="006328D1">
              <w:t>Fundamentals of lighting concepts - terms and units, purpose of reflectors and diffusers.</w:t>
            </w:r>
          </w:p>
          <w:p w:rsidR="00000000" w:rsidRPr="006328D1" w:rsidP="006328D1">
            <w:pPr>
              <w:pStyle w:val="ListBullet"/>
            </w:pPr>
            <w:r w:rsidRPr="006328D1">
              <w:t>Factors affecting external lighting design</w:t>
            </w:r>
          </w:p>
          <w:p w:rsidR="00000000" w:rsidRPr="006328D1" w:rsidP="006328D1">
            <w:pPr>
              <w:pStyle w:val="ListBullet"/>
            </w:pPr>
            <w:r w:rsidRPr="006328D1">
              <w:t>Calculation of light output</w:t>
            </w:r>
          </w:p>
          <w:p w:rsidR="00000000" w:rsidRPr="006328D1" w:rsidP="006328D1">
            <w:pPr>
              <w:pStyle w:val="ListBullet"/>
            </w:pPr>
            <w:r w:rsidRPr="006328D1">
              <w:t xml:space="preserve">Determining illuminance - </w:t>
            </w:r>
            <w:r w:rsidRPr="006328D1">
              <w:t>point to point method, lumen method</w:t>
            </w:r>
          </w:p>
          <w:p w:rsidR="00000000" w:rsidRPr="006328D1" w:rsidP="006328D1">
            <w:pPr>
              <w:pStyle w:val="ListBullet"/>
            </w:pPr>
            <w:r w:rsidRPr="006328D1">
              <w:t>Determining rated life of luminaries</w:t>
            </w:r>
          </w:p>
          <w:p w:rsidR="00000000" w:rsidRPr="006328D1" w:rsidP="006328D1">
            <w:pPr>
              <w:pStyle w:val="ListBullet"/>
            </w:pPr>
            <w:r w:rsidRPr="006328D1">
              <w:t>Fundamentals of street lighting design</w:t>
            </w:r>
          </w:p>
          <w:p w:rsidR="00000000" w:rsidRPr="006328D1" w:rsidP="006328D1">
            <w:pPr>
              <w:pStyle w:val="ListBullet"/>
            </w:pPr>
            <w:r w:rsidRPr="006328D1">
              <w:t>Considerations for special lighting situations - security lighting, hazardous street locations, and emergency lighting.</w:t>
            </w:r>
          </w:p>
          <w:p w:rsidR="00000000" w:rsidRPr="006328D1" w:rsidP="006328D1">
            <w:pPr>
              <w:pStyle w:val="BodyText"/>
            </w:pPr>
            <w:r w:rsidRPr="006328D1">
              <w:t>T4</w:t>
            </w:r>
            <w:r w:rsidRPr="006328D1">
              <w:tab/>
              <w:t>Layout principles for</w:t>
            </w:r>
            <w:r w:rsidRPr="006328D1">
              <w:t xml:space="preserve"> underground mains distribution extension encompassing:</w:t>
            </w:r>
          </w:p>
          <w:p w:rsidR="00000000" w:rsidRPr="006328D1" w:rsidP="006328D1">
            <w:pPr>
              <w:pStyle w:val="ListBullet"/>
            </w:pPr>
            <w:r w:rsidRPr="006328D1">
              <w:t>Commonwealth, State/Territory and local government legislation, Standards, codes, supply authority regulations and or enterprise requirements applicable to underground mains distribution extension</w:t>
            </w:r>
          </w:p>
          <w:p w:rsidR="00000000" w:rsidRPr="006328D1" w:rsidP="006328D1">
            <w:pPr>
              <w:pStyle w:val="ListBullet"/>
            </w:pPr>
            <w:r w:rsidRPr="006328D1">
              <w:t>Req</w:t>
            </w:r>
            <w:r w:rsidRPr="006328D1">
              <w:t>uirements for the use of underground mains construction manuals, system diagrams/plans and drawings and for plans such as work method statements for the control of OHS risks</w:t>
            </w:r>
          </w:p>
          <w:p w:rsidR="00000000" w:rsidRPr="006328D1" w:rsidP="006328D1">
            <w:pPr>
              <w:pStyle w:val="ListBullet"/>
            </w:pPr>
            <w:r w:rsidRPr="006328D1">
              <w:t>Methods in determining material, equipment and tool lists - components types and q</w:t>
            </w:r>
            <w:r w:rsidRPr="006328D1">
              <w:t>uantity required, spacing of components and equipment, costings of items and components.</w:t>
            </w:r>
          </w:p>
          <w:p w:rsidR="00000000" w:rsidRPr="006328D1" w:rsidP="006328D1">
            <w:pPr>
              <w:pStyle w:val="ListBullet"/>
            </w:pPr>
            <w:r w:rsidRPr="006328D1">
              <w:t>Purchasing and contractual arrangements to include a requirement to eliminate OHS hazards, minimise risks and provide residual OHS risk information</w:t>
            </w:r>
          </w:p>
          <w:p w:rsidR="00000000" w:rsidRPr="006328D1" w:rsidP="006328D1">
            <w:pPr>
              <w:pStyle w:val="ListBullet"/>
            </w:pPr>
            <w:r w:rsidRPr="006328D1">
              <w:t>Determination of co</w:t>
            </w:r>
            <w:r w:rsidRPr="006328D1">
              <w:t>nductor size, type and route length</w:t>
            </w:r>
          </w:p>
          <w:p w:rsidR="00000000" w:rsidRPr="006328D1" w:rsidP="006328D1">
            <w:pPr>
              <w:pStyle w:val="ListBullet"/>
            </w:pPr>
            <w:r w:rsidRPr="006328D1">
              <w:t>Resources needed for the laying of conductors</w:t>
            </w:r>
          </w:p>
          <w:p w:rsidR="00000000" w:rsidRPr="006328D1" w:rsidP="006328D1">
            <w:pPr>
              <w:pStyle w:val="ListBullet"/>
            </w:pPr>
            <w:r w:rsidRPr="006328D1">
              <w:t>Determining the appropriate excavation for the location</w:t>
            </w:r>
          </w:p>
          <w:p w:rsidR="00000000" w:rsidRPr="006328D1" w:rsidP="006328D1">
            <w:pPr>
              <w:pStyle w:val="ListBullet"/>
            </w:pPr>
            <w:r w:rsidRPr="006328D1">
              <w:t>Determining the size and depth of excavation</w:t>
            </w:r>
          </w:p>
          <w:p w:rsidR="00000000" w:rsidRPr="006328D1" w:rsidP="006328D1">
            <w:pPr>
              <w:pStyle w:val="ListBullet"/>
            </w:pPr>
            <w:r w:rsidRPr="006328D1">
              <w:t>Determining the trench and pit layout procedures</w:t>
            </w:r>
          </w:p>
          <w:p w:rsidR="00000000" w:rsidRPr="006328D1" w:rsidP="006328D1">
            <w:pPr>
              <w:pStyle w:val="ListBullet"/>
            </w:pPr>
            <w:r w:rsidRPr="006328D1">
              <w:t>Minimum clearances betwe</w:t>
            </w:r>
            <w:r w:rsidRPr="006328D1">
              <w:t>en conductors</w:t>
            </w:r>
          </w:p>
          <w:p w:rsidR="00000000" w:rsidRPr="006328D1" w:rsidP="006328D1">
            <w:pPr>
              <w:pStyle w:val="ListBullet"/>
            </w:pPr>
            <w:r w:rsidRPr="006328D1">
              <w:t>Estimation of the duration of underground distribution extension project</w:t>
            </w:r>
          </w:p>
          <w:p w:rsidR="00000000" w:rsidRPr="006328D1" w:rsidP="006328D1">
            <w:pPr>
              <w:pStyle w:val="BodyText"/>
            </w:pPr>
            <w:r w:rsidRPr="006328D1">
              <w:t>T5</w:t>
            </w:r>
            <w:r w:rsidRPr="006328D1">
              <w:tab/>
              <w:t>Principles of transmission, sub-transmission and zone substation building designs encompassing</w:t>
            </w:r>
          </w:p>
          <w:p w:rsidR="00000000" w:rsidRPr="006328D1" w:rsidP="006328D1">
            <w:pPr>
              <w:pStyle w:val="ListBullet"/>
            </w:pPr>
            <w:r w:rsidRPr="006328D1">
              <w:t>Commonwealth, State/Territory and local government legislation, Standards, codes, supply authority regulations and or enterprise requirements applicable to the substation design management principles</w:t>
            </w:r>
          </w:p>
          <w:p w:rsidR="00000000" w:rsidRPr="006328D1" w:rsidP="006328D1">
            <w:pPr>
              <w:pStyle w:val="ListBullet"/>
            </w:pPr>
            <w:r w:rsidRPr="006328D1">
              <w:t>Requirements for the use of the substation system constr</w:t>
            </w:r>
            <w:r w:rsidRPr="006328D1">
              <w:t>uction manuals, system diagrams/plans and drawings and for plans such as work method statements for the control of OHS risks</w:t>
            </w:r>
          </w:p>
          <w:p w:rsidR="00000000" w:rsidRPr="006328D1" w:rsidP="006328D1">
            <w:pPr>
              <w:pStyle w:val="ListBullet"/>
            </w:pPr>
            <w:r w:rsidRPr="006328D1">
              <w:t>Types of building designs - fixed and/or portable control, switchgear, frequency injection and miscellaneous building designs</w:t>
            </w:r>
          </w:p>
          <w:p w:rsidR="00000000" w:rsidRPr="006328D1" w:rsidP="006328D1">
            <w:pPr>
              <w:pStyle w:val="ListBullet"/>
            </w:pPr>
            <w:r w:rsidRPr="006328D1">
              <w:t>Types</w:t>
            </w:r>
            <w:r w:rsidRPr="006328D1">
              <w:t xml:space="preserve"> of building floor construction - concrete poured in situ, precast, elevated ultra floor beams with poured in situ slab, pre-manufactured steel framed floor</w:t>
            </w:r>
          </w:p>
          <w:p w:rsidR="00000000" w:rsidRPr="006328D1" w:rsidP="006328D1">
            <w:pPr>
              <w:pStyle w:val="ListBullet"/>
            </w:pPr>
            <w:r w:rsidRPr="006328D1">
              <w:t>Types of building walls construction - steel framed, masonry, precast tilt-up, steel framed and lin</w:t>
            </w:r>
            <w:r w:rsidRPr="006328D1">
              <w:t>ed</w:t>
            </w:r>
          </w:p>
          <w:p w:rsidR="00000000" w:rsidRPr="006328D1" w:rsidP="006328D1">
            <w:pPr>
              <w:pStyle w:val="ListBullet"/>
            </w:pPr>
            <w:r w:rsidRPr="006328D1">
              <w:t>Types of roof construction - steel framed, sheet steel clad</w:t>
            </w:r>
          </w:p>
          <w:p w:rsidR="00000000" w:rsidRPr="006328D1" w:rsidP="006328D1">
            <w:pPr>
              <w:pStyle w:val="ListBullet"/>
            </w:pPr>
            <w:r w:rsidRPr="006328D1">
              <w:t xml:space="preserve">Parameters to be considered - establishment of equipment dimensions, weights and dynamic loadings, suitability of building room/compartments and door opening dimensions for the equipment to be </w:t>
            </w:r>
            <w:r w:rsidRPr="006328D1">
              <w:t>housed, compliance with security, fire rating and safety, pressure relief, BCA and BA requirements, compliance with electrical requirements, i.e. frame leakage, earthed metal isolation, appropriateness of floor reference levels, provision of cable supports</w:t>
            </w:r>
            <w:r w:rsidRPr="006328D1">
              <w:t>, penetrations and pulling ring requirements, building light and power design and drafting</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10" w:name="O_463653"/>
      <w:bookmarkEnd w:id="10"/>
      <w:r w:rsidRPr="006328D1">
        <w:t>Evidence Guide</w:t>
      </w:r>
    </w:p>
    <w:tbl>
      <w:tblPr>
        <w:tblW w:w="0" w:type="auto"/>
        <w:tblLayout w:type="fixed"/>
        <w:tblCellMar>
          <w:left w:w="62" w:type="dxa"/>
          <w:right w:w="62" w:type="dxa"/>
        </w:tblCellMar>
        <w:tblLook w:val="0000"/>
      </w:tblPr>
      <w:tblGrid>
        <w:gridCol w:w="8460"/>
      </w:tblGrid>
      <w:tr w:rsidTr="00DD5C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EVIDENCE GUIDE</w:t>
            </w:r>
          </w:p>
        </w:tc>
      </w:tr>
      <w:tr w:rsidTr="00DD5C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9)</w:t>
            </w:r>
            <w:r w:rsidRPr="006328D1">
              <w:t xml:space="preserve"> This provides essential advice for assessment of the unit of competency and must be read in conjunction with </w:t>
            </w:r>
            <w:r w:rsidRPr="006328D1">
              <w:t>the Performance Criteria and the range statement of the unit of competency and the Training Package Assessment Guidelines.</w:t>
            </w:r>
          </w:p>
          <w:p w:rsidR="00000000" w:rsidRPr="006328D1" w:rsidP="006328D1">
            <w:pPr>
              <w:pStyle w:val="BodyText"/>
            </w:pPr>
            <w:r w:rsidRPr="006328D1">
              <w:t xml:space="preserve">The Evidence Guide forms an integral part of this Competency Standard Unit and shall be used in conjunction with all component parts </w:t>
            </w:r>
            <w:r w:rsidRPr="006328D1">
              <w:t>of this unit and, performed in accordance with the Assessment Guidelines of this Training Package.</w:t>
            </w:r>
          </w:p>
        </w:tc>
      </w:tr>
    </w:tbl>
    <w:p w:rsidR="00000000" w:rsidRPr="006328D1" w:rsidP="006328D1">
      <w:pPr>
        <w:pStyle w:val="BodyText"/>
      </w:pPr>
    </w:p>
    <w:tbl>
      <w:tblPr>
        <w:tblW w:w="0" w:type="auto"/>
        <w:tblLayout w:type="fixed"/>
        <w:tblCellMar>
          <w:left w:w="62" w:type="dxa"/>
          <w:right w:w="62" w:type="dxa"/>
        </w:tblCellMar>
        <w:tblLook w:val="0000"/>
      </w:tblPr>
      <w:tblGrid>
        <w:gridCol w:w="1890"/>
        <w:gridCol w:w="6570"/>
      </w:tblGrid>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9.1)</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Longitudinal competency development approaches to assessment, such as Profiling, require data to be reliably gathered in a fo</w:t>
            </w:r>
            <w:r w:rsidRPr="006328D1">
              <w:t>rm that can be consistently interpreted over time. This approach is best utilised in Apprenticeship programs and reduces assessment intervention. It is the Industry’s preferred model for apprenticeships. However, where summative (or final) assessment is us</w:t>
            </w:r>
            <w:r w:rsidRPr="006328D1">
              <w:t>ed it is to include the application of the competency in the normal work environment or, at a minimum, the application of the competency in a realistically simulated work environment. It is recognised that, in some circumstances, assessment in part or full</w:t>
            </w:r>
            <w:r w:rsidRPr="006328D1">
              <w:t xml:space="preserve"> can occur outside the workplace. However, it must be in accord with Industry and, Regulatory policy in this regard.</w:t>
            </w:r>
          </w:p>
          <w:p w:rsidR="00000000" w:rsidRPr="006328D1" w:rsidP="006328D1">
            <w:pPr>
              <w:pStyle w:val="BodyText"/>
            </w:pPr>
            <w:r w:rsidRPr="006328D1">
              <w:t>Methods chosen for a particular assessment will be influenced by various factors. These include the extent of the assessment, the most effe</w:t>
            </w:r>
            <w:r w:rsidRPr="006328D1">
              <w:t>ctive locations for the assessment activities to take place, access to physical resources, additional safety measures that may be required and the critical nature of the competencies being assessed.</w:t>
            </w:r>
          </w:p>
          <w:p w:rsidR="00000000" w:rsidRPr="006328D1" w:rsidP="006328D1">
            <w:pPr>
              <w:pStyle w:val="BodyText"/>
            </w:pPr>
            <w:r w:rsidRPr="006328D1">
              <w:t>The critical safety nature of working with electricity, e</w:t>
            </w:r>
            <w:r w:rsidRPr="006328D1">
              <w:t>lectrical equipment, gas or any other hazardous substance/material carries risk in deeming a person competent. Hence, sources of evidence need to be ‘rich’ in nature so as to minimise error in judgment.</w:t>
            </w:r>
          </w:p>
          <w:p w:rsidR="00000000" w:rsidRPr="006328D1" w:rsidP="006328D1">
            <w:pPr>
              <w:pStyle w:val="BodyText"/>
            </w:pPr>
            <w:r w:rsidRPr="006328D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328D1">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6328D1">
              <w:t>of this Training Package.</w:t>
            </w:r>
          </w:p>
        </w:tc>
      </w:tr>
    </w:tbl>
    <w:p w:rsidR="00000000" w:rsidRPr="006328D1" w:rsidP="006328D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9.2)</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Before the critical aspects of evidence are considered all prerequisites shall be met.</w:t>
            </w:r>
          </w:p>
          <w:p w:rsidR="00000000" w:rsidRPr="006328D1" w:rsidP="006328D1">
            <w:pPr>
              <w:pStyle w:val="BodyText"/>
            </w:pPr>
            <w:r w:rsidRPr="006328D1">
              <w:t>Evidence for competence in this unit is based, shall b</w:t>
            </w:r>
            <w:r w:rsidRPr="006328D1">
              <w:t>e considered holistically. Each element and associated Performance Criteria shall be demonstrated on at least two occasions in accordance with the “Assessment Guidelines – UET12UET12”. Evidence shall also comprise:</w:t>
            </w:r>
          </w:p>
          <w:p w:rsidR="00000000" w:rsidRPr="006328D1" w:rsidP="006328D1">
            <w:pPr>
              <w:pStyle w:val="ListBullet"/>
            </w:pPr>
            <w:r w:rsidRPr="006328D1">
              <w:t>A representative body of Performance Crit</w:t>
            </w:r>
            <w:r w:rsidRPr="006328D1">
              <w:t>eria demonstrated within the timeframes typically expected of the discipline, work function and industrial environment. In particular this shall incorporate evidence that shows a candidate is able to:</w:t>
            </w:r>
          </w:p>
          <w:p w:rsidR="00000000" w:rsidRPr="006328D1" w:rsidP="006328D1">
            <w:pPr>
              <w:pStyle w:val="ListBullet2"/>
            </w:pPr>
            <w:r w:rsidRPr="006328D1">
              <w:t>Implement Occupational Health and Safety workplace procedures and practices including the use of risk control measures as specified in the Performance Criteria and range; and</w:t>
            </w:r>
          </w:p>
          <w:p w:rsidR="00000000" w:rsidRPr="006328D1" w:rsidP="006328D1">
            <w:pPr>
              <w:pStyle w:val="ListBullet2"/>
            </w:pPr>
            <w:r w:rsidRPr="006328D1">
              <w:t>Apply sustainable energy principles and practices as specified in the Performance</w:t>
            </w:r>
            <w:r w:rsidRPr="006328D1">
              <w:t xml:space="preserve"> Criteria and range; and</w:t>
            </w:r>
          </w:p>
          <w:p w:rsidR="00000000" w:rsidRPr="006328D1" w:rsidP="006328D1">
            <w:pPr>
              <w:pStyle w:val="ListBullet2"/>
            </w:pPr>
            <w:r w:rsidRPr="006328D1">
              <w:t>Demonstrate an understanding of the essential knowledge and associated skills as described in this unit to such an extent that the learner’s performance outcome is reported in accordance with the preferred approach; namely a percen</w:t>
            </w:r>
            <w:r w:rsidRPr="006328D1">
              <w:t>tile graded result, where required by the regulated environment; and</w:t>
            </w:r>
          </w:p>
          <w:p w:rsidR="00000000" w:rsidRPr="006328D1" w:rsidP="006328D1">
            <w:pPr>
              <w:pStyle w:val="ListBullet2"/>
            </w:pPr>
            <w:r w:rsidRPr="006328D1">
              <w:t>Demonstrate an appropriate level of employability skills; and</w:t>
            </w:r>
          </w:p>
          <w:p w:rsidR="00000000" w:rsidRPr="006328D1" w:rsidP="006328D1">
            <w:pPr>
              <w:pStyle w:val="ListBullet"/>
            </w:pPr>
            <w:r w:rsidRPr="006328D1">
              <w:t>Conduct work observing the relevant Anti Discrimination legislation, regulations, policies and workplace procedures; and</w:t>
            </w:r>
          </w:p>
          <w:p w:rsidR="00000000" w:rsidP="006328D1">
            <w:pPr>
              <w:pStyle w:val="ListBullet2"/>
              <w:rPr>
                <w:lang w:val="en-NZ"/>
              </w:rPr>
            </w:pPr>
            <w:r w:rsidRPr="006328D1">
              <w:t>Dem</w:t>
            </w:r>
            <w:r w:rsidRPr="006328D1">
              <w:t>onstrated performance across a representative range of contexts from the prescribed items below:</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328D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rPr>
                <w:rStyle w:val="SpecialBold"/>
              </w:rPr>
              <w:t>Range of tools/equipment/materials/procedures/workplaces/other variables</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328D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8D1" w:rsidP="006328D1">
            <w:pPr>
              <w:pStyle w:val="BodyText"/>
            </w:pPr>
            <w:r w:rsidRPr="006328D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8D1" w:rsidP="006328D1">
            <w:pPr>
              <w:pStyle w:val="BodyText"/>
            </w:pPr>
            <w:r w:rsidRPr="006328D1">
              <w:rPr>
                <w:rStyle w:val="SpecialBold"/>
              </w:rPr>
              <w:t xml:space="preserve">The minimum number of items on which skill is to be </w:t>
            </w:r>
            <w:r w:rsidRPr="006328D1">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rPr>
                <w:rStyle w:val="SpecialBold"/>
              </w:rPr>
              <w:t>Item List</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Completion of two (2) compliant technical designs including each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8D1" w:rsidP="006328D1">
            <w:pPr>
              <w:pStyle w:val="BodyText"/>
            </w:pPr>
            <w:r w:rsidRPr="006328D1">
              <w:t>Establishment of equipment dimensions, weights and dynamic loadings.</w:t>
            </w:r>
          </w:p>
          <w:p w:rsidR="00000000" w:rsidRPr="006328D1" w:rsidP="006328D1">
            <w:pPr>
              <w:pStyle w:val="BodyText"/>
            </w:pPr>
            <w:r w:rsidRPr="006328D1">
              <w:t>Suitability</w:t>
            </w:r>
            <w:r w:rsidRPr="006328D1">
              <w:t xml:space="preserve"> of building room/compartments and door opening dimensions for the equipment to be housed.</w:t>
            </w:r>
          </w:p>
          <w:p w:rsidR="00000000" w:rsidRPr="006328D1" w:rsidP="006328D1">
            <w:pPr>
              <w:pStyle w:val="BodyText"/>
            </w:pPr>
            <w:r w:rsidRPr="006328D1">
              <w:t>Compliance with security, fire rating and safety, pressure relief, BCA and BA requirements.</w:t>
            </w:r>
          </w:p>
          <w:p w:rsidR="00000000" w:rsidRPr="006328D1" w:rsidP="006328D1">
            <w:pPr>
              <w:pStyle w:val="BodyText"/>
            </w:pPr>
            <w:r w:rsidRPr="006328D1">
              <w:t>Compliance with electrical requirements, i.e. frame leakage, earthed meta</w:t>
            </w:r>
            <w:r w:rsidRPr="006328D1">
              <w:t>l isolation.</w:t>
            </w:r>
          </w:p>
          <w:p w:rsidR="00000000" w:rsidRPr="006328D1" w:rsidP="006328D1">
            <w:pPr>
              <w:pStyle w:val="BodyText"/>
            </w:pPr>
            <w:r w:rsidRPr="006328D1">
              <w:t>Appropriateness of floor reference levels.</w:t>
            </w:r>
          </w:p>
          <w:p w:rsidR="00000000" w:rsidRPr="006328D1" w:rsidP="006328D1">
            <w:pPr>
              <w:pStyle w:val="BodyText"/>
            </w:pPr>
            <w:r w:rsidRPr="006328D1">
              <w:t>Provision of cable supports, penetrations and pulling ring requirements.</w:t>
            </w:r>
          </w:p>
          <w:p w:rsidR="00000000" w:rsidP="006328D1">
            <w:pPr>
              <w:pStyle w:val="BodyText"/>
              <w:rPr>
                <w:lang w:val="en-NZ"/>
              </w:rPr>
            </w:pPr>
            <w:r w:rsidRPr="006328D1">
              <w:t>Building light and power design and drafting.</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8D1" w:rsidP="006328D1">
            <w:pPr>
              <w:pStyle w:val="BodyText"/>
            </w:pPr>
            <w:r w:rsidRPr="006328D1">
              <w:t>Activities that address the c</w:t>
            </w:r>
            <w:r w:rsidRPr="006328D1">
              <w:t>orrection of errors in the process.</w:t>
            </w:r>
          </w:p>
          <w:p w:rsidR="00000000" w:rsidP="006328D1">
            <w:pPr>
              <w:pStyle w:val="BodyText"/>
              <w:rPr>
                <w:lang w:val="en-NZ"/>
              </w:rPr>
            </w:pPr>
            <w:r w:rsidRPr="006328D1">
              <w:t>Application of a design control checklist which lists all of the required design activities to be carried out in this process.</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8D1">
            <w:pPr>
              <w:pStyle w:val="BodyText"/>
              <w:rPr>
                <w:lang w:val="en-NZ"/>
              </w:rPr>
            </w:pPr>
            <w:r w:rsidRPr="006328D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8D1" w:rsidP="006328D1">
            <w:pPr>
              <w:pStyle w:val="BodyText"/>
            </w:pPr>
            <w:r w:rsidRPr="006328D1">
              <w:t xml:space="preserve">Dealing with an unplanned event by drawing on essential knowledge and </w:t>
            </w:r>
            <w:r w:rsidRPr="006328D1">
              <w:t>associated skills to provide appropriate solutions incorporated in the holistic assessment with the above listed items.</w:t>
            </w:r>
          </w:p>
        </w:tc>
      </w:tr>
    </w:tbl>
    <w:p w:rsidR="00000000" w:rsidRPr="006328D1" w:rsidP="006328D1">
      <w:pPr>
        <w:pStyle w:val="BodyText"/>
      </w:pPr>
    </w:p>
    <w:tbl>
      <w:tblPr>
        <w:tblW w:w="0" w:type="auto"/>
        <w:tblLayout w:type="fixed"/>
        <w:tblCellMar>
          <w:left w:w="62" w:type="dxa"/>
          <w:right w:w="62" w:type="dxa"/>
        </w:tblCellMar>
        <w:tblLook w:val="0000"/>
      </w:tblPr>
      <w:tblGrid>
        <w:gridCol w:w="1890"/>
        <w:gridCol w:w="6570"/>
      </w:tblGrid>
      <w:tr w:rsidTr="00DD5C8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9.3)</w:t>
            </w:r>
          </w:p>
        </w:tc>
      </w:tr>
      <w:tr w:rsidTr="00DD5C8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This uni</w:t>
            </w:r>
            <w:r w:rsidRPr="006328D1">
              <w:t>t should be assessed as it relates to normal work practice using procedures, information and resources typical of a workplace. This should include:</w:t>
            </w:r>
          </w:p>
          <w:p w:rsidR="00000000" w:rsidRPr="006328D1" w:rsidP="006328D1">
            <w:pPr>
              <w:pStyle w:val="ListBullet"/>
            </w:pPr>
            <w:r w:rsidRPr="006328D1">
              <w:t>OHS policy and work procedures and instructions.</w:t>
            </w:r>
          </w:p>
          <w:p w:rsidR="00000000" w:rsidRPr="006328D1" w:rsidP="006328D1">
            <w:pPr>
              <w:pStyle w:val="ListBullet"/>
            </w:pPr>
            <w:r w:rsidRPr="006328D1">
              <w:t>Suitable work environment, facilities, equipment and materials to undertake actual design of transmission, sub-transmission and zone substation buildings.</w:t>
            </w:r>
          </w:p>
          <w:p w:rsidR="00000000" w:rsidRPr="006328D1" w:rsidP="006328D1">
            <w:pPr>
              <w:pStyle w:val="BodyText"/>
            </w:pPr>
            <w:r w:rsidRPr="006328D1">
              <w:t>In addition to the resources listed above, in Context of and specific resources for assessment, evide</w:t>
            </w:r>
            <w:r w:rsidRPr="006328D1">
              <w:t>nce should show demonstrated competency working realistic environment and a variety of conditions.</w:t>
            </w:r>
          </w:p>
        </w:tc>
      </w:tr>
    </w:tbl>
    <w:p w:rsidR="00000000" w:rsidRPr="006328D1" w:rsidP="006328D1">
      <w:pPr>
        <w:pStyle w:val="BodyText"/>
      </w:pPr>
    </w:p>
    <w:tbl>
      <w:tblPr>
        <w:tblW w:w="0" w:type="auto"/>
        <w:tblLayout w:type="fixed"/>
        <w:tblCellMar>
          <w:left w:w="62" w:type="dxa"/>
          <w:right w:w="62" w:type="dxa"/>
        </w:tblCellMar>
        <w:tblLook w:val="0000"/>
      </w:tblPr>
      <w:tblGrid>
        <w:gridCol w:w="1890"/>
        <w:gridCol w:w="6570"/>
      </w:tblGrid>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9.4)</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This Competency Standard Unit shall be assessed by methods given in Volume 1, Part 3 “Assessment Guidelines”.</w:t>
            </w:r>
          </w:p>
          <w:p w:rsidR="00000000" w:rsidRPr="006328D1" w:rsidP="006328D1">
            <w:pPr>
              <w:pStyle w:val="BodyText"/>
            </w:pPr>
            <w:r w:rsidRPr="006328D1">
              <w:t>Note:</w:t>
            </w:r>
          </w:p>
          <w:p w:rsidR="00000000" w:rsidRPr="006328D1" w:rsidP="006328D1">
            <w:pPr>
              <w:pStyle w:val="BodyText"/>
            </w:pPr>
            <w:r w:rsidRPr="006328D1">
              <w:t>Competent p</w:t>
            </w:r>
            <w:r w:rsidRPr="006328D1">
              <w:t>erformance with inherent safe working practices is expected in the Industry to which this Competency Standard Unit applies. This requires that the specified essential knowledge and associated skills are assessed in a structured environment which is primari</w:t>
            </w:r>
            <w:r w:rsidRPr="006328D1">
              <w:t>ly intended for learning/assessment and incorporates all necessary equipment and facilities for learners to develop and demonstrate the essential knowledge and associated skills described in this unit.</w:t>
            </w:r>
          </w:p>
        </w:tc>
      </w:tr>
    </w:tbl>
    <w:p w:rsidR="00000000" w:rsidRPr="006328D1" w:rsidP="006328D1">
      <w:pPr>
        <w:pStyle w:val="BodyText"/>
      </w:pPr>
    </w:p>
    <w:tbl>
      <w:tblPr>
        <w:tblW w:w="0" w:type="auto"/>
        <w:tblLayout w:type="fixed"/>
        <w:tblCellMar>
          <w:left w:w="62" w:type="dxa"/>
          <w:right w:w="62" w:type="dxa"/>
        </w:tblCellMar>
        <w:tblLook w:val="0000"/>
      </w:tblPr>
      <w:tblGrid>
        <w:gridCol w:w="1890"/>
        <w:gridCol w:w="6570"/>
      </w:tblGrid>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9.5)</w:t>
            </w:r>
          </w:p>
        </w:tc>
      </w:tr>
      <w:tr w:rsidTr="00DD5C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There are no recommended concurrent assessments with this unit, however in some cases efficiencies may be gained in terms of learning and assessment effort being concurrently managed.</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11" w:name="O_463657"/>
      <w:bookmarkEnd w:id="11"/>
      <w:r w:rsidRPr="006328D1">
        <w:t>Range Statement</w:t>
      </w:r>
    </w:p>
    <w:tbl>
      <w:tblPr>
        <w:tblW w:w="0" w:type="auto"/>
        <w:tblLayout w:type="fixed"/>
        <w:tblCellMar>
          <w:left w:w="62" w:type="dxa"/>
          <w:right w:w="62" w:type="dxa"/>
        </w:tblCellMar>
        <w:tblLook w:val="0000"/>
      </w:tblPr>
      <w:tblGrid>
        <w:gridCol w:w="8460"/>
      </w:tblGrid>
      <w:tr w:rsidTr="00DD5C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RANGE STATEMENT</w:t>
            </w:r>
          </w:p>
        </w:tc>
      </w:tr>
      <w:tr w:rsidTr="00DD5C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10)</w:t>
            </w:r>
            <w:r w:rsidRPr="006328D1">
              <w:t xml:space="preserve"> This relates to the unit of competency as a whole providing the range of contexts and conditions </w:t>
            </w:r>
            <w:r w:rsidRPr="006328D1">
              <w:t>to which the Performance Criteria apply. It allows for different work environments and situations that will affect performance.</w:t>
            </w:r>
          </w:p>
          <w:p w:rsidR="00000000" w:rsidRPr="006328D1" w:rsidP="006328D1">
            <w:pPr>
              <w:pStyle w:val="BodyText"/>
            </w:pPr>
            <w:r w:rsidRPr="006328D1">
              <w:t>This Competency Standard Unit shall be demonstrated in relation to the design housekeeping components of transmission, sub-trans</w:t>
            </w:r>
            <w:r w:rsidRPr="006328D1">
              <w:t>mission and zone substations and may include the following equipment:</w:t>
            </w:r>
          </w:p>
          <w:p w:rsidR="00000000" w:rsidRPr="006328D1" w:rsidP="006328D1">
            <w:pPr>
              <w:pStyle w:val="BodyText"/>
            </w:pPr>
            <w:r w:rsidRPr="006328D1">
              <w:t>Primary components of a substation which may include: Electrical equipment in accordance with SLD, bays spaced in accordance with standard requirements, switchyard design in accordance w</w:t>
            </w:r>
            <w:r w:rsidRPr="006328D1">
              <w:t>ith AS2067, equipment spaced so that space is available for maintenance facilities, maintenance space to fence in accordance with AS2067, switchyard equipment device codes correct, busbar earthing facilities available in appropriate positions, earth switch</w:t>
            </w:r>
            <w:r w:rsidRPr="006328D1">
              <w:t>es fitted to high busbar, portable earth attachment points in correct position, connections, busbar and flexibles, earthing points, switchgear operating handle positions, disconnector operator earth mats, anti-vibration Pads and Transformer location, auxil</w:t>
            </w:r>
            <w:r w:rsidRPr="006328D1">
              <w:t>iary transformer location, earth stick storage, control building equipment layout, H.V. cable layout, wiring/connection diagrams, cable schedule, pilot terminations, streamline filter supply, frame leakage CT's, VT ‘s and CT’s, photo electric cells, earthi</w:t>
            </w:r>
            <w:r w:rsidRPr="006328D1">
              <w:t>ng of plumbing, distribution feeder cable CB connection and route drawing produced by regional designer and checked.</w:t>
            </w:r>
          </w:p>
          <w:p w:rsidR="00000000" w:rsidRPr="006328D1" w:rsidP="006328D1">
            <w:pPr>
              <w:pStyle w:val="BodyText"/>
            </w:pPr>
            <w:r w:rsidRPr="006328D1">
              <w:t>Manufacturer’s data sheets, documents, drawings</w:t>
            </w:r>
          </w:p>
          <w:p w:rsidR="00000000" w:rsidRPr="006328D1" w:rsidP="006328D1">
            <w:pPr>
              <w:pStyle w:val="BodyText"/>
            </w:pPr>
            <w:r w:rsidRPr="006328D1">
              <w:t>Manufacturers’ recommendations; Reliability performance profiles; Knowledge of local histor</w:t>
            </w:r>
            <w:r w:rsidRPr="006328D1">
              <w:t>y and experience; Consultation with other Authorities; Environmental influences; Present practices.</w:t>
            </w:r>
          </w:p>
          <w:p w:rsidR="00000000" w:rsidRPr="006328D1" w:rsidP="006328D1">
            <w:pPr>
              <w:pStyle w:val="BodyText"/>
            </w:pPr>
            <w:r w:rsidRPr="006328D1">
              <w:t>Equipment includes; Sectionalisers, air break switches, capacitor banks, transformer taps, metering and protection equipment, data communication systems</w:t>
            </w:r>
          </w:p>
          <w:p w:rsidR="00000000" w:rsidRPr="006328D1" w:rsidP="006328D1">
            <w:pPr>
              <w:pStyle w:val="BodyText"/>
            </w:pPr>
            <w:r w:rsidRPr="006328D1">
              <w:t>Primary and secondary voltage and current injection equipment; time delay measuring equipment; Current transformers; Voltage transformers; Power transformers; Tapchangers; Circuit breakers; Capacitor banks; Ring main units; Audio frequency load control; Ci</w:t>
            </w:r>
            <w:r w:rsidRPr="006328D1">
              <w:t>rcuit breaker auxiliary systems; Substation and metal structure earthing systems; SCADA interfaces and transducer inputs; local opto-isolated alarms: PLC programs; Auto Reclosers (ACRs); protection relays; metering; control circuits; Statistical metering s</w:t>
            </w:r>
            <w:r w:rsidRPr="006328D1">
              <w:t>ystems; Frame leakage relays; Distance relays; Pilot wire relays; Transformer differential relays; Busbar differential relays; Impedance bus zone relays; Overcurrent and earth fault relays; Transformer neutral check relays; Circuit breaker fail relays; Mul</w:t>
            </w:r>
            <w:r w:rsidRPr="006328D1">
              <w:t>ti-trip relays; Auto recloser relays; Voltage transformer failure relays; Surge protection relays; Buchholz relays; Winding temperature relays; Sensitive earth fault relays; Phase failure relays; Frequency relays; Load shedding relays; General protection L</w:t>
            </w:r>
            <w:r w:rsidRPr="006328D1">
              <w:t>V devices; Oil temperature protection devices; Oil surge protection devices; Power supplies. differential relays; power systems; multi-facetted schemes; interactive overload schemes, distance protection (incorporating relay selection, switched/non-switched</w:t>
            </w:r>
            <w:r w:rsidRPr="006328D1">
              <w:t xml:space="preserve"> schemes; mutual coupling and teed feeder systems); protection signalling (incorporating series, direct, permissive, distance acceleration, block interruption); telecommunication circuits and equipment.</w:t>
            </w:r>
          </w:p>
          <w:p w:rsidR="00000000" w:rsidRPr="006328D1" w:rsidP="006328D1">
            <w:pPr>
              <w:pStyle w:val="BodyText"/>
            </w:pPr>
            <w:r w:rsidRPr="006328D1">
              <w:t>The following constants and variables included in the</w:t>
            </w:r>
            <w:r w:rsidRPr="006328D1">
              <w:t xml:space="preserve"> element/Performance Criteria in this unit are fully described in the Definitions Section 1 of this volume and form an integral part of the Range Statement of this unit:</w:t>
            </w:r>
          </w:p>
          <w:p w:rsidR="00000000" w:rsidRPr="006328D1" w:rsidP="006328D1">
            <w:pPr>
              <w:pStyle w:val="ListBullet3"/>
            </w:pPr>
            <w:r w:rsidRPr="006328D1">
              <w:t>Appropriate and relevant persons (see Personnel)</w:t>
            </w:r>
          </w:p>
          <w:p w:rsidR="00000000" w:rsidRPr="006328D1" w:rsidP="006328D1">
            <w:pPr>
              <w:pStyle w:val="ListBullet3"/>
            </w:pPr>
            <w:r w:rsidRPr="006328D1">
              <w:t>Appropriate authorities</w:t>
            </w:r>
          </w:p>
          <w:p w:rsidR="00000000" w:rsidRPr="006328D1" w:rsidP="006328D1">
            <w:pPr>
              <w:pStyle w:val="ListBullet3"/>
            </w:pPr>
            <w:r w:rsidRPr="006328D1">
              <w:t xml:space="preserve">Appropriate </w:t>
            </w:r>
            <w:r w:rsidRPr="006328D1">
              <w:t>work platform.</w:t>
            </w:r>
          </w:p>
          <w:p w:rsidR="00000000" w:rsidRPr="006328D1" w:rsidP="006328D1">
            <w:pPr>
              <w:pStyle w:val="ListBullet3"/>
            </w:pPr>
            <w:r w:rsidRPr="006328D1">
              <w:t>Assessing risk</w:t>
            </w:r>
          </w:p>
          <w:p w:rsidR="00000000" w:rsidRPr="006328D1" w:rsidP="006328D1">
            <w:pPr>
              <w:pStyle w:val="ListBullet3"/>
            </w:pPr>
            <w:r w:rsidRPr="006328D1">
              <w:t>Assessment</w:t>
            </w:r>
          </w:p>
          <w:p w:rsidR="00000000" w:rsidRPr="006328D1" w:rsidP="006328D1">
            <w:pPr>
              <w:pStyle w:val="ListBullet3"/>
            </w:pPr>
            <w:r w:rsidRPr="006328D1">
              <w:t xml:space="preserve">Authorisation </w:t>
            </w:r>
          </w:p>
          <w:p w:rsidR="00000000" w:rsidRPr="006328D1" w:rsidP="006328D1">
            <w:pPr>
              <w:pStyle w:val="ListBullet3"/>
            </w:pPr>
            <w:r w:rsidRPr="006328D1">
              <w:t>Confined space</w:t>
            </w:r>
          </w:p>
          <w:p w:rsidR="00000000" w:rsidRPr="006328D1" w:rsidP="006328D1">
            <w:pPr>
              <w:pStyle w:val="ListBullet3"/>
            </w:pPr>
            <w:r w:rsidRPr="006328D1">
              <w:t>Diagnostic, testing and restoration.</w:t>
            </w:r>
          </w:p>
          <w:p w:rsidR="00000000" w:rsidRPr="006328D1" w:rsidP="006328D1">
            <w:pPr>
              <w:pStyle w:val="ListBullet3"/>
            </w:pPr>
            <w:r w:rsidRPr="006328D1">
              <w:t>Documenting detail work events, record keeping and or storage of information.</w:t>
            </w:r>
          </w:p>
          <w:p w:rsidR="00000000" w:rsidRPr="006328D1" w:rsidP="006328D1">
            <w:pPr>
              <w:pStyle w:val="ListBullet3"/>
            </w:pPr>
            <w:r w:rsidRPr="006328D1">
              <w:t xml:space="preserve">Drawings and specifications </w:t>
            </w:r>
          </w:p>
          <w:p w:rsidR="00000000" w:rsidRPr="006328D1" w:rsidP="006328D1">
            <w:pPr>
              <w:pStyle w:val="ListBullet3"/>
            </w:pPr>
            <w:r w:rsidRPr="006328D1">
              <w:t>Emergency</w:t>
            </w:r>
          </w:p>
          <w:p w:rsidR="00000000" w:rsidRPr="006328D1" w:rsidP="006328D1">
            <w:pPr>
              <w:pStyle w:val="ListBullet3"/>
            </w:pPr>
            <w:r w:rsidRPr="006328D1">
              <w:t>Environmental and sustainable e</w:t>
            </w:r>
            <w:r w:rsidRPr="006328D1">
              <w:t>nergy procedures</w:t>
            </w:r>
          </w:p>
          <w:p w:rsidR="00000000" w:rsidRPr="006328D1" w:rsidP="006328D1">
            <w:pPr>
              <w:pStyle w:val="ListBullet3"/>
            </w:pPr>
            <w:r w:rsidRPr="006328D1">
              <w:t>Environmental legislation.</w:t>
            </w:r>
          </w:p>
          <w:p w:rsidR="00000000" w:rsidRPr="006328D1" w:rsidP="006328D1">
            <w:pPr>
              <w:pStyle w:val="ListBullet3"/>
            </w:pPr>
            <w:r w:rsidRPr="006328D1">
              <w:t>Environmental management documentation.</w:t>
            </w:r>
          </w:p>
          <w:p w:rsidR="00000000" w:rsidRPr="006328D1" w:rsidP="006328D1">
            <w:pPr>
              <w:pStyle w:val="ListBullet3"/>
            </w:pPr>
            <w:r w:rsidRPr="006328D1">
              <w:t>Established procedures.</w:t>
            </w:r>
          </w:p>
          <w:p w:rsidR="00000000" w:rsidRPr="006328D1" w:rsidP="006328D1">
            <w:pPr>
              <w:pStyle w:val="ListBullet3"/>
            </w:pPr>
            <w:r w:rsidRPr="006328D1">
              <w:t>Fall prevention</w:t>
            </w:r>
          </w:p>
          <w:p w:rsidR="00000000" w:rsidRPr="006328D1" w:rsidP="006328D1">
            <w:pPr>
              <w:pStyle w:val="ListBullet3"/>
            </w:pPr>
            <w:r w:rsidRPr="006328D1">
              <w:t>Hazards</w:t>
            </w:r>
          </w:p>
          <w:p w:rsidR="00000000" w:rsidRPr="006328D1" w:rsidP="006328D1">
            <w:pPr>
              <w:pStyle w:val="ListBullet3"/>
            </w:pPr>
            <w:r w:rsidRPr="006328D1">
              <w:t>Identifying hazards</w:t>
            </w:r>
          </w:p>
          <w:p w:rsidR="00000000" w:rsidRPr="006328D1" w:rsidP="006328D1">
            <w:pPr>
              <w:pStyle w:val="ListBullet3"/>
            </w:pPr>
            <w:r w:rsidRPr="006328D1">
              <w:t>Inspect</w:t>
            </w:r>
          </w:p>
          <w:p w:rsidR="00000000" w:rsidRPr="006328D1" w:rsidP="006328D1">
            <w:pPr>
              <w:pStyle w:val="ListBullet3"/>
            </w:pPr>
            <w:r w:rsidRPr="006328D1">
              <w:t>Legislation</w:t>
            </w:r>
          </w:p>
          <w:p w:rsidR="00000000" w:rsidRPr="006328D1" w:rsidP="006328D1">
            <w:pPr>
              <w:pStyle w:val="ListBullet3"/>
            </w:pPr>
            <w:r w:rsidRPr="006328D1">
              <w:t>MSDS</w:t>
            </w:r>
          </w:p>
          <w:p w:rsidR="00000000" w:rsidRPr="006328D1" w:rsidP="006328D1">
            <w:pPr>
              <w:pStyle w:val="ListBullet3"/>
            </w:pPr>
            <w:r w:rsidRPr="006328D1">
              <w:t>Notification.</w:t>
            </w:r>
          </w:p>
          <w:p w:rsidR="00000000" w:rsidRPr="006328D1" w:rsidP="006328D1">
            <w:pPr>
              <w:pStyle w:val="ListBullet3"/>
            </w:pPr>
            <w:r w:rsidRPr="006328D1">
              <w:t>OHS practices</w:t>
            </w:r>
          </w:p>
          <w:p w:rsidR="00000000" w:rsidRPr="006328D1" w:rsidP="006328D1">
            <w:pPr>
              <w:pStyle w:val="ListBullet3"/>
            </w:pPr>
            <w:r w:rsidRPr="006328D1">
              <w:t>OHS issues</w:t>
            </w:r>
          </w:p>
          <w:p w:rsidR="00000000" w:rsidRPr="006328D1" w:rsidP="006328D1">
            <w:pPr>
              <w:pStyle w:val="ListBullet3"/>
            </w:pPr>
            <w:r w:rsidRPr="006328D1">
              <w:t>Permits and / or permits to work</w:t>
            </w:r>
          </w:p>
          <w:p w:rsidR="00000000" w:rsidRPr="006328D1" w:rsidP="006328D1">
            <w:pPr>
              <w:pStyle w:val="ListBullet3"/>
            </w:pPr>
            <w:r w:rsidRPr="006328D1">
              <w:t>Personnel.</w:t>
            </w:r>
          </w:p>
          <w:p w:rsidR="00000000" w:rsidRPr="006328D1" w:rsidP="006328D1">
            <w:pPr>
              <w:pStyle w:val="ListBullet3"/>
            </w:pPr>
            <w:r w:rsidRPr="006328D1">
              <w:t>Quality assurance systems.</w:t>
            </w:r>
          </w:p>
          <w:p w:rsidR="00000000" w:rsidRPr="006328D1" w:rsidP="006328D1">
            <w:pPr>
              <w:pStyle w:val="ListBullet3"/>
            </w:pPr>
            <w:r w:rsidRPr="006328D1">
              <w:t>Requirements.</w:t>
            </w:r>
          </w:p>
          <w:p w:rsidR="00000000" w:rsidRPr="006328D1" w:rsidP="006328D1">
            <w:pPr>
              <w:pStyle w:val="ListBullet3"/>
            </w:pPr>
            <w:r w:rsidRPr="006328D1">
              <w:t>Safe design principles</w:t>
            </w:r>
          </w:p>
          <w:p w:rsidR="00000000" w:rsidRPr="006328D1" w:rsidP="006328D1">
            <w:pPr>
              <w:pStyle w:val="ListBullet3"/>
            </w:pPr>
            <w:r w:rsidRPr="006328D1">
              <w:t>Testing procedures</w:t>
            </w:r>
          </w:p>
          <w:p w:rsidR="00000000" w:rsidRPr="006328D1" w:rsidP="006328D1">
            <w:pPr>
              <w:pStyle w:val="ListBullet3"/>
            </w:pPr>
            <w:r w:rsidRPr="006328D1">
              <w:t>Work clearance systems</w:t>
            </w:r>
          </w:p>
        </w:tc>
      </w:tr>
    </w:tbl>
    <w:p w:rsidR="00000000" w:rsidRPr="006328D1" w:rsidP="006328D1">
      <w:pPr>
        <w:pStyle w:val="BodyText"/>
      </w:pPr>
    </w:p>
    <w:p w:rsidR="00000000" w:rsidRPr="006328D1" w:rsidP="006328D1">
      <w:pPr>
        <w:pStyle w:val="AllowPageBreak"/>
      </w:pPr>
    </w:p>
    <w:p w:rsidR="00000000" w:rsidRPr="006328D1" w:rsidP="006328D1">
      <w:pPr>
        <w:pStyle w:val="Heading1"/>
      </w:pPr>
      <w:bookmarkStart w:id="12" w:name="O_463660"/>
      <w:bookmarkEnd w:id="12"/>
      <w:r w:rsidRPr="006328D1">
        <w:t>Unit Sector(s)</w:t>
      </w:r>
    </w:p>
    <w:p w:rsidR="00000000" w:rsidRPr="006328D1" w:rsidP="006328D1">
      <w:pPr>
        <w:pStyle w:val="BodyText"/>
      </w:pPr>
      <w:r w:rsidRPr="006328D1">
        <w:t>Not applicable.</w:t>
      </w:r>
    </w:p>
    <w:p w:rsidR="00000000" w:rsidRPr="006328D1" w:rsidP="006328D1">
      <w:pPr>
        <w:pStyle w:val="AllowPageBreak"/>
      </w:pPr>
    </w:p>
    <w:p w:rsidR="00000000" w:rsidRPr="006328D1" w:rsidP="006328D1">
      <w:pPr>
        <w:pStyle w:val="Heading1"/>
      </w:pPr>
      <w:bookmarkStart w:id="13" w:name="O_463649"/>
      <w:bookmarkEnd w:id="13"/>
      <w:r w:rsidRPr="006328D1">
        <w:t>Competency Field</w:t>
      </w:r>
    </w:p>
    <w:tbl>
      <w:tblPr>
        <w:tblW w:w="0" w:type="auto"/>
        <w:tblLayout w:type="fixed"/>
        <w:tblCellMar>
          <w:left w:w="62" w:type="dxa"/>
          <w:right w:w="62" w:type="dxa"/>
        </w:tblCellMar>
        <w:tblLook w:val="0000"/>
      </w:tblPr>
      <w:tblGrid>
        <w:gridCol w:w="2700"/>
        <w:gridCol w:w="5760"/>
      </w:tblGrid>
      <w:tr w:rsidTr="00DD5C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28D1">
            <w:pPr>
              <w:pStyle w:val="BodyText"/>
              <w:rPr>
                <w:lang w:val="en-NZ"/>
              </w:rPr>
            </w:pPr>
            <w:r w:rsidRPr="006328D1">
              <w:rPr>
                <w:rStyle w:val="SpecialBold"/>
              </w:rPr>
              <w:t xml:space="preserve">11) </w:t>
            </w:r>
          </w:p>
        </w:tc>
      </w:tr>
      <w:tr w:rsidTr="00DD5C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28D1" w:rsidP="006328D1">
            <w:pPr>
              <w:pStyle w:val="BodyText"/>
            </w:pPr>
            <w:r w:rsidRPr="006328D1">
              <w:t>Design</w:t>
            </w:r>
          </w:p>
        </w:tc>
      </w:tr>
    </w:tbl>
    <w:p w:rsidR="00000000" w:rsidRPr="006328D1" w:rsidP="006328D1">
      <w:pPr>
        <w:pStyle w:val="BodyText"/>
      </w:pPr>
    </w:p>
    <w:p w:rsidR="00000000" w:rsidRPr="006328D1" w:rsidP="006328D1"/>
    <w:sectPr w:rsidSect="00632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C89" w:rsidP="00DD5C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89" w:rsidP="006328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D5C89" w:rsidP="006328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5C89" w:rsidP="006328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D1" w:rsidRPr="00DD5C89" w:rsidP="00DD5C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89" w:rsidRPr="002D2AF8" w:rsidP="006328D1">
    <w:pPr>
      <w:pStyle w:val="Header"/>
      <w:framePr w:wrap="around"/>
    </w:pPr>
    <w:r>
      <w:fldChar w:fldCharType="begin"/>
    </w:r>
    <w:r>
      <w:instrText xml:space="preserve"> TITLE   \* MERGEFORMAT </w:instrText>
    </w:r>
    <w:r>
      <w:fldChar w:fldCharType="separate"/>
    </w:r>
    <w:r>
      <w:t>UETTDRDS52A Design power system transmission, sub-transmission and zone substation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D5C89" w:rsidP="00632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A1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6E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1C6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8D1"/>
    <w:pPr>
      <w:spacing w:before="360" w:after="60"/>
      <w:outlineLvl w:val="0"/>
    </w:pPr>
    <w:rPr>
      <w:sz w:val="32"/>
    </w:rPr>
  </w:style>
  <w:style w:type="paragraph" w:styleId="Heading2">
    <w:name w:val="heading 2"/>
    <w:basedOn w:val="HeadingBase"/>
    <w:next w:val="BodyText"/>
    <w:link w:val="Heading2Char"/>
    <w:qFormat/>
    <w:rsid w:val="006328D1"/>
    <w:pPr>
      <w:keepLines/>
      <w:spacing w:before="240" w:after="120"/>
      <w:outlineLvl w:val="1"/>
    </w:pPr>
    <w:rPr>
      <w:sz w:val="28"/>
      <w:szCs w:val="40"/>
    </w:rPr>
  </w:style>
  <w:style w:type="paragraph" w:styleId="Heading3">
    <w:name w:val="heading 3"/>
    <w:basedOn w:val="HeadingBase"/>
    <w:next w:val="BodyText"/>
    <w:link w:val="Heading3Char"/>
    <w:qFormat/>
    <w:rsid w:val="006328D1"/>
    <w:pPr>
      <w:spacing w:before="180" w:after="120"/>
      <w:outlineLvl w:val="2"/>
    </w:pPr>
    <w:rPr>
      <w:spacing w:val="-10"/>
      <w:kern w:val="32"/>
    </w:rPr>
  </w:style>
  <w:style w:type="paragraph" w:styleId="Heading4">
    <w:name w:val="heading 4"/>
    <w:basedOn w:val="HeadingBase"/>
    <w:next w:val="BodyText"/>
    <w:link w:val="Heading4Char"/>
    <w:qFormat/>
    <w:rsid w:val="006328D1"/>
    <w:pPr>
      <w:spacing w:before="160" w:after="120"/>
      <w:outlineLvl w:val="3"/>
    </w:pPr>
    <w:rPr>
      <w:sz w:val="22"/>
    </w:rPr>
  </w:style>
  <w:style w:type="paragraph" w:styleId="Heading5">
    <w:name w:val="heading 5"/>
    <w:basedOn w:val="HeadingBase"/>
    <w:next w:val="Normal"/>
    <w:link w:val="Heading5Char"/>
    <w:qFormat/>
    <w:rsid w:val="006328D1"/>
    <w:pPr>
      <w:spacing w:before="80"/>
      <w:outlineLvl w:val="4"/>
    </w:pPr>
    <w:rPr>
      <w:color w:val="918585"/>
      <w:sz w:val="20"/>
    </w:rPr>
  </w:style>
  <w:style w:type="paragraph" w:styleId="Heading6">
    <w:name w:val="heading 6"/>
    <w:basedOn w:val="HeadingBase"/>
    <w:next w:val="Normal"/>
    <w:link w:val="Heading6Char"/>
    <w:qFormat/>
    <w:rsid w:val="006328D1"/>
    <w:pPr>
      <w:spacing w:before="60"/>
      <w:outlineLvl w:val="5"/>
    </w:pPr>
    <w:rPr>
      <w:color w:val="918585"/>
      <w:sz w:val="20"/>
    </w:rPr>
  </w:style>
  <w:style w:type="paragraph" w:styleId="Heading7">
    <w:name w:val="heading 7"/>
    <w:basedOn w:val="Normal"/>
    <w:next w:val="Normal"/>
    <w:link w:val="Heading7Char"/>
    <w:qFormat/>
    <w:rsid w:val="006328D1"/>
    <w:pPr>
      <w:ind w:left="720"/>
      <w:outlineLvl w:val="6"/>
    </w:pPr>
    <w:rPr>
      <w:i/>
    </w:rPr>
  </w:style>
  <w:style w:type="paragraph" w:styleId="Heading8">
    <w:name w:val="heading 8"/>
    <w:basedOn w:val="Normal"/>
    <w:next w:val="Normal"/>
    <w:link w:val="Heading8Char"/>
    <w:qFormat/>
    <w:rsid w:val="006328D1"/>
    <w:pPr>
      <w:ind w:left="720"/>
      <w:outlineLvl w:val="7"/>
    </w:pPr>
    <w:rPr>
      <w:i/>
    </w:rPr>
  </w:style>
  <w:style w:type="paragraph" w:styleId="Heading9">
    <w:name w:val="heading 9"/>
    <w:basedOn w:val="Normal"/>
    <w:next w:val="Normal"/>
    <w:link w:val="Heading9Char"/>
    <w:qFormat/>
    <w:rsid w:val="006328D1"/>
    <w:pPr>
      <w:ind w:left="720"/>
      <w:outlineLvl w:val="8"/>
    </w:pPr>
    <w:rPr>
      <w:i/>
    </w:rPr>
  </w:style>
  <w:style w:type="character" w:default="1" w:styleId="DefaultParagraphFont">
    <w:name w:val="Default Paragraph Font"/>
    <w:uiPriority w:val="1"/>
    <w:unhideWhenUsed/>
    <w:rsid w:val="00632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8D1"/>
  </w:style>
  <w:style w:type="character" w:customStyle="1" w:styleId="Heading1Char">
    <w:name w:val="Heading 1 Char"/>
    <w:basedOn w:val="DefaultParagraphFont"/>
    <w:link w:val="Heading1"/>
    <w:rsid w:val="006328D1"/>
    <w:rPr>
      <w:rFonts w:ascii="Times New Roman" w:eastAsia="Times New Roman" w:hAnsi="Times New Roman" w:cs="Times New Roman"/>
      <w:b/>
      <w:sz w:val="32"/>
      <w:szCs w:val="20"/>
      <w:lang w:eastAsia="en-US"/>
    </w:rPr>
  </w:style>
  <w:style w:type="paragraph" w:styleId="BodyText">
    <w:name w:val="Body Text"/>
    <w:basedOn w:val="Normal"/>
    <w:link w:val="BodyTextChar"/>
    <w:rsid w:val="006328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8D1"/>
    <w:rPr>
      <w:rFonts w:ascii="Times New Roman" w:eastAsia="Times New Roman" w:hAnsi="Times New Roman" w:cs="Times New Roman"/>
      <w:sz w:val="24"/>
      <w:lang w:eastAsia="en-US"/>
    </w:rPr>
  </w:style>
  <w:style w:type="paragraph" w:styleId="Footer">
    <w:name w:val="footer"/>
    <w:basedOn w:val="Normal"/>
    <w:link w:val="FooterChar"/>
    <w:rsid w:val="00632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8D1"/>
    <w:rPr>
      <w:rFonts w:ascii="Times New Roman" w:eastAsia="Times New Roman" w:hAnsi="Times New Roman" w:cs="Times New Roman"/>
      <w:sz w:val="16"/>
      <w:lang w:eastAsia="en-US"/>
    </w:rPr>
  </w:style>
  <w:style w:type="paragraph" w:styleId="ListBullet">
    <w:name w:val="List Bullet"/>
    <w:basedOn w:val="List"/>
    <w:rsid w:val="006328D1"/>
    <w:pPr>
      <w:numPr>
        <w:numId w:val="14"/>
      </w:numPr>
      <w:tabs>
        <w:tab w:val="clear" w:pos="340"/>
      </w:tabs>
      <w:spacing w:before="40" w:after="40"/>
    </w:pPr>
  </w:style>
  <w:style w:type="character" w:customStyle="1" w:styleId="SpecialBold">
    <w:name w:val="Special Bold"/>
    <w:basedOn w:val="DefaultParagraphFont"/>
    <w:rsid w:val="006328D1"/>
    <w:rPr>
      <w:b/>
      <w:spacing w:val="0"/>
    </w:rPr>
  </w:style>
  <w:style w:type="paragraph" w:styleId="ListBullet2">
    <w:name w:val="List Bullet 2"/>
    <w:basedOn w:val="List2"/>
    <w:rsid w:val="006328D1"/>
    <w:pPr>
      <w:numPr>
        <w:numId w:val="15"/>
      </w:numPr>
      <w:tabs>
        <w:tab w:val="clear" w:pos="680"/>
      </w:tabs>
    </w:pPr>
  </w:style>
  <w:style w:type="paragraph" w:customStyle="1" w:styleId="SuperHeading">
    <w:name w:val="SuperHeading"/>
    <w:basedOn w:val="Normal"/>
    <w:rsid w:val="006328D1"/>
    <w:pPr>
      <w:spacing w:before="240" w:after="120"/>
      <w:outlineLvl w:val="0"/>
    </w:pPr>
    <w:rPr>
      <w:rFonts w:ascii="Times New Roman" w:hAnsi="Times New Roman"/>
      <w:b/>
      <w:sz w:val="28"/>
    </w:rPr>
  </w:style>
  <w:style w:type="paragraph" w:customStyle="1" w:styleId="AllowPageBreak">
    <w:name w:val="AllowPageBreak"/>
    <w:rsid w:val="006328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8D1"/>
    <w:pPr>
      <w:numPr>
        <w:numId w:val="3"/>
      </w:numPr>
      <w:tabs>
        <w:tab w:val="clear" w:pos="1021"/>
      </w:tabs>
      <w:ind w:left="1037" w:hanging="357"/>
    </w:pPr>
  </w:style>
  <w:style w:type="character" w:customStyle="1" w:styleId="Heading2Char">
    <w:name w:val="Heading 2 Char"/>
    <w:basedOn w:val="DefaultParagraphFont"/>
    <w:link w:val="Heading2"/>
    <w:rsid w:val="00632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8D1"/>
    <w:rPr>
      <w:rFonts w:ascii="Courier New" w:eastAsia="Times New Roman" w:hAnsi="Courier New" w:cs="Times New Roman"/>
      <w:i/>
      <w:szCs w:val="20"/>
      <w:lang w:eastAsia="en-US"/>
    </w:rPr>
  </w:style>
  <w:style w:type="paragraph" w:customStyle="1" w:styleId="HeadingBase">
    <w:name w:val="Heading Base"/>
    <w:rsid w:val="00632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8D1"/>
    <w:pPr>
      <w:tabs>
        <w:tab w:val="right" w:leader="dot" w:pos="9072"/>
      </w:tabs>
      <w:ind w:left="567"/>
    </w:pPr>
    <w:rPr>
      <w:szCs w:val="22"/>
    </w:rPr>
  </w:style>
  <w:style w:type="paragraph" w:customStyle="1" w:styleId="TOCBase">
    <w:name w:val="TOC Base"/>
    <w:rsid w:val="00632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8D1"/>
    <w:pPr>
      <w:tabs>
        <w:tab w:val="right" w:leader="dot" w:pos="9072"/>
      </w:tabs>
      <w:spacing w:before="40" w:after="40"/>
      <w:ind w:left="284"/>
    </w:pPr>
    <w:rPr>
      <w:rFonts w:ascii="Times New Roman" w:hAnsi="Times New Roman"/>
    </w:rPr>
  </w:style>
  <w:style w:type="paragraph" w:styleId="TOC1">
    <w:name w:val="toc 1"/>
    <w:basedOn w:val="TOCBase"/>
    <w:next w:val="Normal"/>
    <w:rsid w:val="006328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8D1"/>
    <w:pPr>
      <w:spacing w:before="5040"/>
      <w:jc w:val="center"/>
    </w:pPr>
    <w:rPr>
      <w:sz w:val="48"/>
      <w:szCs w:val="72"/>
      <w:lang w:val="en-US"/>
    </w:rPr>
  </w:style>
  <w:style w:type="character" w:customStyle="1" w:styleId="TitleChar">
    <w:name w:val="Title Char"/>
    <w:basedOn w:val="DefaultParagraphFont"/>
    <w:link w:val="Title"/>
    <w:rsid w:val="00632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8D1"/>
    <w:pPr>
      <w:tabs>
        <w:tab w:val="left" w:pos="3600"/>
        <w:tab w:val="left" w:pos="3958"/>
      </w:tabs>
    </w:pPr>
  </w:style>
  <w:style w:type="paragraph" w:styleId="List">
    <w:name w:val="List"/>
    <w:basedOn w:val="BodyText"/>
    <w:next w:val="BodyText"/>
    <w:rsid w:val="006328D1"/>
    <w:pPr>
      <w:tabs>
        <w:tab w:val="left" w:pos="340"/>
      </w:tabs>
      <w:spacing w:before="60" w:after="60"/>
      <w:ind w:left="340" w:hanging="340"/>
    </w:pPr>
  </w:style>
  <w:style w:type="paragraph" w:customStyle="1" w:styleId="Note">
    <w:name w:val="Note"/>
    <w:basedOn w:val="BodyText"/>
    <w:rsid w:val="00632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8D1"/>
    <w:pPr>
      <w:framePr w:wrap="auto" w:hAnchor="text" w:y="6049"/>
    </w:pPr>
    <w:rPr>
      <w:color w:val="000000"/>
      <w:sz w:val="40"/>
    </w:rPr>
  </w:style>
  <w:style w:type="paragraph" w:customStyle="1" w:styleId="TOCTitle">
    <w:name w:val="TOCTitle"/>
    <w:basedOn w:val="Heading1"/>
    <w:rsid w:val="006328D1"/>
    <w:pPr>
      <w:spacing w:after="240"/>
      <w:jc w:val="center"/>
      <w:outlineLvl w:val="9"/>
    </w:pPr>
    <w:rPr>
      <w:caps/>
    </w:rPr>
  </w:style>
  <w:style w:type="paragraph" w:customStyle="1" w:styleId="Version">
    <w:name w:val="Version"/>
    <w:rsid w:val="00632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8D1"/>
    <w:pPr>
      <w:keepNext w:val="0"/>
      <w:tabs>
        <w:tab w:val="right" w:pos="4176"/>
      </w:tabs>
      <w:ind w:left="198" w:hanging="198"/>
    </w:pPr>
    <w:rPr>
      <w:rFonts w:ascii="Garamond" w:hAnsi="Garamond"/>
    </w:rPr>
  </w:style>
  <w:style w:type="paragraph" w:styleId="IndexHeading">
    <w:name w:val="index heading"/>
    <w:basedOn w:val="Normal"/>
    <w:next w:val="Index1"/>
    <w:semiHidden/>
    <w:rsid w:val="006328D1"/>
    <w:pPr>
      <w:spacing w:before="120" w:after="120"/>
    </w:pPr>
    <w:rPr>
      <w:rFonts w:ascii="Arial" w:hAnsi="Arial"/>
      <w:b/>
      <w:color w:val="918585"/>
      <w:sz w:val="24"/>
    </w:rPr>
  </w:style>
  <w:style w:type="paragraph" w:styleId="Header">
    <w:name w:val="header"/>
    <w:basedOn w:val="Normal"/>
    <w:link w:val="HeaderChar"/>
    <w:rsid w:val="00632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8D1"/>
    <w:rPr>
      <w:rFonts w:ascii="Times New Roman" w:eastAsia="Times New Roman" w:hAnsi="Times New Roman" w:cs="Times New Roman"/>
      <w:sz w:val="16"/>
      <w:szCs w:val="20"/>
      <w:lang w:val="en-GB" w:eastAsia="en-US"/>
    </w:rPr>
  </w:style>
  <w:style w:type="paragraph" w:customStyle="1" w:styleId="Chapter">
    <w:name w:val="Chapter"/>
    <w:basedOn w:val="Normal"/>
    <w:rsid w:val="006328D1"/>
    <w:pPr>
      <w:spacing w:before="240"/>
    </w:pPr>
    <w:rPr>
      <w:rFonts w:ascii="Times New Roman" w:hAnsi="Times New Roman"/>
      <w:smallCaps/>
      <w:spacing w:val="80"/>
      <w:sz w:val="28"/>
    </w:rPr>
  </w:style>
  <w:style w:type="paragraph" w:customStyle="1" w:styleId="InChapter">
    <w:name w:val="InChapter"/>
    <w:basedOn w:val="Heading3"/>
    <w:rsid w:val="006328D1"/>
    <w:pPr>
      <w:spacing w:after="240"/>
      <w:outlineLvl w:val="9"/>
    </w:pPr>
    <w:rPr>
      <w:noProof/>
    </w:rPr>
  </w:style>
  <w:style w:type="paragraph" w:styleId="Index2">
    <w:name w:val="index 2"/>
    <w:basedOn w:val="Normal"/>
    <w:next w:val="Normal"/>
    <w:semiHidden/>
    <w:rsid w:val="006328D1"/>
    <w:pPr>
      <w:tabs>
        <w:tab w:val="right" w:pos="4176"/>
      </w:tabs>
      <w:ind w:left="568" w:hanging="284"/>
    </w:pPr>
    <w:rPr>
      <w:rFonts w:ascii="Garamond" w:hAnsi="Garamond"/>
    </w:rPr>
  </w:style>
  <w:style w:type="paragraph" w:customStyle="1" w:styleId="Byline">
    <w:name w:val="Byline"/>
    <w:rsid w:val="00632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8D1"/>
    <w:pPr>
      <w:tabs>
        <w:tab w:val="clear" w:pos="3600"/>
        <w:tab w:val="clear" w:pos="3958"/>
      </w:tabs>
      <w:jc w:val="right"/>
    </w:pPr>
  </w:style>
  <w:style w:type="character" w:styleId="Emphasis">
    <w:name w:val="Emphasis"/>
    <w:basedOn w:val="DefaultParagraphFont"/>
    <w:qFormat/>
    <w:rsid w:val="006328D1"/>
    <w:rPr>
      <w:i/>
    </w:rPr>
  </w:style>
  <w:style w:type="paragraph" w:styleId="Caption">
    <w:name w:val="caption"/>
    <w:basedOn w:val="BodyText"/>
    <w:next w:val="Normal"/>
    <w:qFormat/>
    <w:rsid w:val="006328D1"/>
    <w:pPr>
      <w:framePr w:w="2268" w:hSpace="181" w:vSpace="181" w:wrap="around" w:vAnchor="text" w:hAnchor="page" w:x="1135" w:y="285" w:anchorLock="1"/>
    </w:pPr>
    <w:rPr>
      <w:i/>
    </w:rPr>
  </w:style>
  <w:style w:type="paragraph" w:customStyle="1" w:styleId="MiniTOCTitle">
    <w:name w:val="MiniTOCTitle"/>
    <w:basedOn w:val="Heading4"/>
    <w:rsid w:val="006328D1"/>
    <w:pPr>
      <w:spacing w:before="240"/>
      <w:outlineLvl w:val="9"/>
    </w:pPr>
    <w:rPr>
      <w:noProof/>
      <w:sz w:val="24"/>
    </w:rPr>
  </w:style>
  <w:style w:type="paragraph" w:customStyle="1" w:styleId="MiniTOCItem">
    <w:name w:val="MiniTOCItem"/>
    <w:basedOn w:val="ListBullet"/>
    <w:rsid w:val="006328D1"/>
    <w:pPr>
      <w:numPr>
        <w:numId w:val="0"/>
      </w:numPr>
      <w:tabs>
        <w:tab w:val="right" w:leader="dot" w:pos="6521"/>
      </w:tabs>
      <w:spacing w:before="0" w:after="0"/>
    </w:pPr>
  </w:style>
  <w:style w:type="paragraph" w:customStyle="1" w:styleId="TOFTitle">
    <w:name w:val="TOFTitle"/>
    <w:basedOn w:val="TOCTitle"/>
    <w:rsid w:val="006328D1"/>
  </w:style>
  <w:style w:type="paragraph" w:styleId="TableofFigures">
    <w:name w:val="table of figures"/>
    <w:basedOn w:val="Normal"/>
    <w:next w:val="Normal"/>
    <w:semiHidden/>
    <w:rsid w:val="006328D1"/>
    <w:pPr>
      <w:tabs>
        <w:tab w:val="right" w:leader="dot" w:pos="9072"/>
      </w:tabs>
      <w:ind w:left="970" w:hanging="403"/>
    </w:pPr>
    <w:rPr>
      <w:rFonts w:ascii="Times New Roman" w:hAnsi="Times New Roman"/>
      <w:b/>
    </w:rPr>
  </w:style>
  <w:style w:type="paragraph" w:styleId="ListNumber">
    <w:name w:val="List Number"/>
    <w:basedOn w:val="List"/>
    <w:rsid w:val="006328D1"/>
    <w:pPr>
      <w:numPr>
        <w:numId w:val="12"/>
      </w:numPr>
    </w:pPr>
  </w:style>
  <w:style w:type="character" w:customStyle="1" w:styleId="WingdingSymbols">
    <w:name w:val="Wingding Symbols"/>
    <w:rsid w:val="006328D1"/>
    <w:rPr>
      <w:rFonts w:ascii="Wingdings" w:hAnsi="Wingdings"/>
    </w:rPr>
  </w:style>
  <w:style w:type="paragraph" w:customStyle="1" w:styleId="TableHeading">
    <w:name w:val="Table Heading"/>
    <w:basedOn w:val="HeadingBase"/>
    <w:rsid w:val="006328D1"/>
    <w:pPr>
      <w:keepLines/>
      <w:pBdr>
        <w:bottom w:val="single" w:sz="6" w:space="1" w:color="918585"/>
      </w:pBdr>
      <w:spacing w:before="240"/>
    </w:pPr>
  </w:style>
  <w:style w:type="character" w:customStyle="1" w:styleId="HotSpot">
    <w:name w:val="HotSpot"/>
    <w:rsid w:val="006328D1"/>
    <w:rPr>
      <w:color w:val="0033CC"/>
      <w:u w:val="none"/>
    </w:rPr>
  </w:style>
  <w:style w:type="paragraph" w:customStyle="1" w:styleId="BodyTextRight">
    <w:name w:val="Body Text Right"/>
    <w:basedOn w:val="BodyText"/>
    <w:rsid w:val="006328D1"/>
    <w:pPr>
      <w:spacing w:before="0" w:after="0"/>
      <w:jc w:val="right"/>
    </w:pPr>
  </w:style>
  <w:style w:type="paragraph" w:styleId="Index3">
    <w:name w:val="index 3"/>
    <w:basedOn w:val="ListNumber2"/>
    <w:next w:val="Normal"/>
    <w:semiHidden/>
    <w:rsid w:val="006328D1"/>
    <w:pPr>
      <w:numPr>
        <w:numId w:val="0"/>
      </w:numPr>
      <w:tabs>
        <w:tab w:val="right" w:leader="dot" w:pos="4176"/>
      </w:tabs>
    </w:pPr>
  </w:style>
  <w:style w:type="paragraph" w:styleId="ListNumber2">
    <w:name w:val="List Number 2"/>
    <w:basedOn w:val="List2"/>
    <w:rsid w:val="006328D1"/>
    <w:pPr>
      <w:numPr>
        <w:numId w:val="11"/>
      </w:numPr>
      <w:tabs>
        <w:tab w:val="clear" w:pos="1060"/>
      </w:tabs>
    </w:pPr>
  </w:style>
  <w:style w:type="paragraph" w:customStyle="1" w:styleId="MarginNote">
    <w:name w:val="Margin Note"/>
    <w:basedOn w:val="BodyText"/>
    <w:rsid w:val="00632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8D1"/>
    <w:rPr>
      <w:sz w:val="32"/>
    </w:rPr>
  </w:style>
  <w:style w:type="paragraph" w:customStyle="1" w:styleId="HeadingProcedure">
    <w:name w:val="Heading Procedure"/>
    <w:basedOn w:val="HeadingBase"/>
    <w:next w:val="Normal"/>
    <w:rsid w:val="006328D1"/>
    <w:pPr>
      <w:tabs>
        <w:tab w:val="left" w:pos="0"/>
      </w:tabs>
      <w:spacing w:before="120" w:after="60"/>
    </w:pPr>
    <w:rPr>
      <w:i/>
      <w:color w:val="918585"/>
      <w:sz w:val="22"/>
    </w:rPr>
  </w:style>
  <w:style w:type="paragraph" w:customStyle="1" w:styleId="TableBodyText">
    <w:name w:val="Table Body Text"/>
    <w:basedOn w:val="BodyText"/>
    <w:rsid w:val="006328D1"/>
    <w:pPr>
      <w:spacing w:before="60" w:after="60"/>
    </w:pPr>
  </w:style>
  <w:style w:type="paragraph" w:styleId="ListContinue">
    <w:name w:val="List Continue"/>
    <w:basedOn w:val="List"/>
    <w:rsid w:val="006328D1"/>
    <w:pPr>
      <w:ind w:firstLine="0"/>
    </w:pPr>
  </w:style>
  <w:style w:type="paragraph" w:customStyle="1" w:styleId="ListNote">
    <w:name w:val="List Note"/>
    <w:basedOn w:val="List"/>
    <w:rsid w:val="006328D1"/>
    <w:pPr>
      <w:pBdr>
        <w:top w:val="single" w:sz="6" w:space="2" w:color="918585"/>
        <w:bottom w:val="single" w:sz="6" w:space="2" w:color="918585"/>
      </w:pBdr>
      <w:tabs>
        <w:tab w:val="left" w:pos="1021"/>
      </w:tabs>
      <w:ind w:firstLine="0"/>
    </w:pPr>
  </w:style>
  <w:style w:type="paragraph" w:customStyle="1" w:styleId="Warning">
    <w:name w:val="Warning"/>
    <w:basedOn w:val="BodyText"/>
    <w:rsid w:val="006328D1"/>
    <w:pPr>
      <w:shd w:val="clear" w:color="auto" w:fill="D9D9D9"/>
      <w:tabs>
        <w:tab w:val="left" w:pos="992"/>
      </w:tabs>
      <w:ind w:left="119" w:right="119"/>
    </w:pPr>
    <w:rPr>
      <w:sz w:val="20"/>
    </w:rPr>
  </w:style>
  <w:style w:type="paragraph" w:customStyle="1" w:styleId="MarginIcons">
    <w:name w:val="Margin Icons"/>
    <w:basedOn w:val="BodyText"/>
    <w:rsid w:val="00632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8D1"/>
    <w:rPr>
      <w:rFonts w:ascii="Courier New" w:hAnsi="Courier New"/>
    </w:rPr>
  </w:style>
  <w:style w:type="paragraph" w:customStyle="1" w:styleId="NoteBullet">
    <w:name w:val="Note Bullet"/>
    <w:basedOn w:val="Note"/>
    <w:rsid w:val="006328D1"/>
    <w:pPr>
      <w:tabs>
        <w:tab w:val="clear" w:pos="680"/>
      </w:tabs>
      <w:spacing w:before="60" w:after="60"/>
    </w:pPr>
  </w:style>
  <w:style w:type="paragraph" w:customStyle="1" w:styleId="SubHeading2">
    <w:name w:val="SubHeading2"/>
    <w:basedOn w:val="HeadingBase"/>
    <w:rsid w:val="006328D1"/>
    <w:pPr>
      <w:spacing w:before="240" w:after="60"/>
    </w:pPr>
    <w:rPr>
      <w:sz w:val="20"/>
    </w:rPr>
  </w:style>
  <w:style w:type="paragraph" w:customStyle="1" w:styleId="SubHeading1">
    <w:name w:val="SubHeading1"/>
    <w:basedOn w:val="HeadingBase"/>
    <w:rsid w:val="006328D1"/>
    <w:pPr>
      <w:spacing w:before="240" w:after="60"/>
    </w:pPr>
    <w:rPr>
      <w:color w:val="918585"/>
      <w:sz w:val="22"/>
    </w:rPr>
  </w:style>
  <w:style w:type="paragraph" w:customStyle="1" w:styleId="SideHeading">
    <w:name w:val="Side Heading"/>
    <w:basedOn w:val="HeadingBase"/>
    <w:rsid w:val="00632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8D1"/>
    <w:pPr>
      <w:numPr>
        <w:numId w:val="13"/>
      </w:numPr>
    </w:pPr>
  </w:style>
  <w:style w:type="paragraph" w:styleId="PlainText">
    <w:name w:val="Plain Text"/>
    <w:basedOn w:val="Normal"/>
    <w:link w:val="PlainTextChar"/>
    <w:rsid w:val="006328D1"/>
    <w:rPr>
      <w:sz w:val="20"/>
    </w:rPr>
  </w:style>
  <w:style w:type="character" w:customStyle="1" w:styleId="PlainTextChar">
    <w:name w:val="Plain Text Char"/>
    <w:basedOn w:val="DefaultParagraphFont"/>
    <w:link w:val="PlainText"/>
    <w:rsid w:val="006328D1"/>
    <w:rPr>
      <w:rFonts w:ascii="Courier New" w:eastAsia="Times New Roman" w:hAnsi="Courier New" w:cs="Times New Roman"/>
      <w:sz w:val="20"/>
      <w:szCs w:val="20"/>
      <w:lang w:eastAsia="en-US"/>
    </w:rPr>
  </w:style>
  <w:style w:type="character" w:customStyle="1" w:styleId="MenuOption">
    <w:name w:val="Menu Option"/>
    <w:basedOn w:val="DefaultParagraphFont"/>
    <w:rsid w:val="006328D1"/>
    <w:rPr>
      <w:b/>
      <w:smallCaps/>
    </w:rPr>
  </w:style>
  <w:style w:type="paragraph" w:customStyle="1" w:styleId="TableListNumber">
    <w:name w:val="Table List Number"/>
    <w:basedOn w:val="ListNumber"/>
    <w:rsid w:val="006328D1"/>
    <w:pPr>
      <w:numPr>
        <w:numId w:val="0"/>
      </w:numPr>
    </w:pPr>
  </w:style>
  <w:style w:type="paragraph" w:styleId="TOC4">
    <w:name w:val="toc 4"/>
    <w:basedOn w:val="TOCBase"/>
    <w:next w:val="Normal"/>
    <w:semiHidden/>
    <w:rsid w:val="006328D1"/>
    <w:pPr>
      <w:tabs>
        <w:tab w:val="right" w:leader="dot" w:pos="9071"/>
      </w:tabs>
      <w:ind w:left="1701"/>
    </w:pPr>
  </w:style>
  <w:style w:type="paragraph" w:customStyle="1" w:styleId="ListAlpha">
    <w:name w:val="List Alpha"/>
    <w:basedOn w:val="List"/>
    <w:rsid w:val="006328D1"/>
    <w:pPr>
      <w:numPr>
        <w:numId w:val="10"/>
      </w:numPr>
    </w:pPr>
  </w:style>
  <w:style w:type="paragraph" w:customStyle="1" w:styleId="ListAlpha2">
    <w:name w:val="List Alpha 2"/>
    <w:basedOn w:val="List2"/>
    <w:rsid w:val="006328D1"/>
    <w:pPr>
      <w:numPr>
        <w:numId w:val="9"/>
      </w:numPr>
    </w:pPr>
  </w:style>
  <w:style w:type="paragraph" w:styleId="List2">
    <w:name w:val="List 2"/>
    <w:basedOn w:val="BodyText"/>
    <w:rsid w:val="006328D1"/>
    <w:pPr>
      <w:tabs>
        <w:tab w:val="left" w:pos="680"/>
      </w:tabs>
      <w:spacing w:before="60" w:after="60"/>
      <w:ind w:left="680" w:hanging="340"/>
    </w:pPr>
  </w:style>
  <w:style w:type="paragraph" w:styleId="List3">
    <w:name w:val="List 3"/>
    <w:basedOn w:val="BodyText"/>
    <w:rsid w:val="006328D1"/>
    <w:pPr>
      <w:tabs>
        <w:tab w:val="left" w:pos="1021"/>
      </w:tabs>
      <w:spacing w:before="60" w:after="60"/>
      <w:ind w:left="1020" w:hanging="340"/>
    </w:pPr>
  </w:style>
  <w:style w:type="paragraph" w:styleId="List4">
    <w:name w:val="List 4"/>
    <w:basedOn w:val="BodyText"/>
    <w:rsid w:val="006328D1"/>
    <w:pPr>
      <w:tabs>
        <w:tab w:val="left" w:pos="1361"/>
      </w:tabs>
      <w:spacing w:before="60" w:after="60"/>
      <w:ind w:left="1361" w:hanging="340"/>
    </w:pPr>
  </w:style>
  <w:style w:type="paragraph" w:styleId="List5">
    <w:name w:val="List 5"/>
    <w:basedOn w:val="BodyText"/>
    <w:rsid w:val="006328D1"/>
    <w:pPr>
      <w:tabs>
        <w:tab w:val="left" w:pos="1701"/>
      </w:tabs>
      <w:spacing w:before="60" w:after="60"/>
      <w:ind w:left="1701" w:hanging="340"/>
    </w:pPr>
  </w:style>
  <w:style w:type="paragraph" w:styleId="ListBullet4">
    <w:name w:val="List Bullet 4"/>
    <w:basedOn w:val="List4"/>
    <w:rsid w:val="006328D1"/>
    <w:pPr>
      <w:numPr>
        <w:numId w:val="4"/>
      </w:numPr>
    </w:pPr>
  </w:style>
  <w:style w:type="paragraph" w:styleId="ListBullet5">
    <w:name w:val="List Bullet 5"/>
    <w:basedOn w:val="List5"/>
    <w:rsid w:val="006328D1"/>
    <w:pPr>
      <w:numPr>
        <w:numId w:val="5"/>
      </w:numPr>
    </w:pPr>
  </w:style>
  <w:style w:type="paragraph" w:styleId="ListContinue2">
    <w:name w:val="List Continue 2"/>
    <w:basedOn w:val="List2"/>
    <w:rsid w:val="006328D1"/>
    <w:pPr>
      <w:ind w:firstLine="0"/>
    </w:pPr>
  </w:style>
  <w:style w:type="paragraph" w:styleId="ListContinue3">
    <w:name w:val="List Continue 3"/>
    <w:basedOn w:val="List3"/>
    <w:rsid w:val="006328D1"/>
    <w:pPr>
      <w:ind w:left="1021" w:firstLine="0"/>
    </w:pPr>
  </w:style>
  <w:style w:type="paragraph" w:styleId="ListContinue4">
    <w:name w:val="List Continue 4"/>
    <w:basedOn w:val="List4"/>
    <w:rsid w:val="006328D1"/>
    <w:pPr>
      <w:ind w:firstLine="0"/>
    </w:pPr>
  </w:style>
  <w:style w:type="paragraph" w:styleId="ListContinue5">
    <w:name w:val="List Continue 5"/>
    <w:basedOn w:val="List5"/>
    <w:rsid w:val="006328D1"/>
    <w:pPr>
      <w:ind w:firstLine="0"/>
    </w:pPr>
  </w:style>
  <w:style w:type="paragraph" w:styleId="ListNumber3">
    <w:name w:val="List Number 3"/>
    <w:basedOn w:val="List3"/>
    <w:rsid w:val="006328D1"/>
    <w:pPr>
      <w:numPr>
        <w:numId w:val="6"/>
      </w:numPr>
    </w:pPr>
  </w:style>
  <w:style w:type="paragraph" w:styleId="ListNumber4">
    <w:name w:val="List Number 4"/>
    <w:basedOn w:val="List4"/>
    <w:rsid w:val="006328D1"/>
    <w:pPr>
      <w:numPr>
        <w:numId w:val="7"/>
      </w:numPr>
    </w:pPr>
  </w:style>
  <w:style w:type="paragraph" w:styleId="ListNumber5">
    <w:name w:val="List Number 5"/>
    <w:basedOn w:val="List5"/>
    <w:rsid w:val="006328D1"/>
    <w:pPr>
      <w:numPr>
        <w:numId w:val="8"/>
      </w:numPr>
    </w:pPr>
  </w:style>
  <w:style w:type="paragraph" w:styleId="BlockText">
    <w:name w:val="Block Text"/>
    <w:basedOn w:val="Normal"/>
    <w:rsid w:val="006328D1"/>
    <w:pPr>
      <w:spacing w:after="120"/>
      <w:ind w:left="1440" w:right="1440"/>
    </w:pPr>
  </w:style>
  <w:style w:type="character" w:customStyle="1" w:styleId="Subscript">
    <w:name w:val="Subscript"/>
    <w:basedOn w:val="DefaultParagraphFont"/>
    <w:rsid w:val="006328D1"/>
    <w:rPr>
      <w:sz w:val="16"/>
      <w:vertAlign w:val="subscript"/>
    </w:rPr>
  </w:style>
  <w:style w:type="character" w:customStyle="1" w:styleId="Superscript">
    <w:name w:val="Superscript"/>
    <w:basedOn w:val="DefaultParagraphFont"/>
    <w:rsid w:val="006328D1"/>
    <w:rPr>
      <w:sz w:val="16"/>
      <w:vertAlign w:val="superscript"/>
    </w:rPr>
  </w:style>
  <w:style w:type="character" w:customStyle="1" w:styleId="Symbols">
    <w:name w:val="Symbols"/>
    <w:basedOn w:val="DefaultParagraphFont"/>
    <w:rsid w:val="006328D1"/>
    <w:rPr>
      <w:rFonts w:ascii="Symbol" w:hAnsi="Symbol"/>
    </w:rPr>
  </w:style>
  <w:style w:type="character" w:customStyle="1" w:styleId="MenuOptions">
    <w:name w:val="Menu Options"/>
    <w:basedOn w:val="DefaultParagraphFont"/>
    <w:rsid w:val="006328D1"/>
    <w:rPr>
      <w:rFonts w:ascii="Arial Narrow" w:hAnsi="Arial Narrow"/>
      <w:smallCaps/>
    </w:rPr>
  </w:style>
  <w:style w:type="character" w:customStyle="1" w:styleId="Buttons">
    <w:name w:val="Buttons"/>
    <w:basedOn w:val="DefaultParagraphFont"/>
    <w:rsid w:val="006328D1"/>
    <w:rPr>
      <w:b/>
    </w:rPr>
  </w:style>
  <w:style w:type="character" w:customStyle="1" w:styleId="Underlined">
    <w:name w:val="Underlined"/>
    <w:basedOn w:val="DefaultParagraphFont"/>
    <w:rsid w:val="006328D1"/>
    <w:rPr>
      <w:u w:val="single"/>
    </w:rPr>
  </w:style>
  <w:style w:type="paragraph" w:customStyle="1" w:styleId="TableBodyTextRight">
    <w:name w:val="Table Body Text Right"/>
    <w:basedOn w:val="TableBodyText"/>
    <w:rsid w:val="006328D1"/>
    <w:pPr>
      <w:widowControl w:val="0"/>
      <w:autoSpaceDE w:val="0"/>
      <w:autoSpaceDN w:val="0"/>
      <w:adjustRightInd w:val="0"/>
      <w:jc w:val="right"/>
    </w:pPr>
    <w:rPr>
      <w:rFonts w:cs="Arial"/>
      <w:szCs w:val="18"/>
    </w:rPr>
  </w:style>
  <w:style w:type="paragraph" w:customStyle="1" w:styleId="CopyrightText">
    <w:name w:val="Copyright Text"/>
    <w:basedOn w:val="BodyText"/>
    <w:rsid w:val="006328D1"/>
    <w:rPr>
      <w:sz w:val="18"/>
    </w:rPr>
  </w:style>
  <w:style w:type="paragraph" w:customStyle="1" w:styleId="BodySmallRight">
    <w:name w:val="Body Small Right"/>
    <w:basedOn w:val="BodyTextRight"/>
    <w:rsid w:val="006328D1"/>
    <w:rPr>
      <w:sz w:val="18"/>
      <w:szCs w:val="18"/>
    </w:rPr>
  </w:style>
  <w:style w:type="paragraph" w:customStyle="1" w:styleId="MarginEdition">
    <w:name w:val="Margin Edition"/>
    <w:basedOn w:val="MarginNote"/>
    <w:rsid w:val="006328D1"/>
    <w:pPr>
      <w:spacing w:before="0" w:after="0"/>
    </w:pPr>
    <w:rPr>
      <w:rFonts w:ascii="Times New Roman" w:hAnsi="Times New Roman"/>
      <w:color w:val="999999"/>
    </w:rPr>
  </w:style>
  <w:style w:type="paragraph" w:customStyle="1" w:styleId="Spacer">
    <w:name w:val="Spacer"/>
    <w:basedOn w:val="Normal"/>
    <w:rsid w:val="006328D1"/>
    <w:rPr>
      <w:sz w:val="2"/>
      <w:szCs w:val="2"/>
    </w:rPr>
  </w:style>
  <w:style w:type="character" w:customStyle="1" w:styleId="Small">
    <w:name w:val="Small"/>
    <w:basedOn w:val="DefaultParagraphFont"/>
    <w:rsid w:val="006328D1"/>
    <w:rPr>
      <w:sz w:val="16"/>
    </w:rPr>
  </w:style>
  <w:style w:type="paragraph" w:customStyle="1" w:styleId="WideTable">
    <w:name w:val="Wide Table"/>
    <w:basedOn w:val="Normal"/>
    <w:rsid w:val="006328D1"/>
    <w:pPr>
      <w:ind w:left="-1418"/>
    </w:pPr>
    <w:rPr>
      <w:sz w:val="2"/>
      <w:szCs w:val="2"/>
    </w:rPr>
  </w:style>
  <w:style w:type="character" w:styleId="PageNumber">
    <w:name w:val="page number"/>
    <w:basedOn w:val="DefaultParagraphFont"/>
    <w:rsid w:val="006328D1"/>
  </w:style>
  <w:style w:type="paragraph" w:styleId="Quote">
    <w:name w:val="Quote"/>
    <w:basedOn w:val="Heading1"/>
    <w:link w:val="QuoteChar"/>
    <w:qFormat/>
    <w:rsid w:val="006328D1"/>
    <w:rPr>
      <w:b w:val="0"/>
      <w:sz w:val="72"/>
      <w:szCs w:val="72"/>
      <w:lang w:val="en-NZ"/>
    </w:rPr>
  </w:style>
  <w:style w:type="character" w:customStyle="1" w:styleId="QuoteChar">
    <w:name w:val="Quote Char"/>
    <w:basedOn w:val="DefaultParagraphFont"/>
    <w:link w:val="Quote"/>
    <w:rsid w:val="00632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8D1"/>
    <w:pPr>
      <w:pageBreakBefore/>
    </w:pPr>
  </w:style>
  <w:style w:type="paragraph" w:customStyle="1" w:styleId="Border">
    <w:name w:val="Border"/>
    <w:basedOn w:val="Normal"/>
    <w:qFormat/>
    <w:rsid w:val="00632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8D1"/>
    <w:rPr>
      <w:b/>
      <w:bCs/>
      <w:i/>
      <w:iCs/>
      <w:color w:val="auto"/>
    </w:rPr>
  </w:style>
  <w:style w:type="paragraph" w:styleId="IntenseQuote">
    <w:name w:val="Intense Quote"/>
    <w:basedOn w:val="Normal"/>
    <w:next w:val="Normal"/>
    <w:link w:val="IntenseQuoteChar"/>
    <w:uiPriority w:val="30"/>
    <w:qFormat/>
    <w:rsid w:val="00632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8D1"/>
    <w:rPr>
      <w:smallCaps/>
      <w:color w:val="auto"/>
      <w:u w:val="single"/>
    </w:rPr>
  </w:style>
  <w:style w:type="character" w:styleId="IntenseReference">
    <w:name w:val="Intense Reference"/>
    <w:basedOn w:val="DefaultParagraphFont"/>
    <w:uiPriority w:val="32"/>
    <w:qFormat/>
    <w:rsid w:val="006328D1"/>
    <w:rPr>
      <w:b/>
      <w:bCs/>
      <w:smallCaps/>
      <w:color w:val="auto"/>
      <w:spacing w:val="5"/>
      <w:u w:val="single"/>
    </w:rPr>
  </w:style>
  <w:style w:type="paragraph" w:customStyle="1" w:styleId="2ColumnHeading">
    <w:name w:val="2Column Heading"/>
    <w:basedOn w:val="BodyText"/>
    <w:qFormat/>
    <w:rsid w:val="006328D1"/>
    <w:pPr>
      <w:spacing w:after="60"/>
      <w:ind w:left="-2268"/>
    </w:pPr>
    <w:rPr>
      <w:b/>
    </w:rPr>
  </w:style>
  <w:style w:type="paragraph" w:customStyle="1" w:styleId="Heading1TOC">
    <w:name w:val="Heading1 TOC"/>
    <w:basedOn w:val="Normal"/>
    <w:qFormat/>
    <w:rsid w:val="006328D1"/>
    <w:pPr>
      <w:spacing w:before="240" w:after="120"/>
    </w:pPr>
    <w:rPr>
      <w:rFonts w:ascii="Times New Roman" w:hAnsi="Times New Roman"/>
      <w:b/>
      <w:sz w:val="32"/>
    </w:rPr>
  </w:style>
  <w:style w:type="paragraph" w:customStyle="1" w:styleId="Heading2TOC">
    <w:name w:val="Heading2 TOC"/>
    <w:basedOn w:val="Normal"/>
    <w:qFormat/>
    <w:rsid w:val="006328D1"/>
    <w:pPr>
      <w:spacing w:before="240" w:after="60"/>
    </w:pPr>
    <w:rPr>
      <w:rFonts w:ascii="Times New Roman" w:hAnsi="Times New Roman"/>
      <w:b/>
      <w:sz w:val="28"/>
    </w:rPr>
  </w:style>
  <w:style w:type="character" w:customStyle="1" w:styleId="Underline">
    <w:name w:val="Underline"/>
    <w:basedOn w:val="DefaultParagraphFont"/>
    <w:qFormat/>
    <w:rsid w:val="006328D1"/>
    <w:rPr>
      <w:u w:val="single"/>
    </w:rPr>
  </w:style>
  <w:style w:type="character" w:customStyle="1" w:styleId="BoldandItalics">
    <w:name w:val="Bold and Italics"/>
    <w:qFormat/>
    <w:rsid w:val="006328D1"/>
    <w:rPr>
      <w:b/>
      <w:i/>
      <w:u w:val="none"/>
    </w:rPr>
  </w:style>
  <w:style w:type="paragraph" w:styleId="BalloonText">
    <w:name w:val="Balloon Text"/>
    <w:basedOn w:val="Normal"/>
    <w:link w:val="BalloonTextChar"/>
    <w:rsid w:val="006328D1"/>
    <w:rPr>
      <w:rFonts w:ascii="Tahoma" w:hAnsi="Tahoma" w:cs="Tahoma"/>
      <w:sz w:val="16"/>
      <w:szCs w:val="16"/>
    </w:rPr>
  </w:style>
  <w:style w:type="character" w:customStyle="1" w:styleId="BalloonTextChar">
    <w:name w:val="Balloon Text Char"/>
    <w:basedOn w:val="DefaultParagraphFont"/>
    <w:link w:val="BalloonText"/>
    <w:rsid w:val="00632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8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8D1"/>
    <w:rPr>
      <w:b/>
      <w:color w:val="660033"/>
      <w:spacing w:val="0"/>
    </w:rPr>
  </w:style>
  <w:style w:type="paragraph" w:customStyle="1" w:styleId="Nameditemlist">
    <w:name w:val="Named item list"/>
    <w:basedOn w:val="BodyText"/>
    <w:qFormat/>
    <w:rsid w:val="006328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3248</Words>
  <Characters>21002</Characters>
  <Application>Microsoft Office Word</Application>
  <DocSecurity>0</DocSecurity>
  <Lines>727</Lines>
  <Paragraphs>278</Paragraphs>
  <ScaleCrop>false</ScaleCrop>
  <Company>Author-it Software Corporation Ltd.</Company>
  <LinksUpToDate>false</LinksUpToDate>
  <CharactersWithSpaces>24066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UETTDRDS52A Design power system transmission, sub-transmission and zone substation buildings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2012-10-10T09:16:00Z</dcterms:created>
  <dcterms:modified xsi:type="dcterms:W3CDTF">2012-10-10T09:16:00Z</dcterms:modified>
</cp:coreProperties>
</file>