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6C0" w:rsidP="00BC16C0">
      <w:pPr>
        <w:pStyle w:val="Title"/>
      </w:pPr>
      <w:r>
        <w:fldChar w:fldCharType="begin"/>
      </w:r>
      <w:r>
        <w:instrText xml:space="preserve"> TITLE   \* MERGEFORMAT </w:instrText>
      </w:r>
      <w:r>
        <w:fldChar w:fldCharType="separate"/>
      </w:r>
      <w:r>
        <w:t>UETTDRDS50A Design customer power system substations</w:t>
      </w:r>
      <w:r>
        <w:fldChar w:fldCharType="end"/>
      </w:r>
    </w:p>
    <w:p w:rsidR="00BC16C0" w:rsidP="00BC16C0">
      <w:pPr>
        <w:pStyle w:val="Version"/>
        <w:sectPr w:rsidSect="00212E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E9E" w:rsidP="00212E9E">
      <w:pPr>
        <w:pStyle w:val="SuperHeading"/>
      </w:pPr>
      <w:r w:rsidRPr="00212E9E">
        <w:t>UETTDRDS50A Design customer power system substations</w:t>
      </w:r>
    </w:p>
    <w:p w:rsidR="00000000" w:rsidRPr="00212E9E" w:rsidP="00212E9E">
      <w:pPr>
        <w:pStyle w:val="Heading1"/>
      </w:pPr>
      <w:bookmarkStart w:id="1" w:name="O_463631"/>
      <w:bookmarkEnd w:id="1"/>
      <w:r w:rsidRPr="00212E9E">
        <w:t>Modification History</w:t>
      </w:r>
    </w:p>
    <w:p w:rsidR="00000000" w:rsidRPr="00212E9E" w:rsidP="00212E9E">
      <w:pPr>
        <w:pStyle w:val="BodyText"/>
      </w:pPr>
      <w:r w:rsidRPr="00212E9E">
        <w:t>Not applicable.</w:t>
      </w:r>
    </w:p>
    <w:p w:rsidR="00000000" w:rsidRPr="00212E9E" w:rsidP="00212E9E">
      <w:pPr>
        <w:pStyle w:val="AllowPageBreak"/>
      </w:pPr>
    </w:p>
    <w:p w:rsidR="00000000" w:rsidRPr="00212E9E" w:rsidP="00212E9E">
      <w:pPr>
        <w:pStyle w:val="Heading1"/>
      </w:pPr>
      <w:bookmarkStart w:id="2" w:name="O_463629"/>
      <w:bookmarkEnd w:id="2"/>
      <w:r w:rsidRPr="00212E9E">
        <w:t>Unit Descriptor</w:t>
      </w:r>
    </w:p>
    <w:tbl>
      <w:tblPr>
        <w:tblW w:w="0" w:type="auto"/>
        <w:tblLayout w:type="fixed"/>
        <w:tblCellMar>
          <w:left w:w="62" w:type="dxa"/>
          <w:right w:w="62" w:type="dxa"/>
        </w:tblCellMar>
        <w:tblLook w:val="0000"/>
      </w:tblPr>
      <w:tblGrid>
        <w:gridCol w:w="2700"/>
        <w:gridCol w:w="5760"/>
      </w:tblGrid>
      <w:tr w:rsidTr="00BC16C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rPr>
                <w:rStyle w:val="SpecialBold"/>
              </w:rPr>
              <w:t>1)</w:t>
            </w:r>
            <w:r w:rsidRPr="00212E9E">
              <w:t xml:space="preserve"> </w:t>
            </w:r>
            <w:r w:rsidRPr="00212E9E">
              <w:rPr>
                <w:rStyle w:val="SpecialBold"/>
              </w:rPr>
              <w:t>Scope:</w:t>
            </w:r>
          </w:p>
        </w:tc>
      </w:tr>
      <w:tr w:rsidTr="00BC16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12E9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rPr>
                <w:rStyle w:val="SpecialBold"/>
              </w:rPr>
              <w:t>1.1) Descriptor</w:t>
            </w:r>
          </w:p>
        </w:tc>
      </w:tr>
      <w:tr w:rsidTr="00BC16C0">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t>This competency standard unit covers the design of basic primary and secondary plant within a customer substation. Such designs will usually include relay-operated HV switchgear, distribution transformers, LV switchgear, including customer distribution boa</w:t>
            </w:r>
            <w:r w:rsidRPr="00212E9E">
              <w:t>rds. The design may include minor civil engineering aspects and must conform to relevant Australian standards, safety regulations, environmental standards and customer requirements taking into account costs as an important criterion.</w:t>
            </w:r>
          </w:p>
        </w:tc>
      </w:tr>
    </w:tbl>
    <w:p w:rsidR="00000000" w:rsidRPr="00212E9E" w:rsidP="00212E9E">
      <w:pPr>
        <w:pStyle w:val="BodyText"/>
      </w:pPr>
    </w:p>
    <w:p w:rsidR="00000000" w:rsidRPr="00212E9E" w:rsidP="00212E9E">
      <w:pPr>
        <w:pStyle w:val="AllowPageBreak"/>
      </w:pPr>
    </w:p>
    <w:p w:rsidR="00000000" w:rsidRPr="00212E9E" w:rsidP="00212E9E">
      <w:pPr>
        <w:pStyle w:val="Heading1"/>
      </w:pPr>
      <w:bookmarkStart w:id="3" w:name="O_463618"/>
      <w:bookmarkEnd w:id="3"/>
      <w:r w:rsidRPr="00212E9E">
        <w:t>App</w:t>
      </w:r>
      <w:r w:rsidRPr="00212E9E">
        <w:t>lication of the Unit</w:t>
      </w:r>
    </w:p>
    <w:tbl>
      <w:tblPr>
        <w:tblW w:w="0" w:type="auto"/>
        <w:tblLayout w:type="fixed"/>
        <w:tblCellMar>
          <w:left w:w="62" w:type="dxa"/>
          <w:right w:w="62" w:type="dxa"/>
        </w:tblCellMar>
        <w:tblLook w:val="0000"/>
      </w:tblPr>
      <w:tblGrid>
        <w:gridCol w:w="2672"/>
        <w:gridCol w:w="5699"/>
      </w:tblGrid>
      <w:tr w:rsidTr="00BC16C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rPr>
                <w:rStyle w:val="SpecialBold"/>
              </w:rPr>
              <w:t>2)</w:t>
            </w:r>
          </w:p>
        </w:tc>
      </w:tr>
      <w:tr w:rsidTr="00BC16C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t>This competency standard Unit is intended to augment formally acquired competencies. It is suitable for employment-based programs under an approved contract of training..</w:t>
            </w:r>
          </w:p>
        </w:tc>
      </w:tr>
    </w:tbl>
    <w:p w:rsidR="00000000" w:rsidRPr="00212E9E" w:rsidP="00212E9E">
      <w:pPr>
        <w:pStyle w:val="BodyText"/>
      </w:pPr>
    </w:p>
    <w:p w:rsidR="00000000" w:rsidRPr="00212E9E" w:rsidP="00212E9E">
      <w:pPr>
        <w:pStyle w:val="AllowPageBreak"/>
      </w:pPr>
    </w:p>
    <w:p w:rsidR="00000000" w:rsidRPr="00212E9E" w:rsidP="00212E9E">
      <w:pPr>
        <w:pStyle w:val="Heading1"/>
      </w:pPr>
      <w:bookmarkStart w:id="4" w:name="O_463625"/>
      <w:bookmarkEnd w:id="4"/>
      <w:r w:rsidRPr="00212E9E">
        <w:t>Licensing/Regulatory Information</w:t>
      </w:r>
    </w:p>
    <w:tbl>
      <w:tblPr>
        <w:tblW w:w="0" w:type="auto"/>
        <w:tblLayout w:type="fixed"/>
        <w:tblCellMar>
          <w:left w:w="62" w:type="dxa"/>
          <w:right w:w="62" w:type="dxa"/>
        </w:tblCellMar>
        <w:tblLook w:val="0000"/>
      </w:tblPr>
      <w:tblGrid>
        <w:gridCol w:w="2700"/>
        <w:gridCol w:w="5760"/>
      </w:tblGrid>
      <w:tr w:rsidTr="00BC16C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rPr>
                <w:rStyle w:val="SpecialBold"/>
              </w:rPr>
              <w:t xml:space="preserve">3) </w:t>
            </w:r>
          </w:p>
        </w:tc>
      </w:tr>
      <w:tr w:rsidTr="00BC16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t>The skills and knowledge described in this unit may require a licence/registration to practice in the work place subject to regulations for undertaking of electrical work. Practice in workplace and</w:t>
            </w:r>
            <w:r w:rsidRPr="00212E9E">
              <w:t xml:space="preserve"> during training is also subject to regulations directly related to Occupational Health and Safety, electricity/telecommunications/gas/water industry </w:t>
            </w:r>
            <w:r w:rsidRPr="00212E9E">
              <w:t>safety and compliance, industrial relations, environmental protection, anti discrimination and training. C</w:t>
            </w:r>
            <w:r w:rsidRPr="00212E9E">
              <w:t xml:space="preserve">ommonwealth, State/Territory or Local Government legislation and regulations may exist that limits the age of operating certain equipment. </w:t>
            </w:r>
          </w:p>
        </w:tc>
      </w:tr>
    </w:tbl>
    <w:p w:rsidR="00000000" w:rsidRPr="00212E9E" w:rsidP="00212E9E">
      <w:pPr>
        <w:pStyle w:val="BodyText"/>
      </w:pPr>
    </w:p>
    <w:p w:rsidR="00000000" w:rsidRPr="00212E9E" w:rsidP="00212E9E">
      <w:pPr>
        <w:pStyle w:val="AllowPageBreak"/>
      </w:pPr>
    </w:p>
    <w:p w:rsidR="00000000" w:rsidRPr="00212E9E" w:rsidP="00212E9E">
      <w:pPr>
        <w:pStyle w:val="Heading1"/>
      </w:pPr>
      <w:bookmarkStart w:id="5" w:name="O_463626"/>
      <w:bookmarkEnd w:id="5"/>
      <w:r w:rsidRPr="00212E9E">
        <w:t>Pre-Requisites</w:t>
      </w:r>
    </w:p>
    <w:tbl>
      <w:tblPr>
        <w:tblW w:w="0" w:type="auto"/>
        <w:tblLayout w:type="fixed"/>
        <w:tblCellMar>
          <w:left w:w="62" w:type="dxa"/>
          <w:right w:w="62" w:type="dxa"/>
        </w:tblCellMar>
        <w:tblLook w:val="0000"/>
      </w:tblPr>
      <w:tblGrid>
        <w:gridCol w:w="2691"/>
        <w:gridCol w:w="9"/>
        <w:gridCol w:w="2070"/>
        <w:gridCol w:w="3690"/>
      </w:tblGrid>
      <w:tr w:rsidTr="00BC16C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rPr>
                <w:rStyle w:val="SpecialBold"/>
              </w:rPr>
              <w:t xml:space="preserve">4) </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rPr>
                <w:rStyle w:val="SpecialBold"/>
              </w:rPr>
              <w:t>4.1)</w:t>
            </w:r>
          </w:p>
        </w:tc>
      </w:tr>
      <w:tr w:rsidTr="00BC16C0">
        <w:tblPrEx>
          <w:tblW w:w="0" w:type="auto"/>
          <w:tblLayout w:type="fixed"/>
          <w:tblCellMar>
            <w:left w:w="62" w:type="dxa"/>
            <w:right w:w="62" w:type="dxa"/>
          </w:tblCellMar>
          <w:tblLook w:val="0000"/>
        </w:tblPrEx>
        <w:tc>
          <w:tcPr>
            <w:tcW w:w="26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9" w:type="dxa"/>
            <w:gridSpan w:val="3"/>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t>Granting of competency in this unit shall be made only after competency in the following unit(s) has/have been confirmed.</w:t>
            </w:r>
          </w:p>
          <w:p w:rsidR="00000000" w:rsidRPr="00212E9E" w:rsidP="00212E9E">
            <w:pPr>
              <w:pStyle w:val="BodyText"/>
            </w:pPr>
            <w:r w:rsidRPr="00212E9E">
              <w:t xml:space="preserve">Where pre-requisite pathways have been identified. All competencies in the Common Unit Group must be have been completed plus all the </w:t>
            </w:r>
            <w:r w:rsidRPr="00212E9E">
              <w:t>competencies in one (1) of the identified Pathway Unit Group(s):</w:t>
            </w:r>
          </w:p>
          <w:p w:rsidR="00000000" w:rsidP="00212E9E">
            <w:pPr>
              <w:pStyle w:val="BodyText"/>
              <w:rPr>
                <w:lang w:val="en-NZ"/>
              </w:rPr>
            </w:pPr>
            <w:r w:rsidRPr="00212E9E">
              <w:t>Common Unit Group</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Unit Code</w:t>
            </w:r>
          </w:p>
        </w:tc>
        <w:tc>
          <w:tcPr>
            <w:tcW w:w="3690"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Unit Title</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Apply Occupational Health and Safety regulations, codes and practices in the workplace</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Fabricate, assemble and dismantle utilities industry components</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Use drawings, diagrams, schedules, standards, codes and specifications</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Apply sustainable energy and environmental procedures</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 xml:space="preserve">Working safely near live </w:t>
            </w:r>
            <w:r w:rsidRPr="00212E9E">
              <w:t xml:space="preserve">electrical apparatus </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Implement and monitor the power system organisational OHS policies, procedures and programs</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 xml:space="preserve">Implement and monitor the power </w:t>
            </w:r>
            <w:r w:rsidRPr="00212E9E">
              <w:t>system environmental and sustainable energy management policies and procedures</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Pathway Unit Group 1</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Solve problems in d.c. Circuits</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Solve problems in electromagnetic devices and related circuits</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Solve problems in electromagnetic devices and related circuits</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UETTDRDS39A</w:t>
            </w:r>
          </w:p>
        </w:tc>
        <w:tc>
          <w:tcPr>
            <w:tcW w:w="369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Prepare and manage detailed construction plans for electrical power system infrastructure</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UETTDRDS45A</w:t>
            </w:r>
          </w:p>
        </w:tc>
        <w:tc>
          <w:tcPr>
            <w:tcW w:w="369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Organise and implement ESI line and easement surveys</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Pathway Unit Group 2</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Solve problems in d.c. Circuits</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UEENEEE125A</w:t>
            </w:r>
          </w:p>
        </w:tc>
        <w:tc>
          <w:tcPr>
            <w:tcW w:w="369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Provide engineering solutions for problems in complex multiple path circuits problems</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UEENEEE126A</w:t>
            </w:r>
          </w:p>
        </w:tc>
        <w:tc>
          <w:tcPr>
            <w:tcW w:w="369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Provide solutions to basic engineering computational problems</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Solve problems in electromagnetic devices and related circuits</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Solve problems in electromagnetic devices and related circuits</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UEENEEG149A</w:t>
            </w:r>
          </w:p>
        </w:tc>
        <w:tc>
          <w:tcPr>
            <w:tcW w:w="369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Provide engineering solutions to problems in complex polyphase power circuits</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UETTDRDS43A</w:t>
            </w:r>
          </w:p>
        </w:tc>
        <w:tc>
          <w:tcPr>
            <w:tcW w:w="369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Develop high voltage and low voltage distribution protection systems</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Pathway Unit Gro</w:t>
            </w:r>
            <w:r w:rsidRPr="00212E9E">
              <w:t>up 3</w:t>
            </w:r>
          </w:p>
        </w:tc>
      </w:tr>
      <w:tr w:rsidTr="00BC16C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12E9E">
            <w:pPr>
              <w:pStyle w:val="BodyText"/>
              <w:rPr>
                <w:lang w:val="en-NZ"/>
              </w:rPr>
            </w:pPr>
            <w:r w:rsidRPr="00212E9E">
              <w:t>UETTDRDS44A</w:t>
            </w:r>
          </w:p>
        </w:tc>
        <w:tc>
          <w:tcPr>
            <w:tcW w:w="3690" w:type="dxa"/>
            <w:tcBorders>
              <w:top w:val="nil"/>
              <w:left w:val="nil"/>
              <w:bottom w:val="nil"/>
              <w:right w:val="nil"/>
            </w:tcBorders>
            <w:tcMar>
              <w:top w:w="0" w:type="dxa"/>
              <w:left w:w="62" w:type="dxa"/>
              <w:bottom w:w="0" w:type="dxa"/>
              <w:right w:w="62" w:type="dxa"/>
            </w:tcMar>
            <w:vAlign w:val="center"/>
          </w:tcPr>
          <w:p w:rsidR="00000000" w:rsidRPr="00212E9E" w:rsidP="00212E9E">
            <w:pPr>
              <w:pStyle w:val="BodyText"/>
            </w:pPr>
            <w:r w:rsidRPr="00212E9E">
              <w:t>Design power system zone substations modifications</w:t>
            </w:r>
          </w:p>
        </w:tc>
      </w:tr>
    </w:tbl>
    <w:p w:rsidR="00000000" w:rsidRPr="00212E9E" w:rsidP="00212E9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C16C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rPr>
                <w:rStyle w:val="SpecialBold"/>
              </w:rPr>
              <w:t xml:space="preserve">4.2) </w:t>
            </w:r>
          </w:p>
        </w:tc>
      </w:tr>
      <w:tr w:rsidTr="00BC16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Participants are best equipped to achieve this unit if they have reading, writing and numeracy skills indicated by the following scal</w:t>
            </w:r>
            <w:r w:rsidRPr="00212E9E">
              <w:t>es. Description of each scale is given in Volume 2, Part 3 “Literacy and Numeracy”</w:t>
            </w:r>
          </w:p>
        </w:tc>
      </w:tr>
      <w:tr w:rsidTr="00BC16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Reading</w:t>
            </w:r>
          </w:p>
        </w:tc>
        <w:tc>
          <w:tcPr>
            <w:tcW w:w="810"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5</w:t>
            </w:r>
          </w:p>
        </w:tc>
        <w:tc>
          <w:tcPr>
            <w:tcW w:w="990"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Writing</w:t>
            </w:r>
          </w:p>
        </w:tc>
        <w:tc>
          <w:tcPr>
            <w:tcW w:w="900"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5</w:t>
            </w:r>
          </w:p>
        </w:tc>
        <w:tc>
          <w:tcPr>
            <w:tcW w:w="1260"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Numeracy</w:t>
            </w:r>
          </w:p>
        </w:tc>
        <w:tc>
          <w:tcPr>
            <w:tcW w:w="72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t>5</w:t>
            </w:r>
          </w:p>
        </w:tc>
      </w:tr>
    </w:tbl>
    <w:p w:rsidR="00000000" w:rsidRPr="00212E9E" w:rsidP="00212E9E">
      <w:pPr>
        <w:pStyle w:val="BodyText"/>
      </w:pPr>
    </w:p>
    <w:p w:rsidR="00000000" w:rsidRPr="00212E9E" w:rsidP="00212E9E">
      <w:pPr>
        <w:pStyle w:val="AllowPageBreak"/>
      </w:pPr>
    </w:p>
    <w:p w:rsidR="00000000" w:rsidRPr="00212E9E" w:rsidP="00212E9E">
      <w:pPr>
        <w:pStyle w:val="Heading1"/>
      </w:pPr>
      <w:bookmarkStart w:id="6" w:name="O_463622"/>
      <w:bookmarkEnd w:id="6"/>
      <w:r w:rsidRPr="00212E9E">
        <w:t>Employability Skills Information</w:t>
      </w:r>
    </w:p>
    <w:tbl>
      <w:tblPr>
        <w:tblW w:w="0" w:type="auto"/>
        <w:tblLayout w:type="fixed"/>
        <w:tblCellMar>
          <w:left w:w="62" w:type="dxa"/>
          <w:right w:w="62" w:type="dxa"/>
        </w:tblCellMar>
        <w:tblLook w:val="0000"/>
      </w:tblPr>
      <w:tblGrid>
        <w:gridCol w:w="2700"/>
        <w:gridCol w:w="5760"/>
      </w:tblGrid>
      <w:tr w:rsidTr="00BC16C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rPr>
                <w:rStyle w:val="SpecialBold"/>
              </w:rPr>
              <w:t xml:space="preserve">5) </w:t>
            </w:r>
          </w:p>
        </w:tc>
      </w:tr>
      <w:tr w:rsidTr="00BC16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12E9E">
              <w:t>requirements.</w:t>
            </w:r>
          </w:p>
        </w:tc>
      </w:tr>
    </w:tbl>
    <w:p w:rsidR="00000000" w:rsidRPr="00212E9E" w:rsidP="00212E9E">
      <w:pPr>
        <w:pStyle w:val="BodyText"/>
      </w:pPr>
    </w:p>
    <w:p w:rsidR="00000000" w:rsidRPr="00212E9E" w:rsidP="00212E9E">
      <w:pPr>
        <w:pStyle w:val="AllowPageBreak"/>
      </w:pPr>
    </w:p>
    <w:p w:rsidR="00000000" w:rsidRPr="00212E9E" w:rsidP="00212E9E">
      <w:pPr>
        <w:pStyle w:val="Heading1"/>
      </w:pPr>
      <w:bookmarkStart w:id="7" w:name="O_463621"/>
      <w:bookmarkEnd w:id="7"/>
      <w:r w:rsidRPr="00212E9E">
        <w:t>Elements and Performance Criteria Pre-Content</w:t>
      </w:r>
    </w:p>
    <w:tbl>
      <w:tblPr>
        <w:tblW w:w="0" w:type="auto"/>
        <w:tblLayout w:type="fixed"/>
        <w:tblCellMar>
          <w:left w:w="62" w:type="dxa"/>
          <w:right w:w="62" w:type="dxa"/>
        </w:tblCellMar>
        <w:tblLook w:val="0000"/>
      </w:tblPr>
      <w:tblGrid>
        <w:gridCol w:w="2700"/>
        <w:gridCol w:w="5760"/>
      </w:tblGrid>
      <w:tr w:rsidTr="00BC16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rPr>
                <w:rStyle w:val="SpecialBold"/>
              </w:rPr>
              <w:t>6)</w:t>
            </w:r>
            <w:r w:rsidRPr="00212E9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t>Performance Criteria describe the required performance needed to demonstrate achievement of the element. Assessment of performance is to be consistent with the Evidence Guide.</w:t>
            </w:r>
          </w:p>
        </w:tc>
      </w:tr>
    </w:tbl>
    <w:p w:rsidR="00000000" w:rsidRPr="00212E9E" w:rsidP="00212E9E">
      <w:pPr>
        <w:pStyle w:val="BodyText"/>
      </w:pPr>
    </w:p>
    <w:p w:rsidR="00000000" w:rsidRPr="00212E9E" w:rsidP="00212E9E">
      <w:pPr>
        <w:pStyle w:val="AllowPageBreak"/>
      </w:pPr>
    </w:p>
    <w:p w:rsidR="00000000" w:rsidRPr="00212E9E" w:rsidP="00212E9E">
      <w:pPr>
        <w:pStyle w:val="Heading1"/>
      </w:pPr>
      <w:bookmarkStart w:id="8" w:name="O_463620"/>
      <w:bookmarkEnd w:id="8"/>
      <w:r w:rsidRPr="00212E9E">
        <w:t>Elements and Performance Criteria</w:t>
      </w:r>
    </w:p>
    <w:tbl>
      <w:tblPr>
        <w:tblW w:w="0" w:type="auto"/>
        <w:tblLayout w:type="fixed"/>
        <w:tblCellMar>
          <w:left w:w="62" w:type="dxa"/>
          <w:right w:w="62" w:type="dxa"/>
        </w:tblCellMar>
        <w:tblLook w:val="0000"/>
      </w:tblPr>
      <w:tblGrid>
        <w:gridCol w:w="405"/>
        <w:gridCol w:w="2295"/>
        <w:gridCol w:w="831"/>
        <w:gridCol w:w="4929"/>
      </w:tblGrid>
      <w:tr w:rsidTr="00BC16C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rPr>
                <w:rStyle w:val="SpecialBold"/>
              </w:rPr>
              <w:t>PERFORMANCE CRITER</w:t>
            </w:r>
            <w:r w:rsidRPr="00212E9E">
              <w:rPr>
                <w:rStyle w:val="SpecialBold"/>
              </w:rPr>
              <w:t>IA</w:t>
            </w:r>
          </w:p>
        </w:tc>
      </w:tr>
      <w:tr w:rsidTr="00BC16C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1</w:t>
            </w:r>
          </w:p>
        </w:tc>
        <w:tc>
          <w:tcPr>
            <w:tcW w:w="2295"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Plan for and coordinate the design of customer substations</w:t>
            </w:r>
          </w:p>
        </w:tc>
        <w:tc>
          <w:tcPr>
            <w:tcW w:w="831"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1.1</w:t>
            </w:r>
          </w:p>
        </w:tc>
        <w:tc>
          <w:tcPr>
            <w:tcW w:w="4929"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OHS practices/procedures and environmental and sustainable energy procedures, which may influence the design of customer substations, are reviewed and determined.</w:t>
            </w:r>
          </w:p>
        </w:tc>
      </w:tr>
      <w:tr w:rsidTr="00BC16C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1.2</w:t>
            </w:r>
          </w:p>
        </w:tc>
        <w:tc>
          <w:tcPr>
            <w:tcW w:w="4929"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Purpose of the design is established and expected outcomes of the work are confirmed with the appropriate personnel.</w:t>
            </w:r>
          </w:p>
        </w:tc>
      </w:tr>
      <w:tr w:rsidTr="00BC16C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1.3</w:t>
            </w:r>
          </w:p>
        </w:tc>
        <w:tc>
          <w:tcPr>
            <w:tcW w:w="4929"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Organisational established procedures on policies and specifications for the design are obtained or established with the appropriate</w:t>
            </w:r>
            <w:r w:rsidRPr="00212E9E">
              <w:t xml:space="preserve"> personnel.</w:t>
            </w:r>
          </w:p>
        </w:tc>
      </w:tr>
      <w:tr w:rsidTr="00BC16C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1.4</w:t>
            </w:r>
          </w:p>
        </w:tc>
        <w:tc>
          <w:tcPr>
            <w:tcW w:w="4929"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Equipment/tools and personal protective equipment are selected and coordinated based on specified requirements and established procedures</w:t>
            </w:r>
          </w:p>
        </w:tc>
      </w:tr>
      <w:tr w:rsidTr="00BC16C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1.5</w:t>
            </w:r>
          </w:p>
        </w:tc>
        <w:tc>
          <w:tcPr>
            <w:tcW w:w="4929"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Work is prioritised and sequenced for the most efficient and effective outcome following consultation with others for completion within acceptable timeframes, to a quality standard and in accordance with established procedures</w:t>
            </w:r>
          </w:p>
        </w:tc>
      </w:tr>
      <w:tr w:rsidTr="00BC16C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1.6</w:t>
            </w:r>
          </w:p>
        </w:tc>
        <w:tc>
          <w:tcPr>
            <w:tcW w:w="4929"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 xml:space="preserve">Risk control measures </w:t>
            </w:r>
            <w:r w:rsidRPr="00212E9E">
              <w:t>are identified, prioritised and evaluated against the work schedule</w:t>
            </w:r>
          </w:p>
        </w:tc>
      </w:tr>
      <w:tr w:rsidTr="00BC16C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1.7</w:t>
            </w:r>
          </w:p>
        </w:tc>
        <w:tc>
          <w:tcPr>
            <w:tcW w:w="4929"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Relevant work permits are secured to coordinate the performance of work according to requirements and/or established procedures</w:t>
            </w:r>
          </w:p>
        </w:tc>
      </w:tr>
      <w:tr w:rsidTr="00BC16C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1.8</w:t>
            </w:r>
          </w:p>
        </w:tc>
        <w:tc>
          <w:tcPr>
            <w:tcW w:w="4929"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Resources including personnel, equipment, tools and personal protective equipment required for the job are identified, scheduled and coordinated and confirmed in a safe and technical working order</w:t>
            </w:r>
          </w:p>
        </w:tc>
      </w:tr>
      <w:tr w:rsidTr="00BC16C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1.9</w:t>
            </w:r>
          </w:p>
        </w:tc>
        <w:tc>
          <w:tcPr>
            <w:tcW w:w="4929"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Liaison and communication issues with other/authoris</w:t>
            </w:r>
            <w:r w:rsidRPr="00212E9E">
              <w:t>ed personnel, authorities, clients and land-owners are resolved and activities coordinated to carry out work</w:t>
            </w:r>
          </w:p>
        </w:tc>
      </w:tr>
      <w:tr w:rsidTr="00BC16C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1.10</w:t>
            </w:r>
          </w:p>
        </w:tc>
        <w:tc>
          <w:tcPr>
            <w:tcW w:w="4929"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Site is prepared according to the work schedule and to minimise risk and damage to property, commerce, and individuals in accordance with e</w:t>
            </w:r>
            <w:r w:rsidRPr="00212E9E">
              <w:t>stablished procedures</w:t>
            </w:r>
          </w:p>
        </w:tc>
      </w:tr>
      <w:tr w:rsidTr="00BC16C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2</w:t>
            </w:r>
          </w:p>
        </w:tc>
        <w:tc>
          <w:tcPr>
            <w:tcW w:w="2295" w:type="dxa"/>
            <w:vMerge w:val="restart"/>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Carry out and coordinate the design of customer substations</w:t>
            </w:r>
          </w:p>
        </w:tc>
        <w:tc>
          <w:tcPr>
            <w:tcW w:w="831"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2.1</w:t>
            </w:r>
          </w:p>
        </w:tc>
        <w:tc>
          <w:tcPr>
            <w:tcW w:w="4929"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Circuit/systems modelling is used to evaluate alternative proposals as per established procedures.</w:t>
            </w:r>
          </w:p>
        </w:tc>
      </w:tr>
      <w:tr w:rsidTr="00BC16C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2.2</w:t>
            </w:r>
          </w:p>
        </w:tc>
        <w:tc>
          <w:tcPr>
            <w:tcW w:w="4929"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OHS and sustainable energy principles, function</w:t>
            </w:r>
            <w:r w:rsidRPr="00212E9E">
              <w:t>ality and practices to reduce the incidence of accidents and minimise waste are incorporated into the project in accordance with requirements and/or established procedures</w:t>
            </w:r>
          </w:p>
        </w:tc>
      </w:tr>
      <w:tr w:rsidTr="00BC16C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2.3</w:t>
            </w:r>
          </w:p>
        </w:tc>
        <w:tc>
          <w:tcPr>
            <w:tcW w:w="4929"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Substation design decisions are made on the basis of safety and effective out</w:t>
            </w:r>
            <w:r w:rsidRPr="00212E9E">
              <w:t>comes according to requirements and/or established procedures</w:t>
            </w:r>
          </w:p>
        </w:tc>
      </w:tr>
      <w:tr w:rsidTr="00BC16C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2.4</w:t>
            </w:r>
          </w:p>
        </w:tc>
        <w:tc>
          <w:tcPr>
            <w:tcW w:w="4929"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Mathematical models of the customer substation are used to analyse the effectiveness of the finished project as per requirements and established procedures</w:t>
            </w:r>
          </w:p>
        </w:tc>
      </w:tr>
      <w:tr w:rsidTr="00BC16C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2.5</w:t>
            </w:r>
          </w:p>
        </w:tc>
        <w:tc>
          <w:tcPr>
            <w:tcW w:w="4929"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Technical advice is given to potential hazards, safety risks and control measures so that monitoring and preventative action can be undertaken and/or appropriate authorities consulted, where necessary, in accordance with requirements and established proced</w:t>
            </w:r>
            <w:r w:rsidRPr="00212E9E">
              <w:t>ures</w:t>
            </w:r>
          </w:p>
        </w:tc>
      </w:tr>
      <w:tr w:rsidTr="00BC16C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2.6</w:t>
            </w:r>
          </w:p>
        </w:tc>
        <w:tc>
          <w:tcPr>
            <w:tcW w:w="4929"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Essential knowledge and associated skills are applied to analyse specific data and compare it with compliance specifications to ensure completion of the project within an agreed timeframe according to requirements.</w:t>
            </w:r>
          </w:p>
        </w:tc>
      </w:tr>
      <w:tr w:rsidTr="00BC16C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2.7</w:t>
            </w:r>
          </w:p>
        </w:tc>
        <w:tc>
          <w:tcPr>
            <w:tcW w:w="4929"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Solutions to non-routi</w:t>
            </w:r>
            <w:r w:rsidRPr="00212E9E">
              <w:t>ne problems are identified and actioned using acquired essential knowledge and associated skills according to requirements</w:t>
            </w:r>
          </w:p>
        </w:tc>
      </w:tr>
      <w:tr w:rsidTr="00BC16C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2.8</w:t>
            </w:r>
          </w:p>
        </w:tc>
        <w:tc>
          <w:tcPr>
            <w:tcW w:w="4929"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Quality of work is monitored against personal performance agreement and/or established organisational and pr</w:t>
            </w:r>
            <w:r w:rsidRPr="00212E9E">
              <w:t>ofessional standards.</w:t>
            </w:r>
          </w:p>
        </w:tc>
      </w:tr>
      <w:tr w:rsidTr="00BC16C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3</w:t>
            </w:r>
          </w:p>
        </w:tc>
        <w:tc>
          <w:tcPr>
            <w:tcW w:w="2295"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Complete and coordinate the design of customer substations</w:t>
            </w:r>
          </w:p>
        </w:tc>
        <w:tc>
          <w:tcPr>
            <w:tcW w:w="831"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3.1</w:t>
            </w:r>
          </w:p>
        </w:tc>
        <w:tc>
          <w:tcPr>
            <w:tcW w:w="4929"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Final inspections of the design are undertaken to ensure they comply with all requirements and include all specifications and documentations needed to complete the desi</w:t>
            </w:r>
            <w:r w:rsidRPr="00212E9E">
              <w:t>gn brief.</w:t>
            </w:r>
          </w:p>
        </w:tc>
      </w:tr>
      <w:tr w:rsidTr="00BC16C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3.2</w:t>
            </w:r>
          </w:p>
        </w:tc>
        <w:tc>
          <w:tcPr>
            <w:tcW w:w="4929"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Appropriate personnel are notified of completion and reports and/or completion documents are finalised.</w:t>
            </w:r>
          </w:p>
        </w:tc>
      </w:tr>
      <w:tr w:rsidTr="00BC16C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3.3</w:t>
            </w:r>
          </w:p>
        </w:tc>
        <w:tc>
          <w:tcPr>
            <w:tcW w:w="4929"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Reports and/or completion documents are submitted to relevant personnel/organisations for approval and, where applicable, statut</w:t>
            </w:r>
            <w:r w:rsidRPr="00212E9E">
              <w:t>ory or regulatory approval</w:t>
            </w:r>
          </w:p>
        </w:tc>
      </w:tr>
      <w:tr w:rsidTr="00BC16C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t>3.4</w:t>
            </w:r>
          </w:p>
        </w:tc>
        <w:tc>
          <w:tcPr>
            <w:tcW w:w="4929"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t>Approved copies of design documents are issued and records are updated in accordance with established procedures.</w:t>
            </w:r>
          </w:p>
        </w:tc>
      </w:tr>
    </w:tbl>
    <w:p w:rsidR="00000000" w:rsidRPr="00212E9E" w:rsidP="00212E9E">
      <w:pPr>
        <w:pStyle w:val="BodyText"/>
      </w:pPr>
    </w:p>
    <w:p w:rsidR="00000000" w:rsidRPr="00212E9E" w:rsidP="00212E9E">
      <w:pPr>
        <w:pStyle w:val="AllowPageBreak"/>
      </w:pPr>
    </w:p>
    <w:p w:rsidR="00000000" w:rsidRPr="00212E9E" w:rsidP="00212E9E">
      <w:pPr>
        <w:pStyle w:val="Heading1"/>
      </w:pPr>
      <w:bookmarkStart w:id="9" w:name="O_463628"/>
      <w:bookmarkEnd w:id="9"/>
      <w:r w:rsidRPr="00212E9E">
        <w:t>Required Skills and Knowledge</w:t>
      </w:r>
    </w:p>
    <w:tbl>
      <w:tblPr>
        <w:tblW w:w="0" w:type="auto"/>
        <w:tblLayout w:type="fixed"/>
        <w:tblCellMar>
          <w:left w:w="62" w:type="dxa"/>
          <w:right w:w="62" w:type="dxa"/>
        </w:tblCellMar>
        <w:tblLook w:val="0000"/>
      </w:tblPr>
      <w:tblGrid>
        <w:gridCol w:w="8460"/>
      </w:tblGrid>
      <w:tr w:rsidTr="00BC16C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rPr>
                <w:rStyle w:val="SpecialBold"/>
              </w:rPr>
              <w:t>REQUIRED SKILLS AND KNOWLEDGE</w:t>
            </w:r>
          </w:p>
        </w:tc>
      </w:tr>
      <w:tr w:rsidTr="00BC16C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rPr>
                <w:rStyle w:val="SpecialBold"/>
              </w:rPr>
              <w:t>8)</w:t>
            </w:r>
            <w:r w:rsidRPr="00212E9E">
              <w:t xml:space="preserve"> Essential Knowledge and Associated Skills (EKAS): This describes the essential skills and knowledge and their level, required for this unit.</w:t>
            </w:r>
          </w:p>
          <w:p w:rsidR="00000000" w:rsidRPr="00212E9E" w:rsidP="00212E9E">
            <w:pPr>
              <w:pStyle w:val="BodyText"/>
            </w:pPr>
            <w:r w:rsidRPr="00212E9E">
              <w:t>Evidence shall show that knowledge has been acquired of designing customer substations.</w:t>
            </w:r>
          </w:p>
          <w:p w:rsidR="00000000" w:rsidRPr="00212E9E" w:rsidP="00212E9E">
            <w:pPr>
              <w:pStyle w:val="BodyText"/>
            </w:pPr>
            <w:r w:rsidRPr="00212E9E">
              <w:t>All knowledge and skills d</w:t>
            </w:r>
            <w:r w:rsidRPr="00212E9E">
              <w:t>etailed in this unit should be contextualised to current industry practices and technologies.</w:t>
            </w:r>
          </w:p>
          <w:p w:rsidR="00000000" w:rsidRPr="00212E9E" w:rsidP="00212E9E">
            <w:pPr>
              <w:pStyle w:val="BodyText"/>
            </w:pPr>
            <w:r w:rsidRPr="00212E9E">
              <w:t xml:space="preserve">KS01-TDS50A </w:t>
            </w:r>
            <w:r w:rsidRPr="00212E9E">
              <w:tab/>
              <w:t>Customer power system substations - Design</w:t>
            </w:r>
          </w:p>
          <w:p w:rsidR="00000000" w:rsidRPr="00212E9E" w:rsidP="00212E9E">
            <w:pPr>
              <w:pStyle w:val="BodyText"/>
            </w:pPr>
            <w:r w:rsidRPr="00212E9E">
              <w:t>Evidence shall show an understanding of designing customer power system substations to an extent indicated</w:t>
            </w:r>
            <w:r w:rsidRPr="00212E9E">
              <w:t xml:space="preserve"> by the following aspects: </w:t>
            </w:r>
          </w:p>
          <w:p w:rsidR="00000000" w:rsidRPr="00212E9E" w:rsidP="00212E9E">
            <w:pPr>
              <w:pStyle w:val="BodyText"/>
            </w:pPr>
            <w:r w:rsidRPr="00212E9E">
              <w:t>T1</w:t>
            </w:r>
            <w:r w:rsidRPr="00212E9E">
              <w:tab/>
              <w:t>Substations and power transformers encompassing:</w:t>
            </w:r>
          </w:p>
          <w:p w:rsidR="00000000" w:rsidRPr="00212E9E" w:rsidP="00212E9E">
            <w:pPr>
              <w:pStyle w:val="ListBullet"/>
            </w:pPr>
            <w:r w:rsidRPr="00212E9E">
              <w:t>Relationship between the substations within an overall power system - purpose, location in relation to load centres, layout of HV equipment within the substation and auxiliary</w:t>
            </w:r>
            <w:r w:rsidRPr="00212E9E">
              <w:t xml:space="preserve"> equipment</w:t>
            </w:r>
          </w:p>
          <w:p w:rsidR="00000000" w:rsidRPr="00212E9E" w:rsidP="00212E9E">
            <w:pPr>
              <w:pStyle w:val="ListBullet"/>
            </w:pPr>
            <w:r w:rsidRPr="00212E9E">
              <w:t>Characteristics of a power transformer - basic construction of distribution transformers, operation under load/no load conditions, types and basic operation of tap changing switches including solid state types, efficiency and cooling</w:t>
            </w:r>
          </w:p>
          <w:p w:rsidR="00000000" w:rsidRPr="00212E9E" w:rsidP="00212E9E">
            <w:pPr>
              <w:pStyle w:val="ListBullet"/>
            </w:pPr>
            <w:r w:rsidRPr="00212E9E">
              <w:t>Auxiliary equipment used on transformers - function and basic operation</w:t>
            </w:r>
          </w:p>
          <w:p w:rsidR="00000000" w:rsidRPr="00212E9E" w:rsidP="00212E9E">
            <w:pPr>
              <w:pStyle w:val="ListBullet"/>
            </w:pPr>
            <w:r w:rsidRPr="00212E9E">
              <w:t>Maintenance of a power transformer - basic connections, restrictions to parallel operation, problems and remedies associated with harmonics, testing and fault finding procedures</w:t>
            </w:r>
          </w:p>
          <w:p w:rsidR="00000000" w:rsidRPr="00212E9E" w:rsidP="00212E9E">
            <w:pPr>
              <w:pStyle w:val="ListBullet"/>
            </w:pPr>
            <w:r w:rsidRPr="00212E9E">
              <w:t>Charac</w:t>
            </w:r>
            <w:r w:rsidRPr="00212E9E">
              <w:t>teristics of a reactors - description and purpose</w:t>
            </w:r>
          </w:p>
          <w:p w:rsidR="00000000" w:rsidRPr="00212E9E" w:rsidP="00212E9E">
            <w:pPr>
              <w:pStyle w:val="BodyText"/>
            </w:pPr>
            <w:r w:rsidRPr="00212E9E">
              <w:t>T2</w:t>
            </w:r>
            <w:r w:rsidRPr="00212E9E">
              <w:tab/>
              <w:t>Installation of metering and control equipment encompassing:</w:t>
            </w:r>
          </w:p>
          <w:p w:rsidR="00000000" w:rsidRPr="00212E9E" w:rsidP="00212E9E">
            <w:pPr>
              <w:pStyle w:val="ListBullet"/>
            </w:pPr>
            <w:r w:rsidRPr="00212E9E">
              <w:t xml:space="preserve">Standards, codes, legislation, supply authority regulations and or enterprise requirements pertaining to the installation and maintenance of </w:t>
            </w:r>
            <w:r w:rsidRPr="00212E9E">
              <w:t>energy meters and associated equipment</w:t>
            </w:r>
          </w:p>
          <w:p w:rsidR="00000000" w:rsidRPr="00212E9E" w:rsidP="00212E9E">
            <w:pPr>
              <w:pStyle w:val="ListBullet"/>
            </w:pPr>
            <w:r w:rsidRPr="00212E9E">
              <w:t>Types of meters - kilowatt-hour meters single and polyphase, demand meters, recording meters and electronic recording metering systems summators</w:t>
            </w:r>
          </w:p>
          <w:p w:rsidR="00000000" w:rsidRPr="00212E9E" w:rsidP="00212E9E">
            <w:pPr>
              <w:pStyle w:val="ListBullet"/>
            </w:pPr>
            <w:r w:rsidRPr="00212E9E">
              <w:t>Installation and removal methods - direct connection and plug in method,</w:t>
            </w:r>
            <w:r w:rsidRPr="00212E9E">
              <w:t xml:space="preserve"> enterprise specific</w:t>
            </w:r>
          </w:p>
          <w:p w:rsidR="00000000" w:rsidRPr="00212E9E" w:rsidP="00212E9E">
            <w:pPr>
              <w:pStyle w:val="ListBullet"/>
            </w:pPr>
            <w:r w:rsidRPr="00212E9E">
              <w:t>Types of associated equipment and accessories - meter boards, service fuse, links, contactors, time switch, audio frequency injection relay</w:t>
            </w:r>
          </w:p>
          <w:p w:rsidR="00000000" w:rsidRPr="00212E9E" w:rsidP="00212E9E">
            <w:pPr>
              <w:pStyle w:val="ListBullet"/>
            </w:pPr>
            <w:r w:rsidRPr="00212E9E">
              <w:t xml:space="preserve">Testing procedures - safety and polarity testing </w:t>
            </w:r>
          </w:p>
          <w:p w:rsidR="00000000" w:rsidRPr="00212E9E" w:rsidP="00212E9E">
            <w:pPr>
              <w:pStyle w:val="BodyText"/>
            </w:pPr>
            <w:r w:rsidRPr="00212E9E">
              <w:t>T3</w:t>
            </w:r>
            <w:r w:rsidRPr="00212E9E">
              <w:tab/>
              <w:t>High voltage distribution transformer prin</w:t>
            </w:r>
            <w:r w:rsidRPr="00212E9E">
              <w:t>ciples encompassing:</w:t>
            </w:r>
          </w:p>
          <w:p w:rsidR="00000000" w:rsidRPr="00212E9E" w:rsidP="00212E9E">
            <w:pPr>
              <w:pStyle w:val="ListBullet"/>
            </w:pPr>
            <w:r w:rsidRPr="00212E9E">
              <w:t>Operation of HV distribution transformers - principle governing factors for transformer ratings, protection and alarms, operating limitations and the relationship between transformer and HV fuse rating, purpose and principle operation</w:t>
            </w:r>
            <w:r w:rsidRPr="00212E9E">
              <w:t xml:space="preserve"> of HV distribution transformer tap changers, HV distribution transformer and transformer — cable combination switching practices, paralleling requirements, isolation and earthing procedures for access, common distribution transformer and associated electr</w:t>
            </w:r>
            <w:r w:rsidRPr="00212E9E">
              <w:t>ical apparatus faults</w:t>
            </w:r>
          </w:p>
          <w:p w:rsidR="00000000" w:rsidRPr="00212E9E" w:rsidP="00212E9E">
            <w:pPr>
              <w:pStyle w:val="ListBullet"/>
            </w:pPr>
            <w:r w:rsidRPr="00212E9E">
              <w:t>HV underground switching equipment - arc stranglers, switch operation, load break elbows, switching cubicles, canister fuses, bayonet fuses, F and G switching cubicles, voltage indicators and phasing testers</w:t>
            </w:r>
          </w:p>
          <w:p w:rsidR="00000000" w:rsidRPr="00212E9E" w:rsidP="00212E9E">
            <w:pPr>
              <w:pStyle w:val="BodyText"/>
            </w:pPr>
            <w:r w:rsidRPr="00212E9E">
              <w:t>T4</w:t>
            </w:r>
            <w:r w:rsidRPr="00212E9E">
              <w:tab/>
              <w:t>Feeder automation syste</w:t>
            </w:r>
            <w:r w:rsidRPr="00212E9E">
              <w:t>m encompassing:</w:t>
            </w:r>
          </w:p>
          <w:p w:rsidR="00000000" w:rsidRPr="00212E9E" w:rsidP="00212E9E">
            <w:pPr>
              <w:pStyle w:val="ListBullet"/>
            </w:pPr>
            <w:r w:rsidRPr="00212E9E">
              <w:t>Function of feeder automation system and the main components</w:t>
            </w:r>
          </w:p>
          <w:p w:rsidR="00000000" w:rsidRPr="00212E9E" w:rsidP="00212E9E">
            <w:pPr>
              <w:pStyle w:val="ListBullet"/>
            </w:pPr>
            <w:r w:rsidRPr="00212E9E">
              <w:t>Operation procedure for a remote field device from a local control station</w:t>
            </w:r>
          </w:p>
          <w:p w:rsidR="00000000" w:rsidRPr="00212E9E" w:rsidP="00212E9E">
            <w:pPr>
              <w:pStyle w:val="ListBullet"/>
            </w:pPr>
            <w:r w:rsidRPr="00212E9E">
              <w:t xml:space="preserve">Functions of “System Control and Data Acquisition” (SCADA) (or any other relevant Data Acquisition and </w:t>
            </w:r>
            <w:r w:rsidRPr="00212E9E">
              <w:t>Control) systems and its main components</w:t>
            </w:r>
          </w:p>
          <w:p w:rsidR="00000000" w:rsidRPr="00212E9E" w:rsidP="00212E9E">
            <w:pPr>
              <w:pStyle w:val="ListBullet"/>
            </w:pPr>
            <w:r w:rsidRPr="00212E9E">
              <w:t>SCADA system security interlocks and access restrictions</w:t>
            </w:r>
          </w:p>
          <w:p w:rsidR="00000000" w:rsidRPr="00212E9E" w:rsidP="00212E9E">
            <w:pPr>
              <w:pStyle w:val="ListBullet"/>
            </w:pPr>
            <w:r w:rsidRPr="00212E9E">
              <w:t>SCADA system operation when switching apparatus or retrieving data via a remote access device such as; Remote Access Terminal (RAT), Dial Up Voice Annunciated</w:t>
            </w:r>
            <w:r w:rsidRPr="00212E9E">
              <w:t xml:space="preserve"> System and Local Control Station</w:t>
            </w:r>
          </w:p>
          <w:p w:rsidR="00000000" w:rsidRPr="00212E9E" w:rsidP="00212E9E">
            <w:pPr>
              <w:pStyle w:val="ListBullet"/>
            </w:pPr>
            <w:r w:rsidRPr="00212E9E">
              <w:t>Function of the main components of a local/remote control system</w:t>
            </w:r>
          </w:p>
          <w:p w:rsidR="00000000" w:rsidRPr="00212E9E" w:rsidP="00212E9E">
            <w:pPr>
              <w:pStyle w:val="ListBullet"/>
            </w:pPr>
            <w:r w:rsidRPr="00212E9E">
              <w:t xml:space="preserve">Operation of a field devices using SCADA systems via a Remote Access Terminal (RAT), Dial Up Annunciated System and Local Control Station </w:t>
            </w:r>
          </w:p>
          <w:p w:rsidR="00000000" w:rsidRPr="00212E9E" w:rsidP="00212E9E">
            <w:pPr>
              <w:pStyle w:val="BodyText"/>
            </w:pPr>
            <w:r w:rsidRPr="00212E9E">
              <w:t>T5</w:t>
            </w:r>
            <w:r w:rsidRPr="00212E9E">
              <w:tab/>
            </w:r>
            <w:r w:rsidRPr="00212E9E">
              <w:t>Layout principles for a distribution substation minor upgrade encompassing:</w:t>
            </w:r>
          </w:p>
          <w:p w:rsidR="00000000" w:rsidRPr="00212E9E" w:rsidP="00212E9E">
            <w:pPr>
              <w:pStyle w:val="ListBullet"/>
            </w:pPr>
            <w:r w:rsidRPr="00212E9E">
              <w:t>Commonwealth, State/Territory and local government legislation, Standards, codes, supply authority regulations and or enterprise requirements applicable to a distribution substati</w:t>
            </w:r>
            <w:r w:rsidRPr="00212E9E">
              <w:t>on minor upgrade</w:t>
            </w:r>
          </w:p>
          <w:p w:rsidR="00000000" w:rsidRPr="00212E9E" w:rsidP="00212E9E">
            <w:pPr>
              <w:pStyle w:val="ListBullet"/>
            </w:pPr>
            <w:r w:rsidRPr="00212E9E">
              <w:t>Requirements for the use of distribution substation minor upgrade construction manuals, system diagrams/plans and drawings and for plans such as work method statements for the control of OHS risks</w:t>
            </w:r>
          </w:p>
          <w:p w:rsidR="00000000" w:rsidRPr="00212E9E" w:rsidP="00212E9E">
            <w:pPr>
              <w:pStyle w:val="ListBullet"/>
            </w:pPr>
            <w:r w:rsidRPr="00212E9E">
              <w:t>Methods in determining material, equipment</w:t>
            </w:r>
            <w:r w:rsidRPr="00212E9E">
              <w:t xml:space="preserve"> and tool lists - components types and quantity required, spacing of components and equipment, costings of items and components.</w:t>
            </w:r>
          </w:p>
          <w:p w:rsidR="00000000" w:rsidRPr="00212E9E" w:rsidP="00212E9E">
            <w:pPr>
              <w:pStyle w:val="ListBullet"/>
            </w:pPr>
            <w:r w:rsidRPr="00212E9E">
              <w:t xml:space="preserve">Purchasing and contractual arrangements to include a requirement to eliminate OHS hazards, minimise risks and provide residual </w:t>
            </w:r>
            <w:r w:rsidRPr="00212E9E">
              <w:t>OHS risk information</w:t>
            </w:r>
          </w:p>
          <w:p w:rsidR="00000000" w:rsidRPr="00212E9E" w:rsidP="00212E9E">
            <w:pPr>
              <w:pStyle w:val="ListBullet"/>
            </w:pPr>
            <w:r w:rsidRPr="00212E9E">
              <w:t>Determination of conductor size, type and route length</w:t>
            </w:r>
          </w:p>
          <w:p w:rsidR="00000000" w:rsidRPr="00212E9E" w:rsidP="00212E9E">
            <w:pPr>
              <w:pStyle w:val="ListBullet"/>
            </w:pPr>
            <w:r w:rsidRPr="00212E9E">
              <w:t>Resources needed for the laying of conductors, cables and equipment</w:t>
            </w:r>
          </w:p>
          <w:p w:rsidR="00000000" w:rsidRPr="00212E9E" w:rsidP="00212E9E">
            <w:pPr>
              <w:pStyle w:val="ListBullet"/>
            </w:pPr>
            <w:r w:rsidRPr="00212E9E">
              <w:t>Determining the appropriate installation sequence</w:t>
            </w:r>
          </w:p>
          <w:p w:rsidR="00000000" w:rsidRPr="00212E9E" w:rsidP="00212E9E">
            <w:pPr>
              <w:pStyle w:val="ListBullet"/>
            </w:pPr>
            <w:r w:rsidRPr="00212E9E">
              <w:t>Minimum clearances between conductors and equipment</w:t>
            </w:r>
          </w:p>
          <w:p w:rsidR="00000000" w:rsidRPr="00212E9E" w:rsidP="00212E9E">
            <w:pPr>
              <w:pStyle w:val="ListBullet"/>
            </w:pPr>
            <w:r w:rsidRPr="00212E9E">
              <w:t>Estimation</w:t>
            </w:r>
            <w:r w:rsidRPr="00212E9E">
              <w:t xml:space="preserve"> of the duration of underground distribution extension project</w:t>
            </w:r>
          </w:p>
          <w:p w:rsidR="00000000" w:rsidRPr="00212E9E" w:rsidP="00212E9E">
            <w:pPr>
              <w:pStyle w:val="BodyText"/>
            </w:pPr>
            <w:r w:rsidRPr="00212E9E">
              <w:t>T6</w:t>
            </w:r>
            <w:r w:rsidRPr="00212E9E">
              <w:tab/>
              <w:t>Fundamentals of distribution transformers encompassing:</w:t>
            </w:r>
          </w:p>
          <w:p w:rsidR="00000000" w:rsidRPr="00212E9E" w:rsidP="00212E9E">
            <w:pPr>
              <w:pStyle w:val="ListBullet"/>
            </w:pPr>
            <w:r w:rsidRPr="00212E9E">
              <w:t>Standards, codes, legislation, supply authority regulations and or enterprise requirements pertaining to the safe operation and testi</w:t>
            </w:r>
            <w:r w:rsidRPr="00212E9E">
              <w:t>ng of distribution transformers and auxiliary equipment</w:t>
            </w:r>
          </w:p>
          <w:p w:rsidR="00000000" w:rsidRPr="00212E9E" w:rsidP="00212E9E">
            <w:pPr>
              <w:pStyle w:val="ListBullet"/>
            </w:pPr>
            <w:r w:rsidRPr="00212E9E">
              <w:t>Drawing layouts, conventions and symbols - vector group of transformers and three phase transformers</w:t>
            </w:r>
          </w:p>
          <w:p w:rsidR="00000000" w:rsidRPr="00212E9E" w:rsidP="00212E9E">
            <w:pPr>
              <w:pStyle w:val="ListBullet"/>
            </w:pPr>
            <w:r w:rsidRPr="00212E9E">
              <w:t>Construction of a distribution transformer</w:t>
            </w:r>
          </w:p>
          <w:p w:rsidR="00000000" w:rsidRPr="00212E9E" w:rsidP="00212E9E">
            <w:pPr>
              <w:pStyle w:val="ListBullet"/>
            </w:pPr>
            <w:r w:rsidRPr="00212E9E">
              <w:t>Characteristics when operated under load and no load con</w:t>
            </w:r>
            <w:r w:rsidRPr="00212E9E">
              <w:t>ditions</w:t>
            </w:r>
          </w:p>
          <w:p w:rsidR="00000000" w:rsidRPr="00212E9E" w:rsidP="00212E9E">
            <w:pPr>
              <w:pStyle w:val="ListBullet"/>
            </w:pPr>
            <w:r w:rsidRPr="00212E9E">
              <w:t>Percentage impedance determinations by test and calculation</w:t>
            </w:r>
          </w:p>
          <w:p w:rsidR="00000000" w:rsidRPr="00212E9E" w:rsidP="00212E9E">
            <w:pPr>
              <w:pStyle w:val="ListBullet"/>
            </w:pPr>
            <w:r w:rsidRPr="00212E9E">
              <w:t>Function and operation of tap charging switches including solid state tap changing equipment</w:t>
            </w:r>
          </w:p>
          <w:p w:rsidR="00000000" w:rsidRPr="00212E9E" w:rsidP="00212E9E">
            <w:pPr>
              <w:pStyle w:val="ListBullet"/>
            </w:pPr>
            <w:r w:rsidRPr="00212E9E">
              <w:t>Function and operation of transformer auxiliary equipment</w:t>
            </w:r>
          </w:p>
          <w:p w:rsidR="00000000" w:rsidRPr="00212E9E" w:rsidP="00212E9E">
            <w:pPr>
              <w:pStyle w:val="ListBullet"/>
            </w:pPr>
            <w:r w:rsidRPr="00212E9E">
              <w:t>Problems caused by harmonics in trans</w:t>
            </w:r>
            <w:r w:rsidRPr="00212E9E">
              <w:t>formers</w:t>
            </w:r>
          </w:p>
          <w:p w:rsidR="00000000" w:rsidRPr="00212E9E" w:rsidP="00212E9E">
            <w:pPr>
              <w:pStyle w:val="ListBullet"/>
            </w:pPr>
            <w:r w:rsidRPr="00212E9E">
              <w:t>Methods and equipment used to overcome harmonics in transformers</w:t>
            </w:r>
          </w:p>
          <w:p w:rsidR="00000000" w:rsidRPr="00212E9E" w:rsidP="00212E9E">
            <w:pPr>
              <w:pStyle w:val="BodyText"/>
            </w:pPr>
            <w:r w:rsidRPr="00212E9E">
              <w:t>T7</w:t>
            </w:r>
            <w:r w:rsidRPr="00212E9E">
              <w:tab/>
              <w:t>Testing procedures of distribution transformers encompassing:</w:t>
            </w:r>
          </w:p>
          <w:p w:rsidR="00000000" w:rsidRPr="00212E9E" w:rsidP="00212E9E">
            <w:pPr>
              <w:pStyle w:val="ListBullet"/>
            </w:pPr>
            <w:r w:rsidRPr="00212E9E">
              <w:t>Safety precautions specific to the testing of distribution transformers</w:t>
            </w:r>
          </w:p>
          <w:p w:rsidR="00000000" w:rsidRPr="00212E9E" w:rsidP="00212E9E">
            <w:pPr>
              <w:pStyle w:val="ListBullet"/>
            </w:pPr>
            <w:r w:rsidRPr="00212E9E">
              <w:t>Procedures for safely connecting distribution transformers for testing</w:t>
            </w:r>
          </w:p>
          <w:p w:rsidR="00000000" w:rsidRPr="00212E9E" w:rsidP="00212E9E">
            <w:pPr>
              <w:pStyle w:val="ListBullet"/>
            </w:pPr>
            <w:r w:rsidRPr="00212E9E">
              <w:t>Testing of distribution transformers to determine losses</w:t>
            </w:r>
          </w:p>
          <w:p w:rsidR="00000000" w:rsidRPr="00212E9E" w:rsidP="00212E9E">
            <w:pPr>
              <w:pStyle w:val="ListBullet"/>
            </w:pPr>
            <w:r w:rsidRPr="00212E9E">
              <w:t>Calculation of transformer’s efficiency</w:t>
            </w:r>
          </w:p>
          <w:p w:rsidR="00000000" w:rsidRPr="00212E9E" w:rsidP="00212E9E">
            <w:pPr>
              <w:pStyle w:val="ListBullet"/>
            </w:pPr>
            <w:r w:rsidRPr="00212E9E">
              <w:t>Methods and types of equipment used to cool transformers - properties of transformer oil</w:t>
            </w:r>
            <w:r w:rsidRPr="00212E9E">
              <w:t xml:space="preserve"> and tests performed on transformer oil</w:t>
            </w:r>
          </w:p>
          <w:p w:rsidR="00000000" w:rsidRPr="00212E9E" w:rsidP="00212E9E">
            <w:pPr>
              <w:pStyle w:val="ListBullet"/>
            </w:pPr>
            <w:r w:rsidRPr="00212E9E">
              <w:t>Techniques in performing selected tests on transformer oil</w:t>
            </w:r>
          </w:p>
          <w:p w:rsidR="00000000" w:rsidRPr="00212E9E" w:rsidP="00212E9E">
            <w:pPr>
              <w:pStyle w:val="ListBullet"/>
            </w:pPr>
            <w:r w:rsidRPr="00212E9E">
              <w:t>Techniques in performing testing procedures on armer</w:t>
            </w:r>
          </w:p>
          <w:p w:rsidR="00000000" w:rsidRPr="00212E9E" w:rsidP="00212E9E">
            <w:pPr>
              <w:pStyle w:val="ListBullet"/>
            </w:pPr>
            <w:r w:rsidRPr="00212E9E">
              <w:t>Techniques in testing distribution transformers</w:t>
            </w:r>
          </w:p>
          <w:p w:rsidR="00000000" w:rsidRPr="00212E9E" w:rsidP="00212E9E">
            <w:pPr>
              <w:pStyle w:val="ListBullet"/>
            </w:pPr>
            <w:r w:rsidRPr="00212E9E">
              <w:t>Distribution transformer parallel connections - conditio</w:t>
            </w:r>
            <w:r w:rsidRPr="00212E9E">
              <w:t>ns and restrictions for parallel operations and calculations of loading on transformers operating in parallel</w:t>
            </w:r>
          </w:p>
          <w:p w:rsidR="00000000" w:rsidRPr="00212E9E" w:rsidP="00212E9E">
            <w:pPr>
              <w:pStyle w:val="ListBullet"/>
            </w:pPr>
            <w:r w:rsidRPr="00212E9E">
              <w:t>Connection of transformer in parallel to supply a common load</w:t>
            </w:r>
          </w:p>
        </w:tc>
      </w:tr>
    </w:tbl>
    <w:p w:rsidR="00000000" w:rsidRPr="00212E9E" w:rsidP="00212E9E">
      <w:pPr>
        <w:pStyle w:val="BodyText"/>
      </w:pPr>
    </w:p>
    <w:p w:rsidR="00000000" w:rsidRPr="00212E9E" w:rsidP="00212E9E">
      <w:pPr>
        <w:pStyle w:val="AllowPageBreak"/>
      </w:pPr>
    </w:p>
    <w:p w:rsidR="00000000" w:rsidRPr="00212E9E" w:rsidP="00212E9E">
      <w:pPr>
        <w:pStyle w:val="Heading1"/>
      </w:pPr>
      <w:bookmarkStart w:id="10" w:name="O_463623"/>
      <w:bookmarkEnd w:id="10"/>
      <w:r w:rsidRPr="00212E9E">
        <w:t>Evidence Guide</w:t>
      </w:r>
    </w:p>
    <w:tbl>
      <w:tblPr>
        <w:tblW w:w="0" w:type="auto"/>
        <w:tblLayout w:type="fixed"/>
        <w:tblCellMar>
          <w:left w:w="62" w:type="dxa"/>
          <w:right w:w="62" w:type="dxa"/>
        </w:tblCellMar>
        <w:tblLook w:val="0000"/>
      </w:tblPr>
      <w:tblGrid>
        <w:gridCol w:w="8460"/>
      </w:tblGrid>
      <w:tr w:rsidTr="00BC16C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rPr>
                <w:rStyle w:val="SpecialBold"/>
              </w:rPr>
              <w:t>EVIDENCE GUIDE</w:t>
            </w:r>
          </w:p>
        </w:tc>
      </w:tr>
      <w:tr w:rsidTr="00BC16C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rPr>
                <w:rStyle w:val="SpecialBold"/>
              </w:rPr>
              <w:t>9)</w:t>
            </w:r>
            <w:r w:rsidRPr="00212E9E">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212E9E" w:rsidP="00212E9E">
            <w:pPr>
              <w:pStyle w:val="BodyText"/>
            </w:pPr>
            <w:r w:rsidRPr="00212E9E">
              <w:t>The Evidence Guide form</w:t>
            </w:r>
            <w:r w:rsidRPr="00212E9E">
              <w:t>s an integral part of this Competency Standard Unit and shall be used in conjunction with all component parts of this unit and, performed in accordance with the Assessment Guidelines of this Training Package.</w:t>
            </w:r>
          </w:p>
        </w:tc>
      </w:tr>
    </w:tbl>
    <w:p w:rsidR="00000000" w:rsidRPr="00212E9E" w:rsidP="00212E9E">
      <w:pPr>
        <w:pStyle w:val="BodyText"/>
      </w:pPr>
    </w:p>
    <w:tbl>
      <w:tblPr>
        <w:tblW w:w="0" w:type="auto"/>
        <w:tblLayout w:type="fixed"/>
        <w:tblCellMar>
          <w:left w:w="62" w:type="dxa"/>
          <w:right w:w="62" w:type="dxa"/>
        </w:tblCellMar>
        <w:tblLook w:val="0000"/>
      </w:tblPr>
      <w:tblGrid>
        <w:gridCol w:w="1890"/>
        <w:gridCol w:w="6570"/>
      </w:tblGrid>
      <w:tr w:rsidTr="00BC16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rPr>
                <w:rStyle w:val="SpecialBold"/>
              </w:rPr>
              <w:t>9.1)</w:t>
            </w:r>
          </w:p>
        </w:tc>
      </w:tr>
      <w:tr w:rsidTr="00BC16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t>Longitudinal competency development approaches to assessment, such as Profiling, require data to be reliably gathered in a form that can be consistently interpreted over time. This approach is best utilised in Apprenticeship programs and reduces assessment</w:t>
            </w:r>
            <w:r w:rsidRPr="00212E9E">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12E9E">
              <w:t>tency in a realistically simulated work environment. It is recognised that, in some circumstances, assessment in part or full can occur outside the workplace. However, it must be in accord with Industry and, Regulatory policy in this regard.</w:t>
            </w:r>
          </w:p>
          <w:p w:rsidR="00000000" w:rsidRPr="00212E9E" w:rsidP="00212E9E">
            <w:pPr>
              <w:pStyle w:val="BodyText"/>
            </w:pPr>
            <w:r w:rsidRPr="00212E9E">
              <w:t>Methods chosen</w:t>
            </w:r>
            <w:r w:rsidRPr="00212E9E">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212E9E">
              <w:t>equired and the critical nature of the competencies being assessed.</w:t>
            </w:r>
          </w:p>
          <w:p w:rsidR="00000000" w:rsidRPr="00212E9E" w:rsidP="00212E9E">
            <w:pPr>
              <w:pStyle w:val="BodyText"/>
            </w:pPr>
            <w:r w:rsidRPr="00212E9E">
              <w:t>The critical safety nature of working with electricity, electrical equipment, gas or any other hazardous substance/material carries risk in deeming a person competent. Hence, sources of ev</w:t>
            </w:r>
            <w:r w:rsidRPr="00212E9E">
              <w:t>idence need to be ‘rich’ in nature so as to minimise error in judgment.</w:t>
            </w:r>
          </w:p>
          <w:p w:rsidR="00000000" w:rsidRPr="00212E9E" w:rsidP="00212E9E">
            <w:pPr>
              <w:pStyle w:val="BodyText"/>
            </w:pPr>
            <w:r w:rsidRPr="00212E9E">
              <w:t>Activities associated with normal every day work have a bearing on the decision as to how much and how detailed the data gathered will contribute to its ‘richness’. Some skills are mor</w:t>
            </w:r>
            <w:r w:rsidRPr="00212E9E">
              <w:t>e critical to safety and operational requirements while the same skills may be more or less frequently practiced. These points are raised for the assessors to consider when choosing an assessment method and developing assessment instruments. Sample assessm</w:t>
            </w:r>
            <w:r w:rsidRPr="00212E9E">
              <w:t>ent instruments are included for Assessors in the Assessment Guidelines of this Training Package.</w:t>
            </w:r>
          </w:p>
        </w:tc>
      </w:tr>
    </w:tbl>
    <w:p w:rsidR="00000000" w:rsidRPr="00212E9E" w:rsidP="00212E9E">
      <w:pPr>
        <w:pStyle w:val="BodyText"/>
      </w:pPr>
    </w:p>
    <w:tbl>
      <w:tblPr>
        <w:tblW w:w="0" w:type="auto"/>
        <w:tblLayout w:type="fixed"/>
        <w:tblCellMar>
          <w:left w:w="62" w:type="dxa"/>
          <w:right w:w="62" w:type="dxa"/>
        </w:tblCellMar>
        <w:tblLook w:val="0000"/>
      </w:tblPr>
      <w:tblGrid>
        <w:gridCol w:w="1890"/>
        <w:gridCol w:w="720"/>
        <w:gridCol w:w="1260"/>
        <w:gridCol w:w="1980"/>
        <w:gridCol w:w="2610"/>
      </w:tblGrid>
      <w:tr w:rsidTr="00BC16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rPr>
                <w:rStyle w:val="SpecialBold"/>
              </w:rPr>
              <w:t>9.2)</w:t>
            </w:r>
          </w:p>
        </w:tc>
      </w:tr>
      <w:tr w:rsidTr="00BC16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t>Before the critical aspects of evidence are considered all prerequisi</w:t>
            </w:r>
            <w:r w:rsidRPr="00212E9E">
              <w:t>tes shall be met.</w:t>
            </w:r>
          </w:p>
          <w:p w:rsidR="00000000" w:rsidRPr="00212E9E" w:rsidP="00212E9E">
            <w:pPr>
              <w:pStyle w:val="BodyText"/>
            </w:pPr>
            <w:r w:rsidRPr="00212E9E">
              <w:t>Evidence for competence in this unit is based, shall be considered holistically. Each element and associated Performance Criteria shall be demonstrated on at least two occasions in accordance with the “Assessment Guidelines – UET12UET12”.</w:t>
            </w:r>
            <w:r w:rsidRPr="00212E9E">
              <w:t xml:space="preserve"> Evidence shall also comprise:</w:t>
            </w:r>
          </w:p>
          <w:p w:rsidR="00000000" w:rsidRPr="00212E9E" w:rsidP="00212E9E">
            <w:pPr>
              <w:pStyle w:val="ListBullet"/>
            </w:pPr>
            <w:r w:rsidRPr="00212E9E">
              <w:t>A representative body of Performance Criteria demonstrated within the timeframes typically expected of the discipline, work function and industrial environment. In particular this shall incorporate evidence that shows a ca</w:t>
            </w:r>
            <w:r w:rsidRPr="00212E9E">
              <w:t>ndidate is able to:</w:t>
            </w:r>
          </w:p>
          <w:p w:rsidR="00000000" w:rsidRPr="00212E9E" w:rsidP="00212E9E">
            <w:pPr>
              <w:pStyle w:val="ListBullet2"/>
            </w:pPr>
            <w:r w:rsidRPr="00212E9E">
              <w:t>Implement Occupational Health and Safety workplace procedures and practices including the use of risk control measures as specified in the Performance Criteria and range; and</w:t>
            </w:r>
          </w:p>
          <w:p w:rsidR="00000000" w:rsidRPr="00212E9E" w:rsidP="00212E9E">
            <w:pPr>
              <w:pStyle w:val="ListBullet2"/>
            </w:pPr>
            <w:r w:rsidRPr="00212E9E">
              <w:t>Apply sustainable energy principles and practices as specifi</w:t>
            </w:r>
            <w:r w:rsidRPr="00212E9E">
              <w:t>ed in the Performance Criteria and range; and</w:t>
            </w:r>
          </w:p>
          <w:p w:rsidR="00000000" w:rsidRPr="00212E9E" w:rsidP="00212E9E">
            <w:pPr>
              <w:pStyle w:val="ListBullet2"/>
            </w:pPr>
            <w:r w:rsidRPr="00212E9E">
              <w:t>Demonstrate an understanding of the essential knowledge and associated skills as described in this unit to such an extent that the learner’s performance outcome is reported in accordance with the preferred appr</w:t>
            </w:r>
            <w:r w:rsidRPr="00212E9E">
              <w:t>oach; namely a percentile graded result, where required by the regulated environment; and</w:t>
            </w:r>
          </w:p>
          <w:p w:rsidR="00000000" w:rsidRPr="00212E9E" w:rsidP="00212E9E">
            <w:pPr>
              <w:pStyle w:val="ListBullet2"/>
            </w:pPr>
            <w:r w:rsidRPr="00212E9E">
              <w:t>Demonstrate an appropriate level of employability skills; and</w:t>
            </w:r>
          </w:p>
          <w:p w:rsidR="00000000" w:rsidRPr="00212E9E" w:rsidP="00212E9E">
            <w:pPr>
              <w:pStyle w:val="ListBullet"/>
            </w:pPr>
            <w:r w:rsidRPr="00212E9E">
              <w:t>Conduct work observing the relevant Anti Discrimination legislation, regulations, policies and workplac</w:t>
            </w:r>
            <w:r w:rsidRPr="00212E9E">
              <w:t>e procedures; and</w:t>
            </w:r>
          </w:p>
          <w:p w:rsidR="00000000" w:rsidP="00212E9E">
            <w:pPr>
              <w:pStyle w:val="ListBullet2"/>
              <w:rPr>
                <w:lang w:val="en-NZ"/>
              </w:rPr>
            </w:pPr>
            <w:r w:rsidRPr="00212E9E">
              <w:t>Demonstrated performance across a representative range of contexts from the prescribed items below:</w:t>
            </w:r>
          </w:p>
        </w:tc>
      </w:tr>
      <w:tr w:rsidTr="00BC16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12E9E">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E9E">
            <w:pPr>
              <w:pStyle w:val="BodyText"/>
              <w:rPr>
                <w:lang w:val="en-NZ"/>
              </w:rPr>
            </w:pPr>
            <w:r w:rsidRPr="00212E9E">
              <w:rPr>
                <w:rStyle w:val="SpecialBold"/>
              </w:rPr>
              <w:t>Range of tools/equipment/materials/procedures/workplaces/other variables</w:t>
            </w:r>
          </w:p>
        </w:tc>
      </w:tr>
      <w:tr w:rsidTr="00BC16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12E9E">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E9E" w:rsidP="00212E9E">
            <w:pPr>
              <w:pStyle w:val="BodyText"/>
            </w:pPr>
            <w:r w:rsidRPr="00212E9E">
              <w:rPr>
                <w:rStyle w:val="SpecialBold"/>
              </w:rPr>
              <w:t>Group No</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E9E" w:rsidP="00212E9E">
            <w:pPr>
              <w:pStyle w:val="BodyText"/>
            </w:pPr>
            <w:r w:rsidRPr="00212E9E">
              <w:rPr>
                <w:rStyle w:val="SpecialBold"/>
              </w:rPr>
              <w:t>The minimum number of items on which skill is to be demonstrated</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E9E">
            <w:pPr>
              <w:pStyle w:val="BodyText"/>
              <w:rPr>
                <w:lang w:val="en-NZ"/>
              </w:rPr>
            </w:pPr>
            <w:r w:rsidRPr="00212E9E">
              <w:rPr>
                <w:rStyle w:val="SpecialBold"/>
              </w:rPr>
              <w:t>Item List</w:t>
            </w:r>
          </w:p>
        </w:tc>
      </w:tr>
      <w:tr w:rsidTr="00BC16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E9E">
            <w:pPr>
              <w:pStyle w:val="BodyText"/>
              <w:rPr>
                <w:lang w:val="en-NZ"/>
              </w:rPr>
            </w:pPr>
            <w:r w:rsidRPr="00212E9E">
              <w:t>A</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E9E">
            <w:pPr>
              <w:pStyle w:val="BodyText"/>
              <w:rPr>
                <w:lang w:val="en-NZ"/>
              </w:rPr>
            </w:pPr>
            <w:r w:rsidRPr="00212E9E">
              <w:t>Completion of six (6) designs in total drawn from at least two (2) of the following project types:</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E9E" w:rsidP="00212E9E">
            <w:pPr>
              <w:pStyle w:val="BodyText"/>
            </w:pPr>
            <w:r w:rsidRPr="00212E9E">
              <w:t>Single transformer substation</w:t>
            </w:r>
          </w:p>
          <w:p w:rsidR="00000000" w:rsidRPr="00212E9E" w:rsidP="00212E9E">
            <w:pPr>
              <w:pStyle w:val="BodyText"/>
            </w:pPr>
            <w:r w:rsidRPr="00212E9E">
              <w:t>Multi-transformer substations</w:t>
            </w:r>
          </w:p>
          <w:p w:rsidR="00000000" w:rsidRPr="00212E9E" w:rsidP="00212E9E">
            <w:pPr>
              <w:pStyle w:val="BodyText"/>
            </w:pPr>
            <w:r w:rsidRPr="00212E9E">
              <w:t>Upgrade/alteration to existing assets</w:t>
            </w:r>
          </w:p>
          <w:p w:rsidR="00000000" w:rsidRPr="00212E9E" w:rsidP="00212E9E">
            <w:pPr>
              <w:pStyle w:val="BodyText"/>
            </w:pPr>
            <w:r w:rsidRPr="00212E9E">
              <w:t>Auto-changeover systems</w:t>
            </w:r>
          </w:p>
          <w:p w:rsidR="00000000" w:rsidP="00212E9E">
            <w:pPr>
              <w:pStyle w:val="BodyText"/>
              <w:rPr>
                <w:lang w:val="en-NZ"/>
              </w:rPr>
            </w:pPr>
          </w:p>
        </w:tc>
      </w:tr>
      <w:tr w:rsidTr="00BC16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E9E">
            <w:pPr>
              <w:pStyle w:val="BodyText"/>
              <w:rPr>
                <w:lang w:val="en-NZ"/>
              </w:rPr>
            </w:pPr>
            <w:r w:rsidRPr="00212E9E">
              <w:t>B</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E9E">
            <w:pPr>
              <w:pStyle w:val="BodyText"/>
              <w:rPr>
                <w:lang w:val="en-NZ"/>
              </w:rPr>
            </w:pPr>
            <w:r w:rsidRPr="00212E9E">
              <w:t>At least one occasion</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E9E" w:rsidP="00212E9E">
            <w:pPr>
              <w:pStyle w:val="BodyText"/>
            </w:pPr>
            <w:r w:rsidRPr="00212E9E">
              <w:t xml:space="preserve">Dealing with an unplanned event by drawing on </w:t>
            </w:r>
            <w:r w:rsidRPr="00212E9E">
              <w:t xml:space="preserve">essential knowledge and associated skills to provide appropriate solutions incorporated in the holistic assessment with </w:t>
            </w:r>
            <w:r w:rsidRPr="00212E9E">
              <w:t>the above listed items.</w:t>
            </w:r>
          </w:p>
        </w:tc>
      </w:tr>
    </w:tbl>
    <w:p w:rsidR="00000000" w:rsidRPr="00212E9E" w:rsidP="00212E9E">
      <w:pPr>
        <w:pStyle w:val="BodyText"/>
      </w:pPr>
    </w:p>
    <w:tbl>
      <w:tblPr>
        <w:tblW w:w="0" w:type="auto"/>
        <w:tblLayout w:type="fixed"/>
        <w:tblCellMar>
          <w:left w:w="62" w:type="dxa"/>
          <w:right w:w="62" w:type="dxa"/>
        </w:tblCellMar>
        <w:tblLook w:val="0000"/>
      </w:tblPr>
      <w:tblGrid>
        <w:gridCol w:w="1890"/>
        <w:gridCol w:w="6570"/>
      </w:tblGrid>
      <w:tr w:rsidTr="00BC16C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rPr>
                <w:rStyle w:val="SpecialBold"/>
              </w:rPr>
              <w:t>9.3)</w:t>
            </w:r>
          </w:p>
        </w:tc>
      </w:tr>
      <w:tr w:rsidTr="00BC16C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t>This unit should be assessed as it relates to normal work practice using procedures, information and resources typical of a workplace. This should include:</w:t>
            </w:r>
          </w:p>
          <w:p w:rsidR="00000000" w:rsidRPr="00212E9E" w:rsidP="00212E9E">
            <w:pPr>
              <w:pStyle w:val="ListBullet"/>
            </w:pPr>
            <w:r w:rsidRPr="00212E9E">
              <w:t>OHS policy and work procedures and instructions.</w:t>
            </w:r>
          </w:p>
          <w:p w:rsidR="00000000" w:rsidRPr="00212E9E" w:rsidP="00212E9E">
            <w:pPr>
              <w:pStyle w:val="ListBullet"/>
            </w:pPr>
            <w:r w:rsidRPr="00212E9E">
              <w:t>Suitable work environment, facilities, equipment and materials to undertake actual design of customer substations.</w:t>
            </w:r>
          </w:p>
          <w:p w:rsidR="00000000" w:rsidRPr="00212E9E" w:rsidP="00212E9E">
            <w:pPr>
              <w:pStyle w:val="BodyText"/>
            </w:pPr>
            <w:r w:rsidRPr="00212E9E">
              <w:t>In addition to the resources listed above, in Context of and specific resources for assessme</w:t>
            </w:r>
            <w:r w:rsidRPr="00212E9E">
              <w:t>nt, evidence should show demonstrated competency working realistic environment and a variety of conditions.</w:t>
            </w:r>
          </w:p>
        </w:tc>
      </w:tr>
    </w:tbl>
    <w:p w:rsidR="00000000" w:rsidRPr="00212E9E" w:rsidP="00212E9E">
      <w:pPr>
        <w:pStyle w:val="BodyText"/>
      </w:pPr>
    </w:p>
    <w:tbl>
      <w:tblPr>
        <w:tblW w:w="0" w:type="auto"/>
        <w:tblLayout w:type="fixed"/>
        <w:tblCellMar>
          <w:left w:w="62" w:type="dxa"/>
          <w:right w:w="62" w:type="dxa"/>
        </w:tblCellMar>
        <w:tblLook w:val="0000"/>
      </w:tblPr>
      <w:tblGrid>
        <w:gridCol w:w="1890"/>
        <w:gridCol w:w="6570"/>
      </w:tblGrid>
      <w:tr w:rsidTr="00BC16C0">
        <w:tblPrEx>
          <w:tblW w:w="0" w:type="auto"/>
          <w:tblLayout w:type="fixed"/>
          <w:tblCellMar>
            <w:left w:w="62" w:type="dxa"/>
            <w:right w:w="62" w:type="dxa"/>
          </w:tblCellMar>
          <w:tblLook w:val="0000"/>
        </w:tblPrEx>
        <w:trPr>
          <w:trHeight w:val="677"/>
        </w:trPr>
        <w:tc>
          <w:tcPr>
            <w:tcW w:w="189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rPr>
                <w:rStyle w:val="SpecialBold"/>
              </w:rPr>
              <w:t>9.4)</w:t>
            </w:r>
          </w:p>
        </w:tc>
      </w:tr>
      <w:tr w:rsidTr="00BC16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t>This Competency Standard Unit shall be assessed by methods given in Volume 1, Part 3 “Assessment Guidelines”.</w:t>
            </w:r>
          </w:p>
          <w:p w:rsidR="00000000" w:rsidRPr="00212E9E" w:rsidP="00212E9E">
            <w:pPr>
              <w:pStyle w:val="BodyText"/>
            </w:pPr>
            <w:r w:rsidRPr="00212E9E">
              <w:t>Note:</w:t>
            </w:r>
          </w:p>
          <w:p w:rsidR="00000000" w:rsidRPr="00212E9E" w:rsidP="00212E9E">
            <w:pPr>
              <w:pStyle w:val="BodyText"/>
            </w:pPr>
            <w:r w:rsidRPr="00212E9E">
              <w:t>Competent performance with inherent safe working practices is expected in the Industry to which this Competency Standard Unit applies. This requires that the specified essential knowledge and associated skills are assessed in a structured environment which</w:t>
            </w:r>
            <w:r w:rsidRPr="00212E9E">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212E9E" w:rsidP="00212E9E">
      <w:pPr>
        <w:pStyle w:val="BodyText"/>
      </w:pPr>
    </w:p>
    <w:tbl>
      <w:tblPr>
        <w:tblW w:w="0" w:type="auto"/>
        <w:tblLayout w:type="fixed"/>
        <w:tblCellMar>
          <w:left w:w="62" w:type="dxa"/>
          <w:right w:w="62" w:type="dxa"/>
        </w:tblCellMar>
        <w:tblLook w:val="0000"/>
      </w:tblPr>
      <w:tblGrid>
        <w:gridCol w:w="1890"/>
        <w:gridCol w:w="6570"/>
      </w:tblGrid>
      <w:tr w:rsidTr="00BC16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rPr>
                <w:rStyle w:val="SpecialBold"/>
              </w:rPr>
              <w:t>Concurrent assessment and relationship wi</w:t>
            </w:r>
            <w:r w:rsidRPr="00212E9E">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rPr>
                <w:rStyle w:val="SpecialBold"/>
              </w:rPr>
              <w:t>9.5)</w:t>
            </w:r>
          </w:p>
        </w:tc>
      </w:tr>
      <w:tr w:rsidTr="00BC16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t>There are no recommended concurrent assessments with this unit, however in some cases efficiencies may be gained in terms of learning and assessment effort being concurrently managed.</w:t>
            </w:r>
          </w:p>
        </w:tc>
      </w:tr>
    </w:tbl>
    <w:p w:rsidR="00000000" w:rsidRPr="00212E9E" w:rsidP="00212E9E">
      <w:pPr>
        <w:pStyle w:val="BodyText"/>
      </w:pPr>
    </w:p>
    <w:p w:rsidR="00000000" w:rsidRPr="00212E9E" w:rsidP="00212E9E">
      <w:pPr>
        <w:pStyle w:val="AllowPageBreak"/>
      </w:pPr>
    </w:p>
    <w:p w:rsidR="00000000" w:rsidRPr="00212E9E" w:rsidP="00212E9E">
      <w:pPr>
        <w:pStyle w:val="Heading1"/>
      </w:pPr>
      <w:bookmarkStart w:id="11" w:name="O_463627"/>
      <w:bookmarkEnd w:id="11"/>
      <w:r w:rsidRPr="00212E9E">
        <w:t>Range Statement</w:t>
      </w:r>
    </w:p>
    <w:tbl>
      <w:tblPr>
        <w:tblW w:w="0" w:type="auto"/>
        <w:tblLayout w:type="fixed"/>
        <w:tblCellMar>
          <w:left w:w="62" w:type="dxa"/>
          <w:right w:w="62" w:type="dxa"/>
        </w:tblCellMar>
        <w:tblLook w:val="0000"/>
      </w:tblPr>
      <w:tblGrid>
        <w:gridCol w:w="8460"/>
      </w:tblGrid>
      <w:tr w:rsidTr="00BC16C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rPr>
                <w:rStyle w:val="SpecialBold"/>
              </w:rPr>
              <w:t>RANGE STATEMENT</w:t>
            </w:r>
          </w:p>
        </w:tc>
      </w:tr>
      <w:tr w:rsidTr="00BC16C0">
        <w:tblPrEx>
          <w:tblW w:w="0" w:type="auto"/>
          <w:tblLayout w:type="fixed"/>
          <w:tblCellMar>
            <w:left w:w="62" w:type="dxa"/>
            <w:right w:w="62" w:type="dxa"/>
          </w:tblCellMar>
          <w:tblLook w:val="0000"/>
        </w:tblPrEx>
        <w:trPr>
          <w:trHeight w:val="13123"/>
        </w:trPr>
        <w:tc>
          <w:tcPr>
            <w:tcW w:w="846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rPr>
                <w:rStyle w:val="SpecialBold"/>
              </w:rPr>
              <w:t>10)</w:t>
            </w:r>
            <w:r w:rsidRPr="00212E9E">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212E9E" w:rsidP="00212E9E">
            <w:pPr>
              <w:pStyle w:val="BodyText"/>
            </w:pPr>
            <w:r w:rsidRPr="00212E9E">
              <w:t xml:space="preserve">This Competency Standard </w:t>
            </w:r>
            <w:r w:rsidRPr="00212E9E">
              <w:t>Unit shall be demonstrated in relation to the design of customer substations and may include the following:</w:t>
            </w:r>
          </w:p>
          <w:p w:rsidR="00000000" w:rsidRPr="00212E9E" w:rsidP="00212E9E">
            <w:pPr>
              <w:pStyle w:val="BodyText"/>
            </w:pPr>
            <w:r w:rsidRPr="00212E9E">
              <w:t>Substations, transformers, HV switchgear, LV switchgear, relevant protection systems, (fuses and circuit breakers), civil works, customer distributi</w:t>
            </w:r>
            <w:r w:rsidRPr="00212E9E">
              <w:t>on boards.</w:t>
            </w:r>
          </w:p>
          <w:p w:rsidR="00000000" w:rsidRPr="00212E9E" w:rsidP="00212E9E">
            <w:pPr>
              <w:pStyle w:val="BodyText"/>
            </w:pPr>
            <w:r w:rsidRPr="00212E9E">
              <w:t>The following constants and variables included in the element/Performance Criteria in this unit are fully described in the Definitions Section 1 of this volume and form an integral part of the Range Statement of this unit:</w:t>
            </w:r>
          </w:p>
          <w:p w:rsidR="00000000" w:rsidRPr="00212E9E" w:rsidP="00212E9E">
            <w:pPr>
              <w:pStyle w:val="ListBullet3"/>
            </w:pPr>
            <w:r w:rsidRPr="00212E9E">
              <w:t>Appropriate and relev</w:t>
            </w:r>
            <w:r w:rsidRPr="00212E9E">
              <w:t>ant persons (see Personnel)</w:t>
            </w:r>
          </w:p>
          <w:p w:rsidR="00000000" w:rsidRPr="00212E9E" w:rsidP="00212E9E">
            <w:pPr>
              <w:pStyle w:val="ListBullet3"/>
            </w:pPr>
            <w:r w:rsidRPr="00212E9E">
              <w:t>Appropriate authorities</w:t>
            </w:r>
          </w:p>
          <w:p w:rsidR="00000000" w:rsidRPr="00212E9E" w:rsidP="00212E9E">
            <w:pPr>
              <w:pStyle w:val="ListBullet3"/>
            </w:pPr>
            <w:r w:rsidRPr="00212E9E">
              <w:t>Appropriate work platform.</w:t>
            </w:r>
          </w:p>
          <w:p w:rsidR="00000000" w:rsidRPr="00212E9E" w:rsidP="00212E9E">
            <w:pPr>
              <w:pStyle w:val="ListBullet3"/>
            </w:pPr>
            <w:r w:rsidRPr="00212E9E">
              <w:t>Assessing risk</w:t>
            </w:r>
          </w:p>
          <w:p w:rsidR="00000000" w:rsidRPr="00212E9E" w:rsidP="00212E9E">
            <w:pPr>
              <w:pStyle w:val="ListBullet3"/>
            </w:pPr>
            <w:r w:rsidRPr="00212E9E">
              <w:t>Assessment</w:t>
            </w:r>
          </w:p>
          <w:p w:rsidR="00000000" w:rsidRPr="00212E9E" w:rsidP="00212E9E">
            <w:pPr>
              <w:pStyle w:val="ListBullet3"/>
            </w:pPr>
            <w:r w:rsidRPr="00212E9E">
              <w:t xml:space="preserve">Authorisation </w:t>
            </w:r>
          </w:p>
          <w:p w:rsidR="00000000" w:rsidRPr="00212E9E" w:rsidP="00212E9E">
            <w:pPr>
              <w:pStyle w:val="ListBullet3"/>
            </w:pPr>
            <w:r w:rsidRPr="00212E9E">
              <w:t>Confined space</w:t>
            </w:r>
          </w:p>
          <w:p w:rsidR="00000000" w:rsidRPr="00212E9E" w:rsidP="00212E9E">
            <w:pPr>
              <w:pStyle w:val="ListBullet3"/>
            </w:pPr>
            <w:r w:rsidRPr="00212E9E">
              <w:t>Diagnostic, testing and restoration.</w:t>
            </w:r>
          </w:p>
          <w:p w:rsidR="00000000" w:rsidRPr="00212E9E" w:rsidP="00212E9E">
            <w:pPr>
              <w:pStyle w:val="ListBullet3"/>
            </w:pPr>
            <w:r w:rsidRPr="00212E9E">
              <w:t>Documenting detail work events, record keeping and or storage of information.</w:t>
            </w:r>
          </w:p>
          <w:p w:rsidR="00000000" w:rsidRPr="00212E9E" w:rsidP="00212E9E">
            <w:pPr>
              <w:pStyle w:val="ListBullet3"/>
            </w:pPr>
            <w:r w:rsidRPr="00212E9E">
              <w:t xml:space="preserve">Drawings and specifications </w:t>
            </w:r>
          </w:p>
          <w:p w:rsidR="00000000" w:rsidRPr="00212E9E" w:rsidP="00212E9E">
            <w:pPr>
              <w:pStyle w:val="ListBullet3"/>
            </w:pPr>
            <w:r w:rsidRPr="00212E9E">
              <w:t>Emergency</w:t>
            </w:r>
          </w:p>
          <w:p w:rsidR="00000000" w:rsidRPr="00212E9E" w:rsidP="00212E9E">
            <w:pPr>
              <w:pStyle w:val="ListBullet3"/>
            </w:pPr>
            <w:r w:rsidRPr="00212E9E">
              <w:t>Environmental and sustainable energy procedures</w:t>
            </w:r>
          </w:p>
          <w:p w:rsidR="00000000" w:rsidRPr="00212E9E" w:rsidP="00212E9E">
            <w:pPr>
              <w:pStyle w:val="ListBullet3"/>
            </w:pPr>
            <w:r w:rsidRPr="00212E9E">
              <w:t>Environmental legislation.</w:t>
            </w:r>
          </w:p>
          <w:p w:rsidR="00000000" w:rsidRPr="00212E9E" w:rsidP="00212E9E">
            <w:pPr>
              <w:pStyle w:val="ListBullet3"/>
            </w:pPr>
            <w:r w:rsidRPr="00212E9E">
              <w:t>Environmental management documentation.</w:t>
            </w:r>
          </w:p>
          <w:p w:rsidR="00000000" w:rsidRPr="00212E9E" w:rsidP="00212E9E">
            <w:pPr>
              <w:pStyle w:val="ListBullet3"/>
            </w:pPr>
            <w:r w:rsidRPr="00212E9E">
              <w:t>Established procedures.</w:t>
            </w:r>
          </w:p>
          <w:p w:rsidR="00000000" w:rsidRPr="00212E9E" w:rsidP="00212E9E">
            <w:pPr>
              <w:pStyle w:val="ListBullet3"/>
            </w:pPr>
            <w:r w:rsidRPr="00212E9E">
              <w:t>Fall prevention</w:t>
            </w:r>
          </w:p>
          <w:p w:rsidR="00000000" w:rsidRPr="00212E9E" w:rsidP="00212E9E">
            <w:pPr>
              <w:pStyle w:val="ListBullet3"/>
            </w:pPr>
            <w:r w:rsidRPr="00212E9E">
              <w:t>Hazards</w:t>
            </w:r>
          </w:p>
          <w:p w:rsidR="00000000" w:rsidRPr="00212E9E" w:rsidP="00212E9E">
            <w:pPr>
              <w:pStyle w:val="ListBullet3"/>
            </w:pPr>
            <w:r w:rsidRPr="00212E9E">
              <w:t>Identifying hazards</w:t>
            </w:r>
          </w:p>
          <w:p w:rsidR="00000000" w:rsidRPr="00212E9E" w:rsidP="00212E9E">
            <w:pPr>
              <w:pStyle w:val="ListBullet3"/>
            </w:pPr>
            <w:r w:rsidRPr="00212E9E">
              <w:t>Inspect</w:t>
            </w:r>
          </w:p>
          <w:p w:rsidR="00000000" w:rsidRPr="00212E9E" w:rsidP="00212E9E">
            <w:pPr>
              <w:pStyle w:val="ListBullet3"/>
            </w:pPr>
            <w:r w:rsidRPr="00212E9E">
              <w:t>Legislation</w:t>
            </w:r>
          </w:p>
          <w:p w:rsidR="00000000" w:rsidRPr="00212E9E" w:rsidP="00212E9E">
            <w:pPr>
              <w:pStyle w:val="ListBullet3"/>
            </w:pPr>
            <w:r w:rsidRPr="00212E9E">
              <w:t>MSDS</w:t>
            </w:r>
          </w:p>
          <w:p w:rsidR="00000000" w:rsidRPr="00212E9E" w:rsidP="00212E9E">
            <w:pPr>
              <w:pStyle w:val="ListBullet3"/>
            </w:pPr>
            <w:r w:rsidRPr="00212E9E">
              <w:t>Notificat</w:t>
            </w:r>
            <w:r w:rsidRPr="00212E9E">
              <w:t>ion.</w:t>
            </w:r>
          </w:p>
          <w:p w:rsidR="00000000" w:rsidRPr="00212E9E" w:rsidP="00212E9E">
            <w:pPr>
              <w:pStyle w:val="ListBullet3"/>
            </w:pPr>
            <w:r w:rsidRPr="00212E9E">
              <w:t>OHS practices</w:t>
            </w:r>
          </w:p>
          <w:p w:rsidR="00000000" w:rsidRPr="00212E9E" w:rsidP="00212E9E">
            <w:pPr>
              <w:pStyle w:val="ListBullet3"/>
            </w:pPr>
            <w:r w:rsidRPr="00212E9E">
              <w:t>OHS issues</w:t>
            </w:r>
          </w:p>
          <w:p w:rsidR="00000000" w:rsidRPr="00212E9E" w:rsidP="00212E9E">
            <w:pPr>
              <w:pStyle w:val="ListBullet3"/>
            </w:pPr>
            <w:r w:rsidRPr="00212E9E">
              <w:t>Permits and / or permits to work</w:t>
            </w:r>
          </w:p>
          <w:p w:rsidR="00000000" w:rsidRPr="00212E9E" w:rsidP="00212E9E">
            <w:pPr>
              <w:pStyle w:val="ListBullet3"/>
            </w:pPr>
            <w:r w:rsidRPr="00212E9E">
              <w:t>Personnel.</w:t>
            </w:r>
          </w:p>
          <w:p w:rsidR="00000000" w:rsidRPr="00212E9E" w:rsidP="00212E9E">
            <w:pPr>
              <w:pStyle w:val="ListBullet3"/>
            </w:pPr>
            <w:r w:rsidRPr="00212E9E">
              <w:t>Quality assurance systems.</w:t>
            </w:r>
          </w:p>
          <w:p w:rsidR="00000000" w:rsidRPr="00212E9E" w:rsidP="00212E9E">
            <w:pPr>
              <w:pStyle w:val="ListBullet3"/>
            </w:pPr>
            <w:r w:rsidRPr="00212E9E">
              <w:t>Requirements.</w:t>
            </w:r>
          </w:p>
          <w:p w:rsidR="00000000" w:rsidRPr="00212E9E" w:rsidP="00212E9E">
            <w:pPr>
              <w:pStyle w:val="ListBullet3"/>
            </w:pPr>
            <w:r w:rsidRPr="00212E9E">
              <w:t>Safe design principles</w:t>
            </w:r>
          </w:p>
          <w:p w:rsidR="00000000" w:rsidRPr="00212E9E" w:rsidP="00212E9E">
            <w:pPr>
              <w:pStyle w:val="ListBullet3"/>
            </w:pPr>
            <w:r w:rsidRPr="00212E9E">
              <w:t>Testing procedures</w:t>
            </w:r>
          </w:p>
          <w:p w:rsidR="00000000" w:rsidRPr="00212E9E" w:rsidP="00212E9E">
            <w:pPr>
              <w:pStyle w:val="ListBullet3"/>
            </w:pPr>
            <w:r w:rsidRPr="00212E9E">
              <w:t>Work clearance systems</w:t>
            </w:r>
          </w:p>
        </w:tc>
      </w:tr>
    </w:tbl>
    <w:p w:rsidR="00000000" w:rsidRPr="00212E9E" w:rsidP="00212E9E">
      <w:pPr>
        <w:pStyle w:val="BodyText"/>
      </w:pPr>
    </w:p>
    <w:p w:rsidR="00000000" w:rsidRPr="00212E9E" w:rsidP="00212E9E">
      <w:pPr>
        <w:pStyle w:val="AllowPageBreak"/>
      </w:pPr>
    </w:p>
    <w:p w:rsidR="00000000" w:rsidRPr="00212E9E" w:rsidP="00212E9E">
      <w:pPr>
        <w:pStyle w:val="Heading1"/>
      </w:pPr>
      <w:bookmarkStart w:id="12" w:name="O_463630"/>
      <w:bookmarkEnd w:id="12"/>
      <w:r w:rsidRPr="00212E9E">
        <w:t>Unit Sector(s)</w:t>
      </w:r>
    </w:p>
    <w:p w:rsidR="00000000" w:rsidRPr="00212E9E" w:rsidP="00212E9E">
      <w:pPr>
        <w:pStyle w:val="BodyText"/>
      </w:pPr>
      <w:r w:rsidRPr="00212E9E">
        <w:t>Not applicable.</w:t>
      </w:r>
    </w:p>
    <w:p w:rsidR="00000000" w:rsidRPr="00212E9E" w:rsidP="00212E9E">
      <w:pPr>
        <w:pStyle w:val="AllowPageBreak"/>
      </w:pPr>
    </w:p>
    <w:p w:rsidR="00000000" w:rsidRPr="00212E9E" w:rsidP="00212E9E">
      <w:pPr>
        <w:pStyle w:val="Heading1"/>
      </w:pPr>
      <w:bookmarkStart w:id="13" w:name="O_463619"/>
      <w:bookmarkEnd w:id="13"/>
      <w:r w:rsidRPr="00212E9E">
        <w:t>Competency Field</w:t>
      </w:r>
    </w:p>
    <w:tbl>
      <w:tblPr>
        <w:tblW w:w="0" w:type="auto"/>
        <w:tblLayout w:type="fixed"/>
        <w:tblCellMar>
          <w:left w:w="62" w:type="dxa"/>
          <w:right w:w="62" w:type="dxa"/>
        </w:tblCellMar>
        <w:tblLook w:val="0000"/>
      </w:tblPr>
      <w:tblGrid>
        <w:gridCol w:w="2700"/>
        <w:gridCol w:w="5760"/>
      </w:tblGrid>
      <w:tr w:rsidTr="00BC16C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12E9E">
            <w:pPr>
              <w:pStyle w:val="BodyText"/>
              <w:rPr>
                <w:lang w:val="en-NZ"/>
              </w:rPr>
            </w:pPr>
            <w:r w:rsidRPr="00212E9E">
              <w:rPr>
                <w:rStyle w:val="SpecialBold"/>
              </w:rPr>
              <w:t xml:space="preserve">11) </w:t>
            </w:r>
          </w:p>
        </w:tc>
      </w:tr>
      <w:tr w:rsidTr="00BC16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2E9E" w:rsidP="00212E9E">
            <w:pPr>
              <w:pStyle w:val="BodyText"/>
            </w:pPr>
            <w:r w:rsidRPr="00212E9E">
              <w:t>Design</w:t>
            </w:r>
          </w:p>
        </w:tc>
      </w:tr>
    </w:tbl>
    <w:p w:rsidR="00000000" w:rsidRPr="00212E9E" w:rsidP="00212E9E">
      <w:pPr>
        <w:pStyle w:val="BodyText"/>
      </w:pPr>
    </w:p>
    <w:p w:rsidR="00000000" w:rsidRPr="00212E9E" w:rsidP="00212E9E"/>
    <w:sectPr w:rsidSect="00212E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E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16C0" w:rsidP="00BC16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E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6C0" w:rsidP="00212E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C16C0" w:rsidP="00212E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C16C0" w:rsidP="00212E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E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16C0" w:rsidP="00BC16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E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6C0" w:rsidP="00212E9E">
    <w:pPr>
      <w:pStyle w:val="Header"/>
      <w:framePr w:wrap="around"/>
    </w:pPr>
    <w:r>
      <w:fldChar w:fldCharType="begin"/>
    </w:r>
    <w:r>
      <w:instrText xml:space="preserve"> TITLE   \* MERGEFORMAT </w:instrText>
    </w:r>
    <w:r>
      <w:fldChar w:fldCharType="separate"/>
    </w:r>
    <w:r>
      <w:t>UETTDRDS50A Design customer power system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C16C0" w:rsidP="00212E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4E64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6472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1661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E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2E9E"/>
    <w:pPr>
      <w:spacing w:before="360" w:after="60"/>
      <w:outlineLvl w:val="0"/>
    </w:pPr>
    <w:rPr>
      <w:sz w:val="32"/>
    </w:rPr>
  </w:style>
  <w:style w:type="paragraph" w:styleId="Heading2">
    <w:name w:val="heading 2"/>
    <w:basedOn w:val="HeadingBase"/>
    <w:next w:val="BodyText"/>
    <w:link w:val="Heading2Char"/>
    <w:qFormat/>
    <w:rsid w:val="00212E9E"/>
    <w:pPr>
      <w:keepLines/>
      <w:spacing w:before="240" w:after="120"/>
      <w:outlineLvl w:val="1"/>
    </w:pPr>
    <w:rPr>
      <w:sz w:val="28"/>
      <w:szCs w:val="40"/>
    </w:rPr>
  </w:style>
  <w:style w:type="paragraph" w:styleId="Heading3">
    <w:name w:val="heading 3"/>
    <w:basedOn w:val="HeadingBase"/>
    <w:next w:val="BodyText"/>
    <w:link w:val="Heading3Char"/>
    <w:qFormat/>
    <w:rsid w:val="00212E9E"/>
    <w:pPr>
      <w:spacing w:before="180" w:after="120"/>
      <w:outlineLvl w:val="2"/>
    </w:pPr>
    <w:rPr>
      <w:spacing w:val="-10"/>
      <w:kern w:val="32"/>
    </w:rPr>
  </w:style>
  <w:style w:type="paragraph" w:styleId="Heading4">
    <w:name w:val="heading 4"/>
    <w:basedOn w:val="HeadingBase"/>
    <w:next w:val="BodyText"/>
    <w:link w:val="Heading4Char"/>
    <w:qFormat/>
    <w:rsid w:val="00212E9E"/>
    <w:pPr>
      <w:spacing w:before="160" w:after="120"/>
      <w:outlineLvl w:val="3"/>
    </w:pPr>
    <w:rPr>
      <w:sz w:val="22"/>
    </w:rPr>
  </w:style>
  <w:style w:type="paragraph" w:styleId="Heading5">
    <w:name w:val="heading 5"/>
    <w:basedOn w:val="HeadingBase"/>
    <w:next w:val="Normal"/>
    <w:link w:val="Heading5Char"/>
    <w:qFormat/>
    <w:rsid w:val="00212E9E"/>
    <w:pPr>
      <w:spacing w:before="80"/>
      <w:outlineLvl w:val="4"/>
    </w:pPr>
    <w:rPr>
      <w:color w:val="918585"/>
      <w:sz w:val="20"/>
    </w:rPr>
  </w:style>
  <w:style w:type="paragraph" w:styleId="Heading6">
    <w:name w:val="heading 6"/>
    <w:basedOn w:val="HeadingBase"/>
    <w:next w:val="Normal"/>
    <w:link w:val="Heading6Char"/>
    <w:qFormat/>
    <w:rsid w:val="00212E9E"/>
    <w:pPr>
      <w:spacing w:before="60"/>
      <w:outlineLvl w:val="5"/>
    </w:pPr>
    <w:rPr>
      <w:color w:val="918585"/>
      <w:sz w:val="20"/>
    </w:rPr>
  </w:style>
  <w:style w:type="paragraph" w:styleId="Heading7">
    <w:name w:val="heading 7"/>
    <w:basedOn w:val="Normal"/>
    <w:next w:val="Normal"/>
    <w:link w:val="Heading7Char"/>
    <w:qFormat/>
    <w:rsid w:val="00212E9E"/>
    <w:pPr>
      <w:ind w:left="720"/>
      <w:outlineLvl w:val="6"/>
    </w:pPr>
    <w:rPr>
      <w:i/>
    </w:rPr>
  </w:style>
  <w:style w:type="paragraph" w:styleId="Heading8">
    <w:name w:val="heading 8"/>
    <w:basedOn w:val="Normal"/>
    <w:next w:val="Normal"/>
    <w:link w:val="Heading8Char"/>
    <w:qFormat/>
    <w:rsid w:val="00212E9E"/>
    <w:pPr>
      <w:ind w:left="720"/>
      <w:outlineLvl w:val="7"/>
    </w:pPr>
    <w:rPr>
      <w:i/>
    </w:rPr>
  </w:style>
  <w:style w:type="paragraph" w:styleId="Heading9">
    <w:name w:val="heading 9"/>
    <w:basedOn w:val="Normal"/>
    <w:next w:val="Normal"/>
    <w:link w:val="Heading9Char"/>
    <w:qFormat/>
    <w:rsid w:val="00212E9E"/>
    <w:pPr>
      <w:ind w:left="720"/>
      <w:outlineLvl w:val="8"/>
    </w:pPr>
    <w:rPr>
      <w:i/>
    </w:rPr>
  </w:style>
  <w:style w:type="character" w:default="1" w:styleId="DefaultParagraphFont">
    <w:name w:val="Default Paragraph Font"/>
    <w:uiPriority w:val="1"/>
    <w:unhideWhenUsed/>
    <w:rsid w:val="00212E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E9E"/>
  </w:style>
  <w:style w:type="character" w:customStyle="1" w:styleId="Heading1Char">
    <w:name w:val="Heading 1 Char"/>
    <w:basedOn w:val="DefaultParagraphFont"/>
    <w:link w:val="Heading1"/>
    <w:rsid w:val="00212E9E"/>
    <w:rPr>
      <w:rFonts w:ascii="Times New Roman" w:eastAsia="Times New Roman" w:hAnsi="Times New Roman" w:cs="Times New Roman"/>
      <w:b/>
      <w:sz w:val="32"/>
      <w:szCs w:val="20"/>
      <w:lang w:eastAsia="en-US"/>
    </w:rPr>
  </w:style>
  <w:style w:type="paragraph" w:styleId="BodyText">
    <w:name w:val="Body Text"/>
    <w:basedOn w:val="Normal"/>
    <w:link w:val="BodyTextChar"/>
    <w:rsid w:val="00212E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2E9E"/>
    <w:rPr>
      <w:rFonts w:ascii="Times New Roman" w:eastAsia="Times New Roman" w:hAnsi="Times New Roman" w:cs="Times New Roman"/>
      <w:sz w:val="24"/>
      <w:lang w:val="en-US" w:eastAsia="en-US"/>
    </w:rPr>
  </w:style>
  <w:style w:type="paragraph" w:styleId="Footer">
    <w:name w:val="footer"/>
    <w:basedOn w:val="Normal"/>
    <w:link w:val="FooterChar"/>
    <w:rsid w:val="00212E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E9E"/>
    <w:rPr>
      <w:rFonts w:ascii="Times New Roman" w:eastAsia="Times New Roman" w:hAnsi="Times New Roman" w:cs="Times New Roman"/>
      <w:sz w:val="16"/>
      <w:lang w:val="en-US" w:eastAsia="en-US"/>
    </w:rPr>
  </w:style>
  <w:style w:type="paragraph" w:styleId="ListBullet">
    <w:name w:val="List Bullet"/>
    <w:basedOn w:val="List"/>
    <w:rsid w:val="00212E9E"/>
    <w:pPr>
      <w:numPr>
        <w:numId w:val="14"/>
      </w:numPr>
      <w:tabs>
        <w:tab w:val="clear" w:pos="340"/>
      </w:tabs>
      <w:spacing w:before="40" w:after="40"/>
    </w:pPr>
  </w:style>
  <w:style w:type="character" w:customStyle="1" w:styleId="SpecialBold">
    <w:name w:val="Special Bold"/>
    <w:basedOn w:val="DefaultParagraphFont"/>
    <w:rsid w:val="00212E9E"/>
    <w:rPr>
      <w:b/>
      <w:spacing w:val="0"/>
    </w:rPr>
  </w:style>
  <w:style w:type="paragraph" w:styleId="ListBullet2">
    <w:name w:val="List Bullet 2"/>
    <w:basedOn w:val="List2"/>
    <w:rsid w:val="00212E9E"/>
    <w:pPr>
      <w:numPr>
        <w:numId w:val="15"/>
      </w:numPr>
      <w:tabs>
        <w:tab w:val="clear" w:pos="680"/>
      </w:tabs>
    </w:pPr>
  </w:style>
  <w:style w:type="paragraph" w:styleId="Header">
    <w:name w:val="header"/>
    <w:basedOn w:val="Normal"/>
    <w:link w:val="HeaderChar"/>
    <w:rsid w:val="00212E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E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2E9E"/>
    <w:pPr>
      <w:spacing w:before="240" w:after="120"/>
      <w:outlineLvl w:val="0"/>
    </w:pPr>
    <w:rPr>
      <w:rFonts w:ascii="Times New Roman" w:hAnsi="Times New Roman"/>
      <w:b/>
      <w:sz w:val="28"/>
    </w:rPr>
  </w:style>
  <w:style w:type="paragraph" w:customStyle="1" w:styleId="AllowPageBreak">
    <w:name w:val="AllowPageBreak"/>
    <w:rsid w:val="00212E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2E9E"/>
    <w:pPr>
      <w:numPr>
        <w:numId w:val="3"/>
      </w:numPr>
      <w:tabs>
        <w:tab w:val="clear" w:pos="1021"/>
      </w:tabs>
      <w:ind w:left="1037" w:hanging="357"/>
    </w:pPr>
  </w:style>
  <w:style w:type="character" w:customStyle="1" w:styleId="Heading2Char">
    <w:name w:val="Heading 2 Char"/>
    <w:basedOn w:val="DefaultParagraphFont"/>
    <w:link w:val="Heading2"/>
    <w:rsid w:val="00212E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E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E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E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E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E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2E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2E9E"/>
    <w:rPr>
      <w:rFonts w:ascii="Courier New" w:eastAsia="Times New Roman" w:hAnsi="Courier New" w:cs="Times New Roman"/>
      <w:i/>
      <w:szCs w:val="20"/>
      <w:lang w:val="en-US" w:eastAsia="en-US"/>
    </w:rPr>
  </w:style>
  <w:style w:type="paragraph" w:customStyle="1" w:styleId="HeadingBase">
    <w:name w:val="Heading Base"/>
    <w:rsid w:val="00212E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E9E"/>
    <w:pPr>
      <w:tabs>
        <w:tab w:val="right" w:leader="dot" w:pos="9072"/>
      </w:tabs>
      <w:ind w:left="567"/>
    </w:pPr>
    <w:rPr>
      <w:szCs w:val="22"/>
    </w:rPr>
  </w:style>
  <w:style w:type="paragraph" w:customStyle="1" w:styleId="TOCBase">
    <w:name w:val="TOC Base"/>
    <w:rsid w:val="00212E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E9E"/>
    <w:pPr>
      <w:tabs>
        <w:tab w:val="right" w:leader="dot" w:pos="9072"/>
      </w:tabs>
      <w:spacing w:before="40" w:after="40"/>
      <w:ind w:left="284"/>
    </w:pPr>
    <w:rPr>
      <w:rFonts w:ascii="Times New Roman" w:hAnsi="Times New Roman"/>
    </w:rPr>
  </w:style>
  <w:style w:type="paragraph" w:styleId="TOC1">
    <w:name w:val="toc 1"/>
    <w:basedOn w:val="TOCBase"/>
    <w:next w:val="Normal"/>
    <w:rsid w:val="00212E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2E9E"/>
    <w:pPr>
      <w:spacing w:before="5040"/>
      <w:jc w:val="center"/>
    </w:pPr>
    <w:rPr>
      <w:sz w:val="48"/>
      <w:szCs w:val="72"/>
      <w:lang w:val="en-US"/>
    </w:rPr>
  </w:style>
  <w:style w:type="character" w:customStyle="1" w:styleId="TitleChar">
    <w:name w:val="Title Char"/>
    <w:basedOn w:val="DefaultParagraphFont"/>
    <w:link w:val="Title"/>
    <w:rsid w:val="00212E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E9E"/>
    <w:pPr>
      <w:tabs>
        <w:tab w:val="left" w:pos="3600"/>
        <w:tab w:val="left" w:pos="3958"/>
      </w:tabs>
    </w:pPr>
  </w:style>
  <w:style w:type="paragraph" w:styleId="List">
    <w:name w:val="List"/>
    <w:basedOn w:val="BodyText"/>
    <w:next w:val="BodyText"/>
    <w:rsid w:val="00212E9E"/>
    <w:pPr>
      <w:tabs>
        <w:tab w:val="left" w:pos="340"/>
      </w:tabs>
      <w:spacing w:before="60" w:after="60"/>
      <w:ind w:left="340" w:hanging="340"/>
    </w:pPr>
  </w:style>
  <w:style w:type="paragraph" w:customStyle="1" w:styleId="Note">
    <w:name w:val="Note"/>
    <w:basedOn w:val="BodyText"/>
    <w:rsid w:val="00212E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E9E"/>
    <w:pPr>
      <w:framePr w:wrap="auto" w:hAnchor="text" w:y="6049"/>
    </w:pPr>
    <w:rPr>
      <w:color w:val="000000"/>
      <w:sz w:val="40"/>
    </w:rPr>
  </w:style>
  <w:style w:type="paragraph" w:customStyle="1" w:styleId="TOCTitle">
    <w:name w:val="TOCTitle"/>
    <w:basedOn w:val="Heading1"/>
    <w:rsid w:val="00212E9E"/>
    <w:pPr>
      <w:spacing w:after="240"/>
      <w:jc w:val="center"/>
      <w:outlineLvl w:val="9"/>
    </w:pPr>
    <w:rPr>
      <w:caps/>
    </w:rPr>
  </w:style>
  <w:style w:type="paragraph" w:customStyle="1" w:styleId="Version">
    <w:name w:val="Version"/>
    <w:rsid w:val="00212E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2E9E"/>
    <w:pPr>
      <w:keepNext w:val="0"/>
      <w:tabs>
        <w:tab w:val="right" w:pos="4176"/>
      </w:tabs>
      <w:ind w:left="198" w:hanging="198"/>
    </w:pPr>
    <w:rPr>
      <w:rFonts w:ascii="Garamond" w:hAnsi="Garamond"/>
    </w:rPr>
  </w:style>
  <w:style w:type="paragraph" w:styleId="IndexHeading">
    <w:name w:val="index heading"/>
    <w:basedOn w:val="Normal"/>
    <w:next w:val="Index1"/>
    <w:semiHidden/>
    <w:rsid w:val="00212E9E"/>
    <w:pPr>
      <w:spacing w:before="120" w:after="120"/>
    </w:pPr>
    <w:rPr>
      <w:rFonts w:ascii="Arial" w:hAnsi="Arial"/>
      <w:b/>
      <w:color w:val="918585"/>
      <w:sz w:val="24"/>
    </w:rPr>
  </w:style>
  <w:style w:type="paragraph" w:customStyle="1" w:styleId="Chapter">
    <w:name w:val="Chapter"/>
    <w:basedOn w:val="Normal"/>
    <w:rsid w:val="00212E9E"/>
    <w:pPr>
      <w:spacing w:before="240"/>
    </w:pPr>
    <w:rPr>
      <w:rFonts w:ascii="Times New Roman" w:hAnsi="Times New Roman"/>
      <w:smallCaps/>
      <w:spacing w:val="80"/>
      <w:sz w:val="28"/>
    </w:rPr>
  </w:style>
  <w:style w:type="paragraph" w:customStyle="1" w:styleId="InChapter">
    <w:name w:val="InChapter"/>
    <w:basedOn w:val="Heading3"/>
    <w:rsid w:val="00212E9E"/>
    <w:pPr>
      <w:spacing w:after="240"/>
      <w:outlineLvl w:val="9"/>
    </w:pPr>
    <w:rPr>
      <w:noProof/>
    </w:rPr>
  </w:style>
  <w:style w:type="paragraph" w:styleId="Index2">
    <w:name w:val="index 2"/>
    <w:basedOn w:val="Normal"/>
    <w:next w:val="Normal"/>
    <w:semiHidden/>
    <w:rsid w:val="00212E9E"/>
    <w:pPr>
      <w:tabs>
        <w:tab w:val="right" w:pos="4176"/>
      </w:tabs>
      <w:ind w:left="568" w:hanging="284"/>
    </w:pPr>
    <w:rPr>
      <w:rFonts w:ascii="Garamond" w:hAnsi="Garamond"/>
    </w:rPr>
  </w:style>
  <w:style w:type="paragraph" w:customStyle="1" w:styleId="Byline">
    <w:name w:val="Byline"/>
    <w:rsid w:val="00212E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E9E"/>
    <w:pPr>
      <w:tabs>
        <w:tab w:val="clear" w:pos="3600"/>
        <w:tab w:val="clear" w:pos="3958"/>
      </w:tabs>
      <w:jc w:val="right"/>
    </w:pPr>
  </w:style>
  <w:style w:type="character" w:styleId="Emphasis">
    <w:name w:val="Emphasis"/>
    <w:basedOn w:val="DefaultParagraphFont"/>
    <w:qFormat/>
    <w:rsid w:val="00212E9E"/>
    <w:rPr>
      <w:i/>
    </w:rPr>
  </w:style>
  <w:style w:type="paragraph" w:styleId="Caption">
    <w:name w:val="caption"/>
    <w:basedOn w:val="BodyText"/>
    <w:next w:val="Normal"/>
    <w:qFormat/>
    <w:rsid w:val="00212E9E"/>
    <w:pPr>
      <w:framePr w:w="2268" w:hSpace="181" w:vSpace="181" w:wrap="around" w:vAnchor="text" w:hAnchor="page" w:x="1135" w:y="285" w:anchorLock="1"/>
    </w:pPr>
    <w:rPr>
      <w:i/>
    </w:rPr>
  </w:style>
  <w:style w:type="paragraph" w:customStyle="1" w:styleId="MiniTOCTitle">
    <w:name w:val="MiniTOCTitle"/>
    <w:basedOn w:val="Heading4"/>
    <w:rsid w:val="00212E9E"/>
    <w:pPr>
      <w:spacing w:before="240"/>
      <w:outlineLvl w:val="9"/>
    </w:pPr>
    <w:rPr>
      <w:noProof/>
      <w:sz w:val="24"/>
    </w:rPr>
  </w:style>
  <w:style w:type="paragraph" w:customStyle="1" w:styleId="MiniTOCItem">
    <w:name w:val="MiniTOCItem"/>
    <w:basedOn w:val="ListBullet"/>
    <w:rsid w:val="00212E9E"/>
    <w:pPr>
      <w:numPr>
        <w:numId w:val="0"/>
      </w:numPr>
      <w:tabs>
        <w:tab w:val="right" w:leader="dot" w:pos="6521"/>
      </w:tabs>
      <w:spacing w:before="0" w:after="0"/>
    </w:pPr>
  </w:style>
  <w:style w:type="paragraph" w:customStyle="1" w:styleId="TOFTitle">
    <w:name w:val="TOFTitle"/>
    <w:basedOn w:val="TOCTitle"/>
    <w:rsid w:val="00212E9E"/>
  </w:style>
  <w:style w:type="paragraph" w:styleId="TableofFigures">
    <w:name w:val="table of figures"/>
    <w:basedOn w:val="Normal"/>
    <w:next w:val="Normal"/>
    <w:semiHidden/>
    <w:rsid w:val="00212E9E"/>
    <w:pPr>
      <w:tabs>
        <w:tab w:val="right" w:leader="dot" w:pos="9072"/>
      </w:tabs>
      <w:ind w:left="970" w:hanging="403"/>
    </w:pPr>
    <w:rPr>
      <w:rFonts w:ascii="Times New Roman" w:hAnsi="Times New Roman"/>
      <w:b/>
    </w:rPr>
  </w:style>
  <w:style w:type="paragraph" w:styleId="ListNumber">
    <w:name w:val="List Number"/>
    <w:basedOn w:val="List"/>
    <w:rsid w:val="00212E9E"/>
    <w:pPr>
      <w:numPr>
        <w:numId w:val="12"/>
      </w:numPr>
    </w:pPr>
  </w:style>
  <w:style w:type="character" w:customStyle="1" w:styleId="WingdingSymbols">
    <w:name w:val="Wingding Symbols"/>
    <w:rsid w:val="00212E9E"/>
    <w:rPr>
      <w:rFonts w:ascii="Wingdings" w:hAnsi="Wingdings"/>
    </w:rPr>
  </w:style>
  <w:style w:type="paragraph" w:customStyle="1" w:styleId="TableHeading">
    <w:name w:val="Table Heading"/>
    <w:basedOn w:val="HeadingBase"/>
    <w:rsid w:val="00212E9E"/>
    <w:pPr>
      <w:keepLines/>
      <w:pBdr>
        <w:bottom w:val="single" w:sz="6" w:space="1" w:color="918585"/>
      </w:pBdr>
      <w:spacing w:before="240"/>
    </w:pPr>
  </w:style>
  <w:style w:type="character" w:customStyle="1" w:styleId="HotSpot">
    <w:name w:val="HotSpot"/>
    <w:rsid w:val="00212E9E"/>
    <w:rPr>
      <w:color w:val="0033CC"/>
      <w:u w:val="none"/>
    </w:rPr>
  </w:style>
  <w:style w:type="paragraph" w:customStyle="1" w:styleId="BodyTextRight">
    <w:name w:val="Body Text Right"/>
    <w:basedOn w:val="BodyText"/>
    <w:rsid w:val="00212E9E"/>
    <w:pPr>
      <w:spacing w:before="0" w:after="0"/>
      <w:jc w:val="right"/>
    </w:pPr>
  </w:style>
  <w:style w:type="paragraph" w:styleId="Index3">
    <w:name w:val="index 3"/>
    <w:basedOn w:val="ListNumber2"/>
    <w:next w:val="Normal"/>
    <w:semiHidden/>
    <w:rsid w:val="00212E9E"/>
    <w:pPr>
      <w:numPr>
        <w:numId w:val="0"/>
      </w:numPr>
      <w:tabs>
        <w:tab w:val="right" w:leader="dot" w:pos="4176"/>
      </w:tabs>
    </w:pPr>
  </w:style>
  <w:style w:type="paragraph" w:styleId="ListNumber2">
    <w:name w:val="List Number 2"/>
    <w:basedOn w:val="List2"/>
    <w:rsid w:val="00212E9E"/>
    <w:pPr>
      <w:numPr>
        <w:numId w:val="11"/>
      </w:numPr>
      <w:tabs>
        <w:tab w:val="clear" w:pos="1060"/>
      </w:tabs>
    </w:pPr>
  </w:style>
  <w:style w:type="paragraph" w:customStyle="1" w:styleId="MarginNote">
    <w:name w:val="Margin Note"/>
    <w:basedOn w:val="BodyText"/>
    <w:rsid w:val="00212E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E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E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2E9E"/>
    <w:rPr>
      <w:sz w:val="32"/>
    </w:rPr>
  </w:style>
  <w:style w:type="paragraph" w:customStyle="1" w:styleId="HeadingProcedure">
    <w:name w:val="Heading Procedure"/>
    <w:basedOn w:val="HeadingBase"/>
    <w:next w:val="Normal"/>
    <w:rsid w:val="00212E9E"/>
    <w:pPr>
      <w:tabs>
        <w:tab w:val="left" w:pos="0"/>
      </w:tabs>
      <w:spacing w:before="120" w:after="60"/>
    </w:pPr>
    <w:rPr>
      <w:i/>
      <w:color w:val="918585"/>
      <w:sz w:val="22"/>
    </w:rPr>
  </w:style>
  <w:style w:type="paragraph" w:customStyle="1" w:styleId="TableBodyText">
    <w:name w:val="Table Body Text"/>
    <w:basedOn w:val="BodyText"/>
    <w:rsid w:val="00212E9E"/>
    <w:pPr>
      <w:spacing w:before="60" w:after="60"/>
    </w:pPr>
  </w:style>
  <w:style w:type="paragraph" w:styleId="ListContinue">
    <w:name w:val="List Continue"/>
    <w:basedOn w:val="List"/>
    <w:rsid w:val="00212E9E"/>
    <w:pPr>
      <w:ind w:firstLine="0"/>
    </w:pPr>
  </w:style>
  <w:style w:type="paragraph" w:customStyle="1" w:styleId="ListNote">
    <w:name w:val="List Note"/>
    <w:basedOn w:val="List"/>
    <w:rsid w:val="00212E9E"/>
    <w:pPr>
      <w:pBdr>
        <w:top w:val="single" w:sz="6" w:space="2" w:color="918585"/>
        <w:bottom w:val="single" w:sz="6" w:space="2" w:color="918585"/>
      </w:pBdr>
      <w:tabs>
        <w:tab w:val="left" w:pos="1021"/>
      </w:tabs>
      <w:ind w:firstLine="0"/>
    </w:pPr>
  </w:style>
  <w:style w:type="paragraph" w:customStyle="1" w:styleId="Warning">
    <w:name w:val="Warning"/>
    <w:basedOn w:val="BodyText"/>
    <w:rsid w:val="00212E9E"/>
    <w:pPr>
      <w:shd w:val="clear" w:color="auto" w:fill="D9D9D9"/>
      <w:tabs>
        <w:tab w:val="left" w:pos="992"/>
      </w:tabs>
      <w:ind w:left="119" w:right="119"/>
    </w:pPr>
    <w:rPr>
      <w:sz w:val="20"/>
    </w:rPr>
  </w:style>
  <w:style w:type="paragraph" w:customStyle="1" w:styleId="MarginIcons">
    <w:name w:val="Margin Icons"/>
    <w:basedOn w:val="BodyText"/>
    <w:rsid w:val="00212E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E9E"/>
    <w:rPr>
      <w:rFonts w:ascii="Courier New" w:hAnsi="Courier New"/>
    </w:rPr>
  </w:style>
  <w:style w:type="paragraph" w:customStyle="1" w:styleId="NoteBullet">
    <w:name w:val="Note Bullet"/>
    <w:basedOn w:val="Note"/>
    <w:rsid w:val="00212E9E"/>
    <w:pPr>
      <w:tabs>
        <w:tab w:val="clear" w:pos="680"/>
      </w:tabs>
      <w:spacing w:before="60" w:after="60"/>
    </w:pPr>
  </w:style>
  <w:style w:type="paragraph" w:customStyle="1" w:styleId="SubHeading2">
    <w:name w:val="SubHeading2"/>
    <w:basedOn w:val="HeadingBase"/>
    <w:rsid w:val="00212E9E"/>
    <w:pPr>
      <w:spacing w:before="240" w:after="60"/>
    </w:pPr>
    <w:rPr>
      <w:sz w:val="20"/>
    </w:rPr>
  </w:style>
  <w:style w:type="paragraph" w:customStyle="1" w:styleId="SubHeading1">
    <w:name w:val="SubHeading1"/>
    <w:basedOn w:val="HeadingBase"/>
    <w:rsid w:val="00212E9E"/>
    <w:pPr>
      <w:spacing w:before="240" w:after="60"/>
    </w:pPr>
    <w:rPr>
      <w:color w:val="918585"/>
      <w:sz w:val="22"/>
    </w:rPr>
  </w:style>
  <w:style w:type="paragraph" w:customStyle="1" w:styleId="SideHeading">
    <w:name w:val="Side Heading"/>
    <w:basedOn w:val="HeadingBase"/>
    <w:rsid w:val="00212E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E9E"/>
    <w:pPr>
      <w:numPr>
        <w:numId w:val="13"/>
      </w:numPr>
    </w:pPr>
  </w:style>
  <w:style w:type="paragraph" w:styleId="PlainText">
    <w:name w:val="Plain Text"/>
    <w:basedOn w:val="Normal"/>
    <w:link w:val="PlainTextChar"/>
    <w:rsid w:val="00212E9E"/>
    <w:rPr>
      <w:sz w:val="20"/>
    </w:rPr>
  </w:style>
  <w:style w:type="character" w:customStyle="1" w:styleId="PlainTextChar">
    <w:name w:val="Plain Text Char"/>
    <w:basedOn w:val="DefaultParagraphFont"/>
    <w:link w:val="PlainText"/>
    <w:rsid w:val="00212E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2E9E"/>
    <w:rPr>
      <w:b/>
      <w:smallCaps/>
    </w:rPr>
  </w:style>
  <w:style w:type="paragraph" w:customStyle="1" w:styleId="TableListNumber">
    <w:name w:val="Table List Number"/>
    <w:basedOn w:val="ListNumber"/>
    <w:rsid w:val="00212E9E"/>
    <w:pPr>
      <w:numPr>
        <w:numId w:val="0"/>
      </w:numPr>
    </w:pPr>
  </w:style>
  <w:style w:type="paragraph" w:styleId="TOC4">
    <w:name w:val="toc 4"/>
    <w:basedOn w:val="TOCBase"/>
    <w:next w:val="Normal"/>
    <w:semiHidden/>
    <w:rsid w:val="00212E9E"/>
    <w:pPr>
      <w:tabs>
        <w:tab w:val="right" w:leader="dot" w:pos="9071"/>
      </w:tabs>
      <w:ind w:left="1701"/>
    </w:pPr>
  </w:style>
  <w:style w:type="paragraph" w:customStyle="1" w:styleId="ListAlpha">
    <w:name w:val="List Alpha"/>
    <w:basedOn w:val="List"/>
    <w:rsid w:val="00212E9E"/>
    <w:pPr>
      <w:numPr>
        <w:numId w:val="10"/>
      </w:numPr>
    </w:pPr>
  </w:style>
  <w:style w:type="paragraph" w:customStyle="1" w:styleId="ListAlpha2">
    <w:name w:val="List Alpha 2"/>
    <w:basedOn w:val="List2"/>
    <w:rsid w:val="00212E9E"/>
    <w:pPr>
      <w:numPr>
        <w:numId w:val="9"/>
      </w:numPr>
    </w:pPr>
  </w:style>
  <w:style w:type="paragraph" w:styleId="List2">
    <w:name w:val="List 2"/>
    <w:basedOn w:val="BodyText"/>
    <w:rsid w:val="00212E9E"/>
    <w:pPr>
      <w:tabs>
        <w:tab w:val="left" w:pos="680"/>
      </w:tabs>
      <w:spacing w:before="60" w:after="60"/>
      <w:ind w:left="680" w:hanging="340"/>
    </w:pPr>
  </w:style>
  <w:style w:type="paragraph" w:styleId="List3">
    <w:name w:val="List 3"/>
    <w:basedOn w:val="BodyText"/>
    <w:rsid w:val="00212E9E"/>
    <w:pPr>
      <w:tabs>
        <w:tab w:val="left" w:pos="1021"/>
      </w:tabs>
      <w:spacing w:before="60" w:after="60"/>
      <w:ind w:left="1020" w:hanging="340"/>
    </w:pPr>
  </w:style>
  <w:style w:type="paragraph" w:styleId="List4">
    <w:name w:val="List 4"/>
    <w:basedOn w:val="BodyText"/>
    <w:rsid w:val="00212E9E"/>
    <w:pPr>
      <w:tabs>
        <w:tab w:val="left" w:pos="1361"/>
      </w:tabs>
      <w:spacing w:before="60" w:after="60"/>
      <w:ind w:left="1361" w:hanging="340"/>
    </w:pPr>
  </w:style>
  <w:style w:type="paragraph" w:styleId="List5">
    <w:name w:val="List 5"/>
    <w:basedOn w:val="BodyText"/>
    <w:rsid w:val="00212E9E"/>
    <w:pPr>
      <w:tabs>
        <w:tab w:val="left" w:pos="1701"/>
      </w:tabs>
      <w:spacing w:before="60" w:after="60"/>
      <w:ind w:left="1701" w:hanging="340"/>
    </w:pPr>
  </w:style>
  <w:style w:type="paragraph" w:styleId="ListBullet4">
    <w:name w:val="List Bullet 4"/>
    <w:basedOn w:val="List4"/>
    <w:rsid w:val="00212E9E"/>
    <w:pPr>
      <w:numPr>
        <w:numId w:val="4"/>
      </w:numPr>
    </w:pPr>
  </w:style>
  <w:style w:type="paragraph" w:styleId="ListBullet5">
    <w:name w:val="List Bullet 5"/>
    <w:basedOn w:val="List5"/>
    <w:rsid w:val="00212E9E"/>
    <w:pPr>
      <w:numPr>
        <w:numId w:val="5"/>
      </w:numPr>
    </w:pPr>
  </w:style>
  <w:style w:type="paragraph" w:styleId="ListContinue2">
    <w:name w:val="List Continue 2"/>
    <w:basedOn w:val="List2"/>
    <w:rsid w:val="00212E9E"/>
    <w:pPr>
      <w:ind w:firstLine="0"/>
    </w:pPr>
  </w:style>
  <w:style w:type="paragraph" w:styleId="ListContinue3">
    <w:name w:val="List Continue 3"/>
    <w:basedOn w:val="List3"/>
    <w:rsid w:val="00212E9E"/>
    <w:pPr>
      <w:ind w:left="1021" w:firstLine="0"/>
    </w:pPr>
  </w:style>
  <w:style w:type="paragraph" w:styleId="ListContinue4">
    <w:name w:val="List Continue 4"/>
    <w:basedOn w:val="List4"/>
    <w:rsid w:val="00212E9E"/>
    <w:pPr>
      <w:ind w:firstLine="0"/>
    </w:pPr>
  </w:style>
  <w:style w:type="paragraph" w:styleId="ListContinue5">
    <w:name w:val="List Continue 5"/>
    <w:basedOn w:val="List5"/>
    <w:rsid w:val="00212E9E"/>
    <w:pPr>
      <w:ind w:firstLine="0"/>
    </w:pPr>
  </w:style>
  <w:style w:type="paragraph" w:styleId="ListNumber3">
    <w:name w:val="List Number 3"/>
    <w:basedOn w:val="List3"/>
    <w:rsid w:val="00212E9E"/>
    <w:pPr>
      <w:numPr>
        <w:numId w:val="6"/>
      </w:numPr>
    </w:pPr>
  </w:style>
  <w:style w:type="paragraph" w:styleId="ListNumber4">
    <w:name w:val="List Number 4"/>
    <w:basedOn w:val="List4"/>
    <w:rsid w:val="00212E9E"/>
    <w:pPr>
      <w:numPr>
        <w:numId w:val="7"/>
      </w:numPr>
    </w:pPr>
  </w:style>
  <w:style w:type="paragraph" w:styleId="ListNumber5">
    <w:name w:val="List Number 5"/>
    <w:basedOn w:val="List5"/>
    <w:rsid w:val="00212E9E"/>
    <w:pPr>
      <w:numPr>
        <w:numId w:val="8"/>
      </w:numPr>
    </w:pPr>
  </w:style>
  <w:style w:type="paragraph" w:styleId="BlockText">
    <w:name w:val="Block Text"/>
    <w:basedOn w:val="Normal"/>
    <w:rsid w:val="00212E9E"/>
    <w:pPr>
      <w:spacing w:after="120"/>
      <w:ind w:left="1440" w:right="1440"/>
    </w:pPr>
  </w:style>
  <w:style w:type="character" w:customStyle="1" w:styleId="Subscript">
    <w:name w:val="Subscript"/>
    <w:basedOn w:val="DefaultParagraphFont"/>
    <w:rsid w:val="00212E9E"/>
    <w:rPr>
      <w:sz w:val="16"/>
      <w:vertAlign w:val="subscript"/>
    </w:rPr>
  </w:style>
  <w:style w:type="character" w:customStyle="1" w:styleId="Superscript">
    <w:name w:val="Superscript"/>
    <w:basedOn w:val="DefaultParagraphFont"/>
    <w:rsid w:val="00212E9E"/>
    <w:rPr>
      <w:sz w:val="16"/>
      <w:vertAlign w:val="superscript"/>
    </w:rPr>
  </w:style>
  <w:style w:type="character" w:customStyle="1" w:styleId="Symbols">
    <w:name w:val="Symbols"/>
    <w:basedOn w:val="DefaultParagraphFont"/>
    <w:rsid w:val="00212E9E"/>
    <w:rPr>
      <w:rFonts w:ascii="Symbol" w:hAnsi="Symbol"/>
    </w:rPr>
  </w:style>
  <w:style w:type="character" w:customStyle="1" w:styleId="MenuOptions">
    <w:name w:val="Menu Options"/>
    <w:basedOn w:val="DefaultParagraphFont"/>
    <w:rsid w:val="00212E9E"/>
    <w:rPr>
      <w:rFonts w:ascii="Arial Narrow" w:hAnsi="Arial Narrow"/>
      <w:smallCaps/>
    </w:rPr>
  </w:style>
  <w:style w:type="character" w:customStyle="1" w:styleId="Buttons">
    <w:name w:val="Buttons"/>
    <w:basedOn w:val="DefaultParagraphFont"/>
    <w:rsid w:val="00212E9E"/>
    <w:rPr>
      <w:b/>
    </w:rPr>
  </w:style>
  <w:style w:type="character" w:customStyle="1" w:styleId="Underlined">
    <w:name w:val="Underlined"/>
    <w:basedOn w:val="DefaultParagraphFont"/>
    <w:rsid w:val="00212E9E"/>
    <w:rPr>
      <w:u w:val="single"/>
    </w:rPr>
  </w:style>
  <w:style w:type="paragraph" w:customStyle="1" w:styleId="TableBodyTextRight">
    <w:name w:val="Table Body Text Right"/>
    <w:basedOn w:val="TableBodyText"/>
    <w:rsid w:val="00212E9E"/>
    <w:pPr>
      <w:widowControl w:val="0"/>
      <w:autoSpaceDE w:val="0"/>
      <w:autoSpaceDN w:val="0"/>
      <w:adjustRightInd w:val="0"/>
      <w:jc w:val="right"/>
    </w:pPr>
    <w:rPr>
      <w:rFonts w:cs="Arial"/>
      <w:szCs w:val="18"/>
    </w:rPr>
  </w:style>
  <w:style w:type="paragraph" w:customStyle="1" w:styleId="CopyrightText">
    <w:name w:val="Copyright Text"/>
    <w:basedOn w:val="BodyText"/>
    <w:rsid w:val="00212E9E"/>
    <w:rPr>
      <w:sz w:val="18"/>
    </w:rPr>
  </w:style>
  <w:style w:type="paragraph" w:customStyle="1" w:styleId="BodySmallRight">
    <w:name w:val="Body Small Right"/>
    <w:basedOn w:val="BodyTextRight"/>
    <w:rsid w:val="00212E9E"/>
    <w:rPr>
      <w:sz w:val="18"/>
      <w:szCs w:val="18"/>
    </w:rPr>
  </w:style>
  <w:style w:type="paragraph" w:customStyle="1" w:styleId="MarginEdition">
    <w:name w:val="Margin Edition"/>
    <w:basedOn w:val="MarginNote"/>
    <w:rsid w:val="00212E9E"/>
    <w:pPr>
      <w:spacing w:before="0" w:after="0"/>
    </w:pPr>
    <w:rPr>
      <w:rFonts w:ascii="Times New Roman" w:hAnsi="Times New Roman"/>
      <w:color w:val="999999"/>
    </w:rPr>
  </w:style>
  <w:style w:type="paragraph" w:customStyle="1" w:styleId="Spacer">
    <w:name w:val="Spacer"/>
    <w:basedOn w:val="Normal"/>
    <w:rsid w:val="00212E9E"/>
    <w:rPr>
      <w:sz w:val="2"/>
      <w:szCs w:val="2"/>
    </w:rPr>
  </w:style>
  <w:style w:type="character" w:customStyle="1" w:styleId="Small">
    <w:name w:val="Small"/>
    <w:basedOn w:val="DefaultParagraphFont"/>
    <w:rsid w:val="00212E9E"/>
    <w:rPr>
      <w:sz w:val="16"/>
    </w:rPr>
  </w:style>
  <w:style w:type="paragraph" w:customStyle="1" w:styleId="WideTable">
    <w:name w:val="Wide Table"/>
    <w:basedOn w:val="Normal"/>
    <w:rsid w:val="00212E9E"/>
    <w:pPr>
      <w:ind w:left="-1418"/>
    </w:pPr>
    <w:rPr>
      <w:sz w:val="2"/>
      <w:szCs w:val="2"/>
    </w:rPr>
  </w:style>
  <w:style w:type="character" w:styleId="PageNumber">
    <w:name w:val="page number"/>
    <w:basedOn w:val="DefaultParagraphFont"/>
    <w:rsid w:val="00212E9E"/>
  </w:style>
  <w:style w:type="paragraph" w:styleId="Quote">
    <w:name w:val="Quote"/>
    <w:basedOn w:val="Heading1"/>
    <w:link w:val="QuoteChar"/>
    <w:qFormat/>
    <w:rsid w:val="00212E9E"/>
    <w:rPr>
      <w:b w:val="0"/>
      <w:sz w:val="72"/>
      <w:szCs w:val="72"/>
      <w:lang w:val="en-NZ"/>
    </w:rPr>
  </w:style>
  <w:style w:type="character" w:customStyle="1" w:styleId="QuoteChar">
    <w:name w:val="Quote Char"/>
    <w:basedOn w:val="DefaultParagraphFont"/>
    <w:link w:val="Quote"/>
    <w:rsid w:val="00212E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E9E"/>
    <w:pPr>
      <w:pageBreakBefore/>
    </w:pPr>
  </w:style>
  <w:style w:type="paragraph" w:customStyle="1" w:styleId="Border">
    <w:name w:val="Border"/>
    <w:basedOn w:val="Normal"/>
    <w:qFormat/>
    <w:rsid w:val="00212E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E9E"/>
    <w:rPr>
      <w:b/>
      <w:bCs/>
      <w:i/>
      <w:iCs/>
      <w:color w:val="auto"/>
    </w:rPr>
  </w:style>
  <w:style w:type="paragraph" w:styleId="IntenseQuote">
    <w:name w:val="Intense Quote"/>
    <w:basedOn w:val="Normal"/>
    <w:next w:val="Normal"/>
    <w:link w:val="IntenseQuoteChar"/>
    <w:uiPriority w:val="30"/>
    <w:qFormat/>
    <w:rsid w:val="00212E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E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2E9E"/>
    <w:rPr>
      <w:smallCaps/>
      <w:color w:val="auto"/>
      <w:u w:val="single"/>
    </w:rPr>
  </w:style>
  <w:style w:type="character" w:styleId="IntenseReference">
    <w:name w:val="Intense Reference"/>
    <w:basedOn w:val="DefaultParagraphFont"/>
    <w:uiPriority w:val="32"/>
    <w:qFormat/>
    <w:rsid w:val="00212E9E"/>
    <w:rPr>
      <w:b/>
      <w:bCs/>
      <w:smallCaps/>
      <w:color w:val="auto"/>
      <w:spacing w:val="5"/>
      <w:u w:val="single"/>
    </w:rPr>
  </w:style>
  <w:style w:type="paragraph" w:customStyle="1" w:styleId="2ColumnHeading">
    <w:name w:val="2Column Heading"/>
    <w:basedOn w:val="BodyText"/>
    <w:qFormat/>
    <w:rsid w:val="00212E9E"/>
    <w:pPr>
      <w:spacing w:after="60"/>
      <w:ind w:left="-2268"/>
    </w:pPr>
    <w:rPr>
      <w:b/>
    </w:rPr>
  </w:style>
  <w:style w:type="paragraph" w:customStyle="1" w:styleId="Heading1TOC">
    <w:name w:val="Heading1 TOC"/>
    <w:basedOn w:val="Normal"/>
    <w:qFormat/>
    <w:rsid w:val="00212E9E"/>
    <w:pPr>
      <w:spacing w:before="240" w:after="120"/>
    </w:pPr>
    <w:rPr>
      <w:rFonts w:ascii="Times New Roman" w:hAnsi="Times New Roman"/>
      <w:b/>
      <w:sz w:val="32"/>
    </w:rPr>
  </w:style>
  <w:style w:type="paragraph" w:customStyle="1" w:styleId="Heading2TOC">
    <w:name w:val="Heading2 TOC"/>
    <w:basedOn w:val="Normal"/>
    <w:qFormat/>
    <w:rsid w:val="00212E9E"/>
    <w:pPr>
      <w:spacing w:before="240" w:after="60"/>
    </w:pPr>
    <w:rPr>
      <w:rFonts w:ascii="Times New Roman" w:hAnsi="Times New Roman"/>
      <w:b/>
      <w:sz w:val="28"/>
    </w:rPr>
  </w:style>
  <w:style w:type="character" w:customStyle="1" w:styleId="Underline">
    <w:name w:val="Underline"/>
    <w:basedOn w:val="DefaultParagraphFont"/>
    <w:qFormat/>
    <w:rsid w:val="00212E9E"/>
    <w:rPr>
      <w:u w:val="single"/>
    </w:rPr>
  </w:style>
  <w:style w:type="character" w:customStyle="1" w:styleId="BoldandItalics">
    <w:name w:val="Bold and Italics"/>
    <w:qFormat/>
    <w:rsid w:val="00212E9E"/>
    <w:rPr>
      <w:b/>
      <w:i/>
      <w:u w:val="none"/>
    </w:rPr>
  </w:style>
  <w:style w:type="paragraph" w:styleId="BalloonText">
    <w:name w:val="Balloon Text"/>
    <w:basedOn w:val="Normal"/>
    <w:link w:val="BalloonTextChar"/>
    <w:rsid w:val="00212E9E"/>
    <w:rPr>
      <w:rFonts w:ascii="Tahoma" w:hAnsi="Tahoma" w:cs="Tahoma"/>
      <w:sz w:val="16"/>
      <w:szCs w:val="16"/>
    </w:rPr>
  </w:style>
  <w:style w:type="character" w:customStyle="1" w:styleId="BalloonTextChar">
    <w:name w:val="Balloon Text Char"/>
    <w:basedOn w:val="DefaultParagraphFont"/>
    <w:link w:val="BalloonText"/>
    <w:rsid w:val="00212E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2E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2E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3013</Words>
  <Characters>19211</Characters>
  <Application>Microsoft Office Word</Application>
  <DocSecurity>0</DocSecurity>
  <Lines>697</Lines>
  <Paragraphs>292</Paragraphs>
  <ScaleCrop>false</ScaleCrop>
  <Company>Author-it Software Corporation Ltd.</Company>
  <LinksUpToDate>false</LinksUpToDate>
  <CharactersWithSpaces>22033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UETTDRDS50A Design customer power system substations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2012-05-26T12:08:00Z</dcterms:created>
  <dcterms:modified xsi:type="dcterms:W3CDTF">2012-05-26T12:08:00Z</dcterms:modified>
</cp:coreProperties>
</file>