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4AA" w:rsidP="001F64AA">
      <w:pPr>
        <w:pStyle w:val="Title"/>
      </w:pPr>
      <w:r>
        <w:fldChar w:fldCharType="begin"/>
      </w:r>
      <w:r>
        <w:instrText xml:space="preserve"> TITLE   \* MERGEFORMAT </w:instrText>
      </w:r>
      <w:r>
        <w:fldChar w:fldCharType="separate"/>
      </w:r>
      <w:r>
        <w:t>UETTDRDS45A Organise and implement ESI line and easement surveys</w:t>
      </w:r>
      <w:r>
        <w:fldChar w:fldCharType="end"/>
      </w:r>
    </w:p>
    <w:p w:rsidR="001F64AA" w:rsidP="001F64AA">
      <w:pPr>
        <w:pStyle w:val="Version"/>
        <w:sectPr w:rsidSect="00075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8CF" w:rsidP="000758CF">
      <w:pPr>
        <w:pStyle w:val="SuperHeading"/>
      </w:pPr>
      <w:r w:rsidRPr="000758CF">
        <w:t>UETTDRDS45A Organise and implement ESI line and easement surveys</w:t>
      </w:r>
    </w:p>
    <w:p w:rsidR="00000000" w:rsidRPr="000758CF" w:rsidP="000758CF">
      <w:pPr>
        <w:pStyle w:val="Heading1"/>
      </w:pPr>
      <w:bookmarkStart w:id="1" w:name="O_463534"/>
      <w:bookmarkEnd w:id="1"/>
      <w:r w:rsidRPr="000758CF">
        <w:t>Modification History</w:t>
      </w:r>
    </w:p>
    <w:p w:rsidR="00000000" w:rsidRPr="000758CF" w:rsidP="000758CF">
      <w:pPr>
        <w:pStyle w:val="BodyText"/>
      </w:pPr>
      <w:r w:rsidRPr="000758CF">
        <w:t>Not applicable.</w:t>
      </w:r>
    </w:p>
    <w:p w:rsidR="00000000" w:rsidRPr="000758CF" w:rsidP="000758CF">
      <w:pPr>
        <w:pStyle w:val="AllowPageBreak"/>
      </w:pPr>
    </w:p>
    <w:p w:rsidR="00000000" w:rsidRPr="000758CF" w:rsidP="000758CF">
      <w:pPr>
        <w:pStyle w:val="Heading1"/>
      </w:pPr>
      <w:bookmarkStart w:id="2" w:name="O_463532"/>
      <w:bookmarkEnd w:id="2"/>
      <w:r w:rsidRPr="000758CF">
        <w:t>Unit Descriptor</w:t>
      </w:r>
    </w:p>
    <w:tbl>
      <w:tblPr>
        <w:tblW w:w="0" w:type="auto"/>
        <w:tblLayout w:type="fixed"/>
        <w:tblCellMar>
          <w:left w:w="62" w:type="dxa"/>
          <w:right w:w="62" w:type="dxa"/>
        </w:tblCellMar>
        <w:tblLook w:val="0000"/>
      </w:tblPr>
      <w:tblGrid>
        <w:gridCol w:w="2700"/>
        <w:gridCol w:w="5760"/>
      </w:tblGrid>
      <w:tr w:rsidTr="001F64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1)</w:t>
            </w:r>
            <w:r w:rsidRPr="000758CF">
              <w:t xml:space="preserve"> </w:t>
            </w:r>
            <w:r w:rsidRPr="000758CF">
              <w:rPr>
                <w:rStyle w:val="SpecialBold"/>
              </w:rPr>
              <w:t>Scope:</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58C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1.1) Descriptor</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This Competency Standard Unit covers the surveying of distribution and sub transmission lines and easements for activities associated with the design and installation of electrical equipment. This activity should encompass the use of instruments such as co</w:t>
            </w:r>
            <w:r w:rsidRPr="000758CF">
              <w:t xml:space="preserve">mpasses, inclinometer, distance measuring devices, etc and be in accordance with customer requirements, nominated design specifications and company processes. </w:t>
            </w:r>
          </w:p>
        </w:tc>
      </w:tr>
    </w:tbl>
    <w:p w:rsidR="00000000" w:rsidRPr="000758CF" w:rsidP="000758CF">
      <w:pPr>
        <w:pStyle w:val="BodyText"/>
      </w:pPr>
    </w:p>
    <w:p w:rsidR="00000000" w:rsidRPr="000758CF" w:rsidP="000758CF">
      <w:pPr>
        <w:pStyle w:val="AllowPageBreak"/>
      </w:pPr>
    </w:p>
    <w:p w:rsidR="00000000" w:rsidRPr="000758CF" w:rsidP="000758CF">
      <w:pPr>
        <w:pStyle w:val="Heading1"/>
      </w:pPr>
      <w:bookmarkStart w:id="3" w:name="O_463521"/>
      <w:bookmarkEnd w:id="3"/>
      <w:r w:rsidRPr="000758CF">
        <w:t>Application of the Unit</w:t>
      </w:r>
    </w:p>
    <w:tbl>
      <w:tblPr>
        <w:tblW w:w="0" w:type="auto"/>
        <w:tblLayout w:type="fixed"/>
        <w:tblCellMar>
          <w:left w:w="62" w:type="dxa"/>
          <w:right w:w="62" w:type="dxa"/>
        </w:tblCellMar>
        <w:tblLook w:val="0000"/>
      </w:tblPr>
      <w:tblGrid>
        <w:gridCol w:w="2672"/>
        <w:gridCol w:w="5699"/>
      </w:tblGrid>
      <w:tr w:rsidTr="001F64A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2)</w:t>
            </w:r>
          </w:p>
        </w:tc>
      </w:tr>
      <w:tr w:rsidTr="001F64A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This Competency Standard Unit is intended to augment formally acquired competencies. It is suitable for employment-based programs under an approved contract of training.</w:t>
            </w:r>
          </w:p>
        </w:tc>
      </w:tr>
    </w:tbl>
    <w:p w:rsidR="00000000" w:rsidRPr="000758CF" w:rsidP="000758CF">
      <w:pPr>
        <w:pStyle w:val="BodyText"/>
      </w:pPr>
    </w:p>
    <w:p w:rsidR="00000000" w:rsidRPr="000758CF" w:rsidP="000758CF">
      <w:pPr>
        <w:pStyle w:val="AllowPageBreak"/>
      </w:pPr>
    </w:p>
    <w:p w:rsidR="00000000" w:rsidRPr="000758CF" w:rsidP="000758CF">
      <w:pPr>
        <w:pStyle w:val="Heading1"/>
      </w:pPr>
      <w:bookmarkStart w:id="4" w:name="O_463528"/>
      <w:bookmarkEnd w:id="4"/>
      <w:r w:rsidRPr="000758CF">
        <w:t>Licensing/Regulatory Information</w:t>
      </w:r>
    </w:p>
    <w:tbl>
      <w:tblPr>
        <w:tblW w:w="0" w:type="auto"/>
        <w:tblLayout w:type="fixed"/>
        <w:tblCellMar>
          <w:left w:w="62" w:type="dxa"/>
          <w:right w:w="62" w:type="dxa"/>
        </w:tblCellMar>
        <w:tblLook w:val="0000"/>
      </w:tblPr>
      <w:tblGrid>
        <w:gridCol w:w="2700"/>
        <w:gridCol w:w="5760"/>
      </w:tblGrid>
      <w:tr w:rsidTr="001F64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 xml:space="preserve">3) </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The skil</w:t>
            </w:r>
            <w:r w:rsidRPr="000758CF">
              <w:t>ls and knowledge described in this unit may require a licence/registration to practice in the work place subject to regulations for undertaking of electrical work. Practice in workplace and during training is also subject to regulations directly related to</w:t>
            </w:r>
            <w:r w:rsidRPr="000758CF">
              <w:t xml:space="preserve"> Occupational Health and Safety, electricity/telecommunications/gas/water industry safety and compliance, industrial relations, environmental </w:t>
            </w:r>
            <w:r w:rsidRPr="000758CF">
              <w:t>protection, anti discrimination and training. Commonwealth, State/Territory or Local Government legislation and re</w:t>
            </w:r>
            <w:r w:rsidRPr="000758CF">
              <w:t>gulations may exist that limits the age of operating certain equipment.</w:t>
            </w:r>
          </w:p>
        </w:tc>
      </w:tr>
    </w:tbl>
    <w:p w:rsidR="00000000" w:rsidRPr="000758CF" w:rsidP="000758CF">
      <w:pPr>
        <w:pStyle w:val="BodyText"/>
      </w:pPr>
    </w:p>
    <w:p w:rsidR="00000000" w:rsidRPr="000758CF" w:rsidP="000758CF">
      <w:pPr>
        <w:pStyle w:val="AllowPageBreak"/>
      </w:pPr>
    </w:p>
    <w:p w:rsidR="00000000" w:rsidRPr="000758CF" w:rsidP="000758CF">
      <w:pPr>
        <w:pStyle w:val="Heading1"/>
      </w:pPr>
      <w:bookmarkStart w:id="5" w:name="O_463529"/>
      <w:bookmarkEnd w:id="5"/>
      <w:r w:rsidRPr="000758CF">
        <w:t>Pre-Requisites</w:t>
      </w:r>
    </w:p>
    <w:tbl>
      <w:tblPr>
        <w:tblW w:w="0" w:type="auto"/>
        <w:tblLayout w:type="fixed"/>
        <w:tblCellMar>
          <w:left w:w="62" w:type="dxa"/>
          <w:right w:w="62" w:type="dxa"/>
        </w:tblCellMar>
        <w:tblLook w:val="0000"/>
      </w:tblPr>
      <w:tblGrid>
        <w:gridCol w:w="2700"/>
        <w:gridCol w:w="2070"/>
        <w:gridCol w:w="3690"/>
      </w:tblGrid>
      <w:tr w:rsidTr="001F64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 xml:space="preserve">4) </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4.1)</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Granting of competency in this unit shall be made only after competency in the following unit(s) has/have been confirmed.</w:t>
            </w:r>
          </w:p>
          <w:p w:rsidR="00000000" w:rsidRPr="000758CF" w:rsidP="000758CF">
            <w:pPr>
              <w:pStyle w:val="BodyText"/>
            </w:pPr>
            <w:r w:rsidRPr="000758CF">
              <w:t xml:space="preserve">Where pre-requisite pathways have been identified. All competencies in the Common Unit Group must be have been completed plus all the </w:t>
            </w:r>
            <w:r w:rsidRPr="000758CF">
              <w:t>competencies in one (1) of the identified Pathway Unit Group(s):</w:t>
            </w:r>
          </w:p>
          <w:p w:rsidR="00000000" w:rsidP="000758CF">
            <w:pPr>
              <w:pStyle w:val="BodyText"/>
              <w:rPr>
                <w:lang w:val="en-NZ"/>
              </w:rPr>
            </w:pPr>
            <w:r w:rsidRPr="000758CF">
              <w:t>Common Unit Group</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Unit Code</w:t>
            </w:r>
            <w:r w:rsidRPr="000758CF">
              <w:tab/>
            </w:r>
          </w:p>
        </w:tc>
        <w:tc>
          <w:tcPr>
            <w:tcW w:w="369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Unit Title</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Apply Occupational Health and Safety regulations, codes and practices in the workplace</w:t>
            </w:r>
          </w:p>
        </w:tc>
      </w:tr>
      <w:tr w:rsidTr="001F64A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Solve problems in d.c. Circuits</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Use drawings, diagrams, schedules, standards, codes and specifications</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Solve problems in electromagnetic devices and related circuits</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Solve problems in electromagnetic devices and related circuits</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UETTDRDS39A</w:t>
            </w:r>
          </w:p>
        </w:tc>
        <w:tc>
          <w:tcPr>
            <w:tcW w:w="369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Prepare and manage detailed construction plans for electrical power system infrastructure</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Apply sustainable energy and environmental procedures</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 xml:space="preserve">Working safely near live electrical apparatus </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Implement and monitor t</w:t>
            </w:r>
            <w:r w:rsidRPr="000758CF">
              <w:t>he power system organisational OHS policies, procedures and programs</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758CF">
            <w:pPr>
              <w:pStyle w:val="BodyText"/>
              <w:rPr>
                <w:lang w:val="en-NZ"/>
              </w:rPr>
            </w:pPr>
            <w:r w:rsidRPr="000758CF">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0758CF" w:rsidP="000758CF">
            <w:pPr>
              <w:pStyle w:val="BodyText"/>
            </w:pPr>
            <w:r w:rsidRPr="000758CF">
              <w:t>Implement and monitor the power system environmental and sustainable energy management policies and procedures</w:t>
            </w:r>
          </w:p>
        </w:tc>
      </w:tr>
    </w:tbl>
    <w:p w:rsidR="00000000" w:rsidRPr="000758CF" w:rsidP="000758C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F64A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 xml:space="preserve">4.2) </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Participants are best equipped to achieve this unit if they have reading, writing and numeracy skills indicated by the following scales. Description of each scale is given in Volume 2, Part 3 “Literacy and Numeracy”</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Reading</w:t>
            </w:r>
          </w:p>
        </w:tc>
        <w:tc>
          <w:tcPr>
            <w:tcW w:w="81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5</w:t>
            </w:r>
          </w:p>
        </w:tc>
        <w:tc>
          <w:tcPr>
            <w:tcW w:w="99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Writing</w:t>
            </w:r>
          </w:p>
        </w:tc>
        <w:tc>
          <w:tcPr>
            <w:tcW w:w="90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5</w:t>
            </w:r>
          </w:p>
        </w:tc>
        <w:tc>
          <w:tcPr>
            <w:tcW w:w="126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Numeracy</w:t>
            </w:r>
          </w:p>
        </w:tc>
        <w:tc>
          <w:tcPr>
            <w:tcW w:w="72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5</w:t>
            </w:r>
          </w:p>
        </w:tc>
      </w:tr>
    </w:tbl>
    <w:p w:rsidR="00000000" w:rsidRPr="000758CF" w:rsidP="000758CF">
      <w:pPr>
        <w:pStyle w:val="BodyText"/>
      </w:pPr>
    </w:p>
    <w:p w:rsidR="00000000" w:rsidRPr="000758CF" w:rsidP="000758CF">
      <w:pPr>
        <w:pStyle w:val="AllowPageBreak"/>
      </w:pPr>
    </w:p>
    <w:p w:rsidR="00000000" w:rsidRPr="000758CF" w:rsidP="000758CF">
      <w:pPr>
        <w:pStyle w:val="Heading1"/>
      </w:pPr>
      <w:bookmarkStart w:id="6" w:name="O_463525"/>
      <w:bookmarkEnd w:id="6"/>
      <w:r w:rsidRPr="000758CF">
        <w:t>Employability Skills Information</w:t>
      </w:r>
    </w:p>
    <w:tbl>
      <w:tblPr>
        <w:tblW w:w="0" w:type="auto"/>
        <w:tblLayout w:type="fixed"/>
        <w:tblCellMar>
          <w:left w:w="62" w:type="dxa"/>
          <w:right w:w="62" w:type="dxa"/>
        </w:tblCellMar>
        <w:tblLook w:val="0000"/>
      </w:tblPr>
      <w:tblGrid>
        <w:gridCol w:w="2700"/>
        <w:gridCol w:w="5760"/>
      </w:tblGrid>
      <w:tr w:rsidTr="001F64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 xml:space="preserve">5) </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 xml:space="preserve">The required outcomes described in this unit of competency contain applicable facets of Employability Skills. The Employability Skills Summary </w:t>
            </w:r>
            <w:r w:rsidRPr="000758CF">
              <w:t>of the qualification in which this unit of competency is packaged will assist in identifying Employability Skill requirements.</w:t>
            </w:r>
          </w:p>
        </w:tc>
      </w:tr>
    </w:tbl>
    <w:p w:rsidR="00000000" w:rsidRPr="000758CF" w:rsidP="000758CF">
      <w:pPr>
        <w:pStyle w:val="BodyText"/>
      </w:pPr>
    </w:p>
    <w:p w:rsidR="00000000" w:rsidRPr="000758CF" w:rsidP="000758CF">
      <w:pPr>
        <w:pStyle w:val="AllowPageBreak"/>
      </w:pPr>
    </w:p>
    <w:p w:rsidR="00000000" w:rsidRPr="000758CF" w:rsidP="000758CF">
      <w:pPr>
        <w:pStyle w:val="Heading1"/>
      </w:pPr>
      <w:bookmarkStart w:id="7" w:name="O_463524"/>
      <w:bookmarkEnd w:id="7"/>
      <w:r w:rsidRPr="000758CF">
        <w:t>Elements and Performance Criteria Pre-Content</w:t>
      </w:r>
    </w:p>
    <w:tbl>
      <w:tblPr>
        <w:tblW w:w="0" w:type="auto"/>
        <w:tblLayout w:type="fixed"/>
        <w:tblCellMar>
          <w:left w:w="62" w:type="dxa"/>
          <w:right w:w="62" w:type="dxa"/>
        </w:tblCellMar>
        <w:tblLook w:val="0000"/>
      </w:tblPr>
      <w:tblGrid>
        <w:gridCol w:w="2700"/>
        <w:gridCol w:w="5760"/>
      </w:tblGrid>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6)</w:t>
            </w:r>
            <w:r w:rsidRPr="000758CF">
              <w:t xml:space="preserve"> Elements describe the essential outcomes of a competency stan</w:t>
            </w:r>
            <w:r w:rsidRPr="000758CF">
              <w:t>dard unit</w:t>
            </w:r>
          </w:p>
        </w:tc>
        <w:tc>
          <w:tcPr>
            <w:tcW w:w="576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Performance Criteria describe the required performance needed to demonstrate achievement of the element. Assessment of performance is to be consistent with the Evidence Guide.</w:t>
            </w:r>
          </w:p>
        </w:tc>
      </w:tr>
    </w:tbl>
    <w:p w:rsidR="00000000" w:rsidRPr="000758CF" w:rsidP="000758CF">
      <w:pPr>
        <w:pStyle w:val="BodyText"/>
      </w:pPr>
    </w:p>
    <w:p w:rsidR="00000000" w:rsidRPr="000758CF" w:rsidP="000758CF">
      <w:pPr>
        <w:pStyle w:val="AllowPageBreak"/>
      </w:pPr>
    </w:p>
    <w:p w:rsidR="00000000" w:rsidRPr="000758CF" w:rsidP="000758CF">
      <w:pPr>
        <w:pStyle w:val="Heading1"/>
      </w:pPr>
      <w:bookmarkStart w:id="8" w:name="O_463523"/>
      <w:bookmarkEnd w:id="8"/>
      <w:r w:rsidRPr="000758CF">
        <w:t>Elements and Performance Criteria</w:t>
      </w:r>
    </w:p>
    <w:tbl>
      <w:tblPr>
        <w:tblW w:w="0" w:type="auto"/>
        <w:tblLayout w:type="fixed"/>
        <w:tblCellMar>
          <w:left w:w="62" w:type="dxa"/>
          <w:right w:w="62" w:type="dxa"/>
        </w:tblCellMar>
        <w:tblLook w:val="0000"/>
      </w:tblPr>
      <w:tblGrid>
        <w:gridCol w:w="401"/>
        <w:gridCol w:w="2209"/>
        <w:gridCol w:w="883"/>
        <w:gridCol w:w="4967"/>
      </w:tblGrid>
      <w:tr w:rsidTr="001F64AA">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ELEMENT</w:t>
            </w:r>
          </w:p>
        </w:tc>
        <w:tc>
          <w:tcPr>
            <w:tcW w:w="5850" w:type="dxa"/>
            <w:gridSpan w:val="2"/>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PERFORMANCE CRITERIA</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w:t>
            </w:r>
          </w:p>
        </w:tc>
        <w:tc>
          <w:tcPr>
            <w:tcW w:w="2209"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Plan and coordinate the organisation and implementation of line and easement surveys</w:t>
            </w: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1.1</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 xml:space="preserve">OHS practices/procedures and environmental and sustainable energy procedures, which may influence the organisation and implementation of line </w:t>
            </w:r>
            <w:r w:rsidRPr="000758CF">
              <w:t>and easement surveys, are reviewed and determined.</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1.2</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Purpose of the line and easement surveys is established and expected outcomes of the work are confirmed with the appropriate personnel.</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1.3</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Organisational established procedures on policies and specifications for the design are obtained or established with the appropriate personnel.</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1.4</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Equipment/tools and personnel protective equipment are selected and coordinated based on specified requir</w:t>
            </w:r>
            <w:r w:rsidRPr="000758CF">
              <w:t>ements and established procedures.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1.5</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Work is prioritised and sequenced for the most efficient and effective outcome following consultation with others for completion within acceptable timeframes, to a quality standard and in accordance with establishe</w:t>
            </w:r>
            <w:r w:rsidRPr="000758CF">
              <w:t>d procedures.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1.6</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Risk control measures are identified, prioritised and evaluated against the work schedule.</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1.7</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Relevant work permits are secured to coordinate the performance of work according to requirements and/or established procedures.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1.8</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Resources including personnel, equipment, tools and personal protective equipment required for the job are identified, scheduled and coordinated and confirmed in a safe and technical working order.</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1.9</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Liaison and communication issues with other/authori</w:t>
            </w:r>
            <w:r w:rsidRPr="000758CF">
              <w:t>sed personnel, authorities, clients and land owners are resolved and activities coordinated to carry out work.</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1.10</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Site is prepared according to the work schedule and to minimise risk and damage to property, commerce, and individuals in accordance with</w:t>
            </w:r>
            <w:r w:rsidRPr="000758CF">
              <w:t xml:space="preserve"> established procedures.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1.11</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Personnel participating in the work, including plant operators and contractors, are fully briefed and respective responsibilities coordinated and authorised where applicable in accordance with established procedures.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1.12</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Positioning of road signs, barriers and warning devices is planned in accordance with requirements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2</w:t>
            </w:r>
          </w:p>
        </w:tc>
        <w:tc>
          <w:tcPr>
            <w:tcW w:w="2209" w:type="dxa"/>
            <w:vMerge w:val="restart"/>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Carry out and coordinate the organisation and implementation of line and easement surveys</w:t>
            </w: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2.1</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Circuit/systems modelling is used to evaluate alternati</w:t>
            </w:r>
            <w:r w:rsidRPr="000758CF">
              <w:t>ve proposals as per established procedures.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2.2</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 xml:space="preserve">OHS and sustainable energy principles, functionality and practices to reduce the incidence of accidents and minimise waste are incorporated </w:t>
            </w:r>
            <w:r w:rsidRPr="000758CF">
              <w:t>into the project in accordance with requirements and/or established procedures.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2.3</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Survey project decisions are made on the basis of safety and effective outcomes according to requirements and/or established procedures.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2.4</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Mathematical models of th</w:t>
            </w:r>
            <w:r w:rsidRPr="000758CF">
              <w:t>e distribution system are used to analyse the effectiveness of the finished project as per requirements and established procedures.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2.5</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Technical advice is given to potential hazards, safety risks and control measures so that monitoring and preventative action can be undertaken and/or appropriate authorities consulted, where necessary, in accordance with requirements and established proced</w:t>
            </w:r>
            <w:r w:rsidRPr="000758CF">
              <w:t>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2.6</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Essential knowledge and associated skills are applied to analyse specific data and compare it with compliance specifications to ensure completion of the project within an agreed timeframe according to requirements.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2.7</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Solutions to non-rout</w:t>
            </w:r>
            <w:r w:rsidRPr="000758CF">
              <w:t>ine problems are identified and actioned using acquired essential knowledge and associated skills according to requirements.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2.8</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Quality of work is monitored against personal performance agreement and/or established organisational and professional stand</w:t>
            </w:r>
            <w:r w:rsidRPr="000758CF">
              <w:t>ards.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2.9</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Work teams/groups are arranged/coordinated/evaluated to ensure planned goals are met according to established procedures.</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3</w:t>
            </w:r>
          </w:p>
        </w:tc>
        <w:tc>
          <w:tcPr>
            <w:tcW w:w="2209" w:type="dxa"/>
            <w:vMerge w:val="restart"/>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Complete and coordinate the organisation and implementation of line and easement surveys</w:t>
            </w: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3.1</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Final assessment of the surveys are undertaken to ensure they comply with all requirements and include all specifications and documentations needed to complete the design brief.</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3.2</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Appropriate personnel are notified of completion and reports and/or com</w:t>
            </w:r>
            <w:r w:rsidRPr="000758CF">
              <w:t>pletion documents are finalised.</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3.3</w:t>
            </w:r>
          </w:p>
        </w:tc>
        <w:tc>
          <w:tcPr>
            <w:tcW w:w="4967"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Reports and/or completion documents are submitted to relevant personnel/organisations for approval and, where applicable, statutory or regulatory approval.</w:t>
            </w:r>
          </w:p>
        </w:tc>
      </w:tr>
      <w:tr w:rsidTr="001F64AA">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3"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t>3.4</w:t>
            </w:r>
          </w:p>
        </w:tc>
        <w:tc>
          <w:tcPr>
            <w:tcW w:w="4967"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Approved copies of survey documents are issued and records are updated in accordance with established procedures.</w:t>
            </w:r>
          </w:p>
        </w:tc>
      </w:tr>
    </w:tbl>
    <w:p w:rsidR="00000000" w:rsidRPr="000758CF" w:rsidP="000758CF">
      <w:pPr>
        <w:pStyle w:val="BodyText"/>
      </w:pPr>
    </w:p>
    <w:p w:rsidR="00000000" w:rsidRPr="000758CF" w:rsidP="000758CF">
      <w:pPr>
        <w:pStyle w:val="AllowPageBreak"/>
      </w:pPr>
    </w:p>
    <w:p w:rsidR="00000000" w:rsidRPr="000758CF" w:rsidP="000758CF">
      <w:pPr>
        <w:pStyle w:val="Heading1"/>
      </w:pPr>
      <w:bookmarkStart w:id="9" w:name="O_463531"/>
      <w:bookmarkEnd w:id="9"/>
      <w:r w:rsidRPr="000758CF">
        <w:t>Required Skills and Knowledge</w:t>
      </w:r>
    </w:p>
    <w:tbl>
      <w:tblPr>
        <w:tblW w:w="0" w:type="auto"/>
        <w:tblLayout w:type="fixed"/>
        <w:tblCellMar>
          <w:left w:w="62" w:type="dxa"/>
          <w:right w:w="62" w:type="dxa"/>
        </w:tblCellMar>
        <w:tblLook w:val="0000"/>
      </w:tblPr>
      <w:tblGrid>
        <w:gridCol w:w="8460"/>
      </w:tblGrid>
      <w:tr w:rsidTr="001F64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REQUIRED SKILLS AND KNOWLEDGE</w:t>
            </w:r>
          </w:p>
        </w:tc>
      </w:tr>
      <w:tr w:rsidTr="001F64A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8)</w:t>
            </w:r>
            <w:r w:rsidRPr="000758CF">
              <w:t xml:space="preserve"> Essential Knowledge and Associated Skills (EKAS): This describes the essential skills and knowledge and their level, required for this unit.</w:t>
            </w:r>
          </w:p>
          <w:p w:rsidR="00000000" w:rsidRPr="000758CF" w:rsidP="000758CF">
            <w:pPr>
              <w:pStyle w:val="BodyText"/>
            </w:pPr>
            <w:r w:rsidRPr="000758CF">
              <w:t>Evidence shall show that knowledge has been acquired of organising and implementing line and easement surveys</w:t>
            </w:r>
          </w:p>
          <w:p w:rsidR="00000000" w:rsidRPr="000758CF" w:rsidP="000758CF">
            <w:pPr>
              <w:pStyle w:val="BodyText"/>
            </w:pPr>
            <w:r w:rsidRPr="000758CF">
              <w:t xml:space="preserve">All </w:t>
            </w:r>
            <w:r w:rsidRPr="000758CF">
              <w:t>knowledge and skills detailed in this unit should be contextualised to current industry practices and technologies.</w:t>
            </w:r>
          </w:p>
          <w:p w:rsidR="00000000" w:rsidRPr="000758CF" w:rsidP="000758CF">
            <w:pPr>
              <w:pStyle w:val="BodyText"/>
            </w:pPr>
            <w:r w:rsidRPr="000758CF">
              <w:t xml:space="preserve">KS01-TDS45A </w:t>
            </w:r>
            <w:r w:rsidRPr="000758CF">
              <w:tab/>
              <w:t xml:space="preserve">ESI line and easement surveys </w:t>
            </w:r>
          </w:p>
          <w:p w:rsidR="00000000" w:rsidRPr="000758CF" w:rsidP="000758CF">
            <w:pPr>
              <w:pStyle w:val="BodyText"/>
            </w:pPr>
            <w:r w:rsidRPr="000758CF">
              <w:t>Evidence shall show an understanding of organising and implementing ESI line and easement survey</w:t>
            </w:r>
            <w:r w:rsidRPr="000758CF">
              <w:t xml:space="preserve">s to an extent indicated by the following aspects: </w:t>
            </w:r>
          </w:p>
          <w:p w:rsidR="00000000" w:rsidRPr="000758CF" w:rsidP="000758CF">
            <w:pPr>
              <w:pStyle w:val="BodyText"/>
            </w:pPr>
            <w:r w:rsidRPr="000758CF">
              <w:t>T1</w:t>
            </w:r>
            <w:r w:rsidRPr="000758CF">
              <w:tab/>
              <w:t>Fundamentals of surveying for the purpose of producing an overhead or underground distribution extension encompassing:</w:t>
            </w:r>
          </w:p>
          <w:p w:rsidR="00000000" w:rsidRPr="000758CF" w:rsidP="000758CF">
            <w:pPr>
              <w:pStyle w:val="ListBullet"/>
            </w:pPr>
            <w:r w:rsidRPr="000758CF">
              <w:t>Commonwealth, State/Territory and local government legislation, Standards, codes,</w:t>
            </w:r>
            <w:r w:rsidRPr="000758CF">
              <w:t xml:space="preserve"> supply and aviation authority regulations and or enterprise requirements applicable to the surveying for an overhead and underground extension</w:t>
            </w:r>
          </w:p>
          <w:p w:rsidR="00000000" w:rsidRPr="000758CF" w:rsidP="000758CF">
            <w:pPr>
              <w:pStyle w:val="ListBullet"/>
            </w:pPr>
            <w:r w:rsidRPr="000758CF">
              <w:t>Techniques in measuring heights and distances</w:t>
            </w:r>
          </w:p>
          <w:p w:rsidR="00000000" w:rsidRPr="000758CF" w:rsidP="000758CF">
            <w:pPr>
              <w:pStyle w:val="ListBullet"/>
            </w:pPr>
            <w:r w:rsidRPr="000758CF">
              <w:t>Techniques in taking bearings angles of deviation using a compass</w:t>
            </w:r>
          </w:p>
          <w:p w:rsidR="00000000" w:rsidRPr="000758CF" w:rsidP="000758CF">
            <w:pPr>
              <w:pStyle w:val="ListBullet"/>
            </w:pPr>
            <w:r w:rsidRPr="000758CF">
              <w:t>Techniques in using a clinometer</w:t>
            </w:r>
          </w:p>
          <w:p w:rsidR="00000000" w:rsidRPr="000758CF" w:rsidP="000758CF">
            <w:pPr>
              <w:pStyle w:val="ListBullet"/>
            </w:pPr>
            <w:r w:rsidRPr="000758CF">
              <w:t>Techniques in recording and storage of data</w:t>
            </w:r>
          </w:p>
          <w:p w:rsidR="00000000" w:rsidRPr="000758CF" w:rsidP="000758CF">
            <w:pPr>
              <w:pStyle w:val="ListBullet"/>
            </w:pPr>
            <w:r w:rsidRPr="000758CF">
              <w:t>Requirements for the use of overhead line construction manuals, system diagrams/plans and drawings</w:t>
            </w:r>
          </w:p>
          <w:p w:rsidR="00000000" w:rsidRPr="000758CF" w:rsidP="000758CF">
            <w:pPr>
              <w:pStyle w:val="ListBullet"/>
            </w:pPr>
            <w:r w:rsidRPr="000758CF">
              <w:t xml:space="preserve">Techniques in plotting long spans - measuring stick, clinometer, trundle wheel, </w:t>
            </w:r>
            <w:r w:rsidRPr="000758CF">
              <w:t>tapes, correction for sloping ground, distance across objects and range rods</w:t>
            </w:r>
          </w:p>
          <w:p w:rsidR="00000000" w:rsidRPr="000758CF" w:rsidP="000758CF">
            <w:pPr>
              <w:pStyle w:val="ListBullet"/>
            </w:pPr>
            <w:r w:rsidRPr="000758CF">
              <w:t>Techniques in pegging pole positions - foot path alignments, types of pegs, pegs of other authorities and locating survey pegs</w:t>
            </w:r>
          </w:p>
          <w:p w:rsidR="00000000" w:rsidRPr="000758CF" w:rsidP="000758CF">
            <w:pPr>
              <w:pStyle w:val="BodyText"/>
            </w:pPr>
            <w:r w:rsidRPr="000758CF">
              <w:t>T2</w:t>
            </w:r>
            <w:r w:rsidRPr="000758CF">
              <w:tab/>
              <w:t>Project management encompassing:</w:t>
            </w:r>
          </w:p>
          <w:p w:rsidR="00000000" w:rsidRPr="000758CF" w:rsidP="000758CF">
            <w:pPr>
              <w:pStyle w:val="ListBullet"/>
            </w:pPr>
            <w:r w:rsidRPr="000758CF">
              <w:t>Commonwealth, State and local government legislation, standards, codes, supply authority regulations and or enterprise requirements including relevant certification and licensing applicable to the duties and responsibilities for management a project</w:t>
            </w:r>
          </w:p>
          <w:p w:rsidR="00000000" w:rsidRPr="000758CF" w:rsidP="000758CF">
            <w:pPr>
              <w:pStyle w:val="ListBullet"/>
            </w:pPr>
            <w:r w:rsidRPr="000758CF">
              <w:t>Analys</w:t>
            </w:r>
            <w:r w:rsidRPr="000758CF">
              <w:t>e functions of project management to determine achievement of project objectives</w:t>
            </w:r>
          </w:p>
          <w:p w:rsidR="00000000" w:rsidRPr="000758CF" w:rsidP="000758CF">
            <w:pPr>
              <w:pStyle w:val="ListBullet"/>
            </w:pPr>
            <w:r w:rsidRPr="000758CF">
              <w:t>Relationship of stakeholders to the project</w:t>
            </w:r>
          </w:p>
          <w:p w:rsidR="00000000" w:rsidRPr="000758CF" w:rsidP="000758CF">
            <w:pPr>
              <w:pStyle w:val="ListBullet"/>
            </w:pPr>
            <w:r w:rsidRPr="000758CF">
              <w:t>Techniques in development of project plan - project integration, scope, timelines, cost, quality, resources, communication/protocol</w:t>
            </w:r>
            <w:r w:rsidRPr="000758CF">
              <w:t xml:space="preserve"> requirements, risk/uncertainties and procurement and contacting</w:t>
            </w:r>
          </w:p>
          <w:p w:rsidR="00000000" w:rsidRPr="000758CF" w:rsidP="000758CF">
            <w:pPr>
              <w:pStyle w:val="ListBullet"/>
            </w:pPr>
            <w:r w:rsidRPr="000758CF">
              <w:t>Relationship between project processes, project life and project phases</w:t>
            </w:r>
          </w:p>
          <w:p w:rsidR="00000000" w:rsidRPr="000758CF" w:rsidP="000758CF">
            <w:pPr>
              <w:pStyle w:val="ListBullet"/>
            </w:pPr>
            <w:r w:rsidRPr="000758CF">
              <w:t>Planning and control procedures, resource management and risk management</w:t>
            </w:r>
          </w:p>
          <w:p w:rsidR="00000000" w:rsidRPr="000758CF" w:rsidP="000758CF">
            <w:pPr>
              <w:pStyle w:val="ListBullet"/>
            </w:pPr>
            <w:r w:rsidRPr="000758CF">
              <w:t xml:space="preserve">Techniques, methodologies and tools available </w:t>
            </w:r>
            <w:r w:rsidRPr="000758CF">
              <w:t>to project managers</w:t>
            </w:r>
          </w:p>
          <w:p w:rsidR="00000000" w:rsidRPr="000758CF" w:rsidP="000758CF">
            <w:pPr>
              <w:pStyle w:val="ListBullet"/>
            </w:pPr>
            <w:r w:rsidRPr="000758CF">
              <w:t>Types of internal and external environmental factors that may affect the project</w:t>
            </w:r>
          </w:p>
        </w:tc>
      </w:tr>
    </w:tbl>
    <w:p w:rsidR="00000000" w:rsidRPr="000758CF" w:rsidP="000758CF">
      <w:pPr>
        <w:pStyle w:val="BodyText"/>
      </w:pPr>
    </w:p>
    <w:p w:rsidR="00000000" w:rsidRPr="000758CF" w:rsidP="000758CF">
      <w:pPr>
        <w:pStyle w:val="AllowPageBreak"/>
      </w:pPr>
    </w:p>
    <w:p w:rsidR="00000000" w:rsidRPr="000758CF" w:rsidP="000758CF">
      <w:pPr>
        <w:pStyle w:val="Heading1"/>
      </w:pPr>
      <w:bookmarkStart w:id="10" w:name="O_463526"/>
      <w:bookmarkEnd w:id="10"/>
      <w:r w:rsidRPr="000758CF">
        <w:t>Evidence Guide</w:t>
      </w:r>
    </w:p>
    <w:tbl>
      <w:tblPr>
        <w:tblW w:w="0" w:type="auto"/>
        <w:tblLayout w:type="fixed"/>
        <w:tblCellMar>
          <w:left w:w="62" w:type="dxa"/>
          <w:right w:w="62" w:type="dxa"/>
        </w:tblCellMar>
        <w:tblLook w:val="0000"/>
      </w:tblPr>
      <w:tblGrid>
        <w:gridCol w:w="8460"/>
      </w:tblGrid>
      <w:tr w:rsidTr="001F64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EVIDENCE GUIDE</w:t>
            </w:r>
          </w:p>
        </w:tc>
      </w:tr>
      <w:tr w:rsidTr="001F64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9)</w:t>
            </w:r>
            <w:r w:rsidRPr="000758CF">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0758CF" w:rsidP="000758CF">
            <w:pPr>
              <w:pStyle w:val="BodyText"/>
            </w:pPr>
            <w:r w:rsidRPr="000758CF">
              <w:t>The Evidence Guide form</w:t>
            </w:r>
            <w:r w:rsidRPr="000758CF">
              <w:t>s an integral part of this Competency Standard Unit and shall be used in conjunction with all component parts of this unit and, performed in accordance with the Assessment Guidelines of this Training Package.</w:t>
            </w:r>
          </w:p>
        </w:tc>
      </w:tr>
    </w:tbl>
    <w:p w:rsidR="00000000" w:rsidRPr="000758CF" w:rsidP="000758CF">
      <w:pPr>
        <w:pStyle w:val="BodyText"/>
      </w:pPr>
    </w:p>
    <w:tbl>
      <w:tblPr>
        <w:tblW w:w="0" w:type="auto"/>
        <w:tblLayout w:type="fixed"/>
        <w:tblCellMar>
          <w:left w:w="62" w:type="dxa"/>
          <w:right w:w="62" w:type="dxa"/>
        </w:tblCellMar>
        <w:tblLook w:val="0000"/>
      </w:tblPr>
      <w:tblGrid>
        <w:gridCol w:w="1890"/>
        <w:gridCol w:w="6570"/>
      </w:tblGrid>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9.1)</w:t>
            </w:r>
          </w:p>
        </w:tc>
      </w:tr>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Longitudinal co</w:t>
            </w:r>
            <w:r w:rsidRPr="000758CF">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0758CF">
              <w:t>It is the Industry’s preferred model for apprenticeships. However, where summative (or final) assessment is used it is to include the application of the competency in the normal work environment or, at a minimum, the application of the competency in a real</w:t>
            </w:r>
            <w:r w:rsidRPr="000758CF">
              <w:t>istically simulated work environment. It is recognised that, in some circumstances, assessment in part or full can occur outside the workplace. However, it must be in accord with Industry and, Regulatory policy in this regard.</w:t>
            </w:r>
          </w:p>
          <w:p w:rsidR="00000000" w:rsidRPr="000758CF" w:rsidP="000758CF">
            <w:pPr>
              <w:pStyle w:val="BodyText"/>
            </w:pPr>
            <w:r w:rsidRPr="000758CF">
              <w:t>Methods chosen for a particular assessment will be influenced by various factors. These include the extent of the assessment, the most effective locations for the assessment activities to take place, access to physical resources, additional safety measures</w:t>
            </w:r>
            <w:r w:rsidRPr="000758CF">
              <w:t xml:space="preserve"> that may be required and the critical nature of the competencies being assessed.</w:t>
            </w:r>
          </w:p>
          <w:p w:rsidR="00000000" w:rsidRPr="000758CF" w:rsidP="000758CF">
            <w:pPr>
              <w:pStyle w:val="BodyText"/>
            </w:pPr>
            <w:r w:rsidRPr="000758CF">
              <w:t>The critical safety nature of working with electricity, electrical equipment, gas or any other hazardous substance/material carries risk in deeming a person competent. Hence,</w:t>
            </w:r>
            <w:r w:rsidRPr="000758CF">
              <w:t xml:space="preserve"> sources of evidence need to be ‘rich’ in nature so as to minimise error in judgment.</w:t>
            </w:r>
          </w:p>
          <w:p w:rsidR="00000000" w:rsidRPr="000758CF" w:rsidP="000758CF">
            <w:pPr>
              <w:pStyle w:val="BodyText"/>
            </w:pPr>
            <w:r w:rsidRPr="000758CF">
              <w:t xml:space="preserve">Activities associated with normal every day work have a bearing on the decision as to how much and how detailed the data gathered will contribute to its ‘richness’. Some </w:t>
            </w:r>
            <w:r w:rsidRPr="000758CF">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0758CF">
              <w:t>Sample assessment instruments are included for Assessors in the Assessment Guidelines of this Training Package.</w:t>
            </w:r>
          </w:p>
        </w:tc>
      </w:tr>
    </w:tbl>
    <w:p w:rsidR="00000000" w:rsidRPr="000758CF" w:rsidP="000758CF">
      <w:pPr>
        <w:pStyle w:val="BodyText"/>
      </w:pPr>
    </w:p>
    <w:tbl>
      <w:tblPr>
        <w:tblW w:w="0" w:type="auto"/>
        <w:tblLayout w:type="fixed"/>
        <w:tblCellMar>
          <w:left w:w="62" w:type="dxa"/>
          <w:right w:w="62" w:type="dxa"/>
        </w:tblCellMar>
        <w:tblLook w:val="0000"/>
      </w:tblPr>
      <w:tblGrid>
        <w:gridCol w:w="1890"/>
        <w:gridCol w:w="630"/>
        <w:gridCol w:w="1350"/>
        <w:gridCol w:w="2160"/>
        <w:gridCol w:w="2430"/>
      </w:tblGrid>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9.2)</w:t>
            </w:r>
          </w:p>
        </w:tc>
      </w:tr>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 xml:space="preserve">Before the critical aspects of evidence are considered </w:t>
            </w:r>
            <w:r w:rsidRPr="000758CF">
              <w:t>all prerequisites shall be met.</w:t>
            </w:r>
          </w:p>
          <w:p w:rsidR="00000000" w:rsidRPr="000758CF" w:rsidP="000758CF">
            <w:pPr>
              <w:pStyle w:val="BodyText"/>
            </w:pPr>
            <w:r w:rsidRPr="000758CF">
              <w:t>Evidence for competence in this unit shall be considered holistically. Each element and associated Performance Criteria shall be demonstrated on at least two occasions in accordance with the “Assessment Guidelines – UET12UET</w:t>
            </w:r>
            <w:r w:rsidRPr="000758CF">
              <w:t>12”. Evidence shall also comprise:</w:t>
            </w:r>
          </w:p>
          <w:p w:rsidR="00000000" w:rsidRPr="000758CF" w:rsidP="000758CF">
            <w:pPr>
              <w:pStyle w:val="ListBullet"/>
            </w:pPr>
            <w:r w:rsidRPr="000758CF">
              <w:t xml:space="preserve">A representative body of Performance Criteria demonstrated within the timeframes typically expected of the discipline, work function and industrial environment. In particular this shall incorporate evidence that shows a </w:t>
            </w:r>
            <w:r w:rsidRPr="000758CF">
              <w:t>candidate is able to:</w:t>
            </w:r>
          </w:p>
          <w:p w:rsidR="00000000" w:rsidRPr="000758CF" w:rsidP="000758CF">
            <w:pPr>
              <w:pStyle w:val="ListBullet2"/>
            </w:pPr>
            <w:r w:rsidRPr="000758CF">
              <w:t>Implement Occupational Health and Safety workplace procedures and practices including the use of risk control measures as specified in the Performance Criteria and range; and</w:t>
            </w:r>
          </w:p>
          <w:p w:rsidR="00000000" w:rsidRPr="000758CF" w:rsidP="000758CF">
            <w:pPr>
              <w:pStyle w:val="ListBullet2"/>
            </w:pPr>
            <w:r w:rsidRPr="000758CF">
              <w:t>Apply sustainable energy principles and practices as specified in the Performance Criteria and range; and</w:t>
            </w:r>
          </w:p>
          <w:p w:rsidR="00000000" w:rsidRPr="000758CF" w:rsidP="000758CF">
            <w:pPr>
              <w:pStyle w:val="ListBullet2"/>
            </w:pPr>
            <w:r w:rsidRPr="000758CF">
              <w:t>Demonstrate an understanding of the essential knowledge and associated skills as described in this unit to such an extent that the learner’s performan</w:t>
            </w:r>
            <w:r w:rsidRPr="000758CF">
              <w:t>ce outcome is reported in accordance with the preferred approach; namely a percentile graded result, where required by the regulated environment; and</w:t>
            </w:r>
          </w:p>
          <w:p w:rsidR="00000000" w:rsidRPr="000758CF" w:rsidP="000758CF">
            <w:pPr>
              <w:pStyle w:val="ListBullet2"/>
            </w:pPr>
            <w:r w:rsidRPr="000758CF">
              <w:t>Demonstrate an appropriate level of employability skills; and</w:t>
            </w:r>
          </w:p>
          <w:p w:rsidR="00000000" w:rsidRPr="000758CF" w:rsidP="000758CF">
            <w:pPr>
              <w:pStyle w:val="ListBullet"/>
            </w:pPr>
            <w:r w:rsidRPr="000758CF">
              <w:t>Conduct work observing the relevant Anti Di</w:t>
            </w:r>
            <w:r w:rsidRPr="000758CF">
              <w:t>scrimination legislation, regulations, policies and workplace procedures; and</w:t>
            </w:r>
          </w:p>
          <w:p w:rsidR="00000000" w:rsidP="000758CF">
            <w:pPr>
              <w:pStyle w:val="ListBullet2"/>
              <w:rPr>
                <w:lang w:val="en-NZ"/>
              </w:rPr>
            </w:pPr>
            <w:r w:rsidRPr="000758CF">
              <w:t>Demonstrated performance across a representative range of contexts from the prescribed items below:</w:t>
            </w:r>
          </w:p>
        </w:tc>
      </w:tr>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rsidRPr="000758CF">
            <w:pPr>
              <w:pStyle w:val="BodyText"/>
              <w:keepNext w:val="0"/>
              <w:keepLines w:val="0"/>
              <w:contextualSpacing w:val="0"/>
            </w:pPr>
          </w:p>
        </w:tc>
        <w:tc>
          <w:tcPr>
            <w:tcW w:w="59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8CF">
            <w:pPr>
              <w:pStyle w:val="BodyText"/>
              <w:rPr>
                <w:lang w:val="en-NZ"/>
              </w:rPr>
            </w:pPr>
            <w:r w:rsidRPr="000758CF">
              <w:rPr>
                <w:rStyle w:val="SpecialBold"/>
              </w:rPr>
              <w:t>Range of tools/equipment/materials/procedures/workplaces/other variables</w:t>
            </w:r>
          </w:p>
        </w:tc>
      </w:tr>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rsidRPr="000758CF">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8CF" w:rsidP="000758CF">
            <w:pPr>
              <w:pStyle w:val="BodyText"/>
            </w:pPr>
            <w:r w:rsidRPr="000758C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8CF" w:rsidP="000758CF">
            <w:pPr>
              <w:pStyle w:val="BodyText"/>
            </w:pPr>
            <w:r w:rsidRPr="000758C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8CF">
            <w:pPr>
              <w:pStyle w:val="BodyText"/>
              <w:rPr>
                <w:lang w:val="en-NZ"/>
              </w:rPr>
            </w:pPr>
            <w:r w:rsidRPr="000758CF">
              <w:rPr>
                <w:rStyle w:val="SpecialBold"/>
              </w:rPr>
              <w:t>Item List</w:t>
            </w:r>
          </w:p>
        </w:tc>
      </w:tr>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8CF">
            <w:pPr>
              <w:pStyle w:val="BodyText"/>
              <w:rPr>
                <w:lang w:val="en-NZ"/>
              </w:rPr>
            </w:pPr>
            <w:r w:rsidRPr="000758C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8CF">
            <w:pPr>
              <w:pStyle w:val="BodyText"/>
              <w:rPr>
                <w:lang w:val="en-NZ"/>
              </w:rPr>
            </w:pPr>
            <w:r w:rsidRPr="000758CF">
              <w:t>Completion of six (6) surveys of an overhead network relating to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8CF" w:rsidP="000758CF">
            <w:pPr>
              <w:pStyle w:val="BodyText"/>
            </w:pPr>
            <w:r w:rsidRPr="000758CF">
              <w:t>Multi-pole extensions (distribution and sub transmission)</w:t>
            </w:r>
          </w:p>
          <w:p w:rsidR="00000000" w:rsidRPr="000758CF" w:rsidP="000758CF">
            <w:pPr>
              <w:pStyle w:val="BodyText"/>
            </w:pPr>
            <w:r w:rsidRPr="000758CF">
              <w:t>In-line pole relocations (distribution and sub transmission)</w:t>
            </w:r>
          </w:p>
          <w:p w:rsidR="00000000" w:rsidRPr="000758CF" w:rsidP="000758CF">
            <w:pPr>
              <w:pStyle w:val="BodyText"/>
            </w:pPr>
            <w:r w:rsidRPr="000758CF">
              <w:t xml:space="preserve">Multi circuit overhead lines (distribution </w:t>
            </w:r>
            <w:r w:rsidRPr="000758CF">
              <w:t>and sub transmission)</w:t>
            </w:r>
          </w:p>
          <w:p w:rsidR="00000000" w:rsidP="000758CF">
            <w:pPr>
              <w:pStyle w:val="BodyText"/>
              <w:rPr>
                <w:lang w:val="en-NZ"/>
              </w:rPr>
            </w:pPr>
            <w:r w:rsidRPr="000758CF">
              <w:t>Underground augmentation project.</w:t>
            </w:r>
          </w:p>
        </w:tc>
      </w:tr>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8CF">
            <w:pPr>
              <w:pStyle w:val="BodyText"/>
              <w:rPr>
                <w:lang w:val="en-NZ"/>
              </w:rPr>
            </w:pPr>
            <w:r w:rsidRPr="000758C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8CF">
            <w:pPr>
              <w:pStyle w:val="BodyText"/>
              <w:rPr>
                <w:lang w:val="en-NZ"/>
              </w:rPr>
            </w:pPr>
            <w:r w:rsidRPr="000758CF">
              <w:t>Designs should also included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8CF" w:rsidP="000758CF">
            <w:pPr>
              <w:pStyle w:val="BodyText"/>
            </w:pPr>
            <w:r w:rsidRPr="000758CF">
              <w:t xml:space="preserve">Activities that address the correction of errors in the process. </w:t>
            </w:r>
          </w:p>
          <w:p w:rsidR="00000000" w:rsidP="000758CF">
            <w:pPr>
              <w:pStyle w:val="BodyText"/>
              <w:rPr>
                <w:lang w:val="en-NZ"/>
              </w:rPr>
            </w:pPr>
            <w:r w:rsidRPr="000758CF">
              <w:t xml:space="preserve">Application of a design control checklist which lists all of the required design </w:t>
            </w:r>
            <w:r w:rsidRPr="000758CF">
              <w:t>activities to be carried out in this process.</w:t>
            </w:r>
          </w:p>
        </w:tc>
      </w:tr>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8CF">
            <w:pPr>
              <w:pStyle w:val="BodyText"/>
              <w:rPr>
                <w:lang w:val="en-NZ"/>
              </w:rPr>
            </w:pPr>
            <w:r w:rsidRPr="000758C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8CF">
            <w:pPr>
              <w:pStyle w:val="BodyText"/>
              <w:rPr>
                <w:lang w:val="en-NZ"/>
              </w:rPr>
            </w:pPr>
            <w:r w:rsidRPr="000758C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8CF" w:rsidP="000758CF">
            <w:pPr>
              <w:pStyle w:val="BodyText"/>
            </w:pPr>
            <w:r w:rsidRPr="000758CF">
              <w:t xml:space="preserve">Dealing with an unplanned event by drawing on essential knowledge and associated skills to provide appropriate solutions incorporated in the </w:t>
            </w:r>
            <w:r w:rsidRPr="000758CF">
              <w:t>holistic assessment with the above listed items.</w:t>
            </w:r>
          </w:p>
        </w:tc>
      </w:tr>
    </w:tbl>
    <w:p w:rsidR="00000000" w:rsidRPr="000758CF" w:rsidP="000758CF">
      <w:pPr>
        <w:pStyle w:val="BodyText"/>
      </w:pPr>
    </w:p>
    <w:tbl>
      <w:tblPr>
        <w:tblW w:w="0" w:type="auto"/>
        <w:tblLayout w:type="fixed"/>
        <w:tblCellMar>
          <w:left w:w="62" w:type="dxa"/>
          <w:right w:w="62" w:type="dxa"/>
        </w:tblCellMar>
        <w:tblLook w:val="0000"/>
      </w:tblPr>
      <w:tblGrid>
        <w:gridCol w:w="1890"/>
        <w:gridCol w:w="6570"/>
      </w:tblGrid>
      <w:tr w:rsidTr="001F64A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9.3)</w:t>
            </w:r>
          </w:p>
        </w:tc>
      </w:tr>
      <w:tr w:rsidTr="001F64A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This unit should be assessed as it relates to normal work practice using procedures, information and resources typical of a workplace. This should in</w:t>
            </w:r>
            <w:r w:rsidRPr="000758CF">
              <w:t>clude:</w:t>
            </w:r>
          </w:p>
          <w:p w:rsidR="00000000" w:rsidRPr="000758CF" w:rsidP="000758CF">
            <w:pPr>
              <w:pStyle w:val="ListBullet"/>
            </w:pPr>
            <w:r w:rsidRPr="000758CF">
              <w:t>OHS policy and work procedures and instructions.</w:t>
            </w:r>
          </w:p>
          <w:p w:rsidR="00000000" w:rsidRPr="000758CF" w:rsidP="000758CF">
            <w:pPr>
              <w:pStyle w:val="ListBullet"/>
            </w:pPr>
            <w:r w:rsidRPr="000758CF">
              <w:t>Suitable work environment, facilities, equipment and materials to undertake actual organisation and implementation of line easement surveys.</w:t>
            </w:r>
          </w:p>
          <w:p w:rsidR="00000000" w:rsidRPr="000758CF" w:rsidP="000758CF">
            <w:pPr>
              <w:pStyle w:val="BodyText"/>
            </w:pPr>
            <w:r w:rsidRPr="000758CF">
              <w:t>In addition to the resources listed above, in Context of and specific resources for assessment, evidence should show demonstrated competency working realistic environment and a variety of conditions.</w:t>
            </w:r>
          </w:p>
        </w:tc>
      </w:tr>
    </w:tbl>
    <w:p w:rsidR="00000000" w:rsidRPr="000758CF" w:rsidP="000758CF">
      <w:pPr>
        <w:pStyle w:val="BodyText"/>
      </w:pPr>
    </w:p>
    <w:tbl>
      <w:tblPr>
        <w:tblW w:w="0" w:type="auto"/>
        <w:tblLayout w:type="fixed"/>
        <w:tblCellMar>
          <w:left w:w="62" w:type="dxa"/>
          <w:right w:w="62" w:type="dxa"/>
        </w:tblCellMar>
        <w:tblLook w:val="0000"/>
      </w:tblPr>
      <w:tblGrid>
        <w:gridCol w:w="1890"/>
        <w:gridCol w:w="6570"/>
      </w:tblGrid>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9.4)</w:t>
            </w:r>
          </w:p>
        </w:tc>
      </w:tr>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This Competency Standard Unit shall be assessed by methods given in Volume 1, Part 3 “Assessment Guidelines”.</w:t>
            </w:r>
          </w:p>
          <w:p w:rsidR="00000000" w:rsidRPr="000758CF" w:rsidP="000758CF">
            <w:pPr>
              <w:pStyle w:val="BodyText"/>
            </w:pPr>
            <w:r w:rsidRPr="000758CF">
              <w:t>Note:</w:t>
            </w:r>
          </w:p>
          <w:p w:rsidR="00000000" w:rsidRPr="000758CF" w:rsidP="000758CF">
            <w:pPr>
              <w:pStyle w:val="BodyText"/>
            </w:pPr>
            <w:r w:rsidRPr="000758CF">
              <w:t xml:space="preserve">Competent performance with inherent safe working practices is expected in the Industry to which this Competency Standard Unit applies. This </w:t>
            </w:r>
            <w:r w:rsidRPr="000758CF">
              <w:t>requires that the specified essential knowledge and associated skills are assessed in a structured environment which is primarily intended for learning/assessment and incorporates all necessary equipment and facilities for learners to develop and demonstra</w:t>
            </w:r>
            <w:r w:rsidRPr="000758CF">
              <w:t>te the essential knowledge and associated skills described in this unit.</w:t>
            </w:r>
          </w:p>
        </w:tc>
      </w:tr>
    </w:tbl>
    <w:p w:rsidR="00000000" w:rsidRPr="000758CF" w:rsidP="000758CF">
      <w:pPr>
        <w:pStyle w:val="BodyText"/>
      </w:pPr>
    </w:p>
    <w:tbl>
      <w:tblPr>
        <w:tblW w:w="0" w:type="auto"/>
        <w:tblLayout w:type="fixed"/>
        <w:tblCellMar>
          <w:left w:w="62" w:type="dxa"/>
          <w:right w:w="62" w:type="dxa"/>
        </w:tblCellMar>
        <w:tblLook w:val="0000"/>
      </w:tblPr>
      <w:tblGrid>
        <w:gridCol w:w="1890"/>
        <w:gridCol w:w="6570"/>
      </w:tblGrid>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9.5)</w:t>
            </w:r>
          </w:p>
        </w:tc>
      </w:tr>
      <w:tr w:rsidTr="001F64A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There are no recommended concurrencies for this unit.</w:t>
            </w:r>
          </w:p>
        </w:tc>
      </w:tr>
    </w:tbl>
    <w:p w:rsidR="00000000" w:rsidRPr="000758CF" w:rsidP="000758CF">
      <w:pPr>
        <w:pStyle w:val="BodyText"/>
      </w:pPr>
    </w:p>
    <w:p w:rsidR="00000000" w:rsidRPr="000758CF" w:rsidP="000758CF">
      <w:pPr>
        <w:pStyle w:val="AllowPageBreak"/>
      </w:pPr>
    </w:p>
    <w:p w:rsidR="00000000" w:rsidRPr="000758CF" w:rsidP="000758CF">
      <w:pPr>
        <w:pStyle w:val="Heading1"/>
      </w:pPr>
      <w:bookmarkStart w:id="11" w:name="O_463530"/>
      <w:bookmarkEnd w:id="11"/>
      <w:r w:rsidRPr="000758CF">
        <w:t>Range Statement</w:t>
      </w:r>
    </w:p>
    <w:tbl>
      <w:tblPr>
        <w:tblW w:w="0" w:type="auto"/>
        <w:tblLayout w:type="fixed"/>
        <w:tblCellMar>
          <w:left w:w="62" w:type="dxa"/>
          <w:right w:w="62" w:type="dxa"/>
        </w:tblCellMar>
        <w:tblLook w:val="0000"/>
      </w:tblPr>
      <w:tblGrid>
        <w:gridCol w:w="8460"/>
      </w:tblGrid>
      <w:tr w:rsidTr="001F64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RANGE STATEMENT</w:t>
            </w:r>
          </w:p>
        </w:tc>
      </w:tr>
      <w:tr w:rsidTr="001F64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10)</w:t>
            </w:r>
            <w:r w:rsidRPr="000758CF">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0758CF" w:rsidP="000758CF">
            <w:pPr>
              <w:pStyle w:val="BodyText"/>
            </w:pPr>
            <w:r w:rsidRPr="000758CF">
              <w:t xml:space="preserve">This Competency Standard Unit </w:t>
            </w:r>
            <w:r w:rsidRPr="000758CF">
              <w:t>shall be demonstrated in relation to the organisation and implementation of line and easement surveys and may include the following:</w:t>
            </w:r>
          </w:p>
          <w:p w:rsidR="00000000" w:rsidRPr="000758CF" w:rsidP="000758CF">
            <w:pPr>
              <w:pStyle w:val="BodyText"/>
            </w:pPr>
            <w:r w:rsidRPr="000758CF">
              <w:t>Survey instruments (theodolites, measuring devices, compasses, inclinometer); survey software</w:t>
            </w:r>
          </w:p>
          <w:p w:rsidR="00000000" w:rsidRPr="000758CF" w:rsidP="000758CF">
            <w:pPr>
              <w:pStyle w:val="BodyText"/>
            </w:pPr>
            <w:r w:rsidRPr="000758CF">
              <w:t>Poles; conductors – bare wire</w:t>
            </w:r>
            <w:r w:rsidRPr="000758CF">
              <w:t xml:space="preserve"> and aerial bundled cable; crossarms; insulators; substations ; transformers; HV switchgear; LV switchgear.</w:t>
            </w:r>
          </w:p>
          <w:p w:rsidR="00000000" w:rsidRPr="000758CF" w:rsidP="000758CF">
            <w:pPr>
              <w:pStyle w:val="BodyText"/>
            </w:pPr>
            <w:r w:rsidRPr="000758CF">
              <w:t xml:space="preserve">The following constants and variables included in the element/Performance Criteria in this unit are fully described in the Definitions Section 1 of </w:t>
            </w:r>
            <w:r w:rsidRPr="000758CF">
              <w:t>this volume and form an integral part of the Range Statement of this unit:</w:t>
            </w:r>
          </w:p>
          <w:p w:rsidR="00000000" w:rsidRPr="000758CF" w:rsidP="000758CF">
            <w:pPr>
              <w:pStyle w:val="ListBullet3"/>
            </w:pPr>
            <w:r w:rsidRPr="000758CF">
              <w:t>Appropriate and relevant persons (see Personnel)</w:t>
            </w:r>
          </w:p>
          <w:p w:rsidR="00000000" w:rsidRPr="000758CF" w:rsidP="000758CF">
            <w:pPr>
              <w:pStyle w:val="ListBullet3"/>
            </w:pPr>
            <w:r w:rsidRPr="000758CF">
              <w:t>Appropriate authorities</w:t>
            </w:r>
          </w:p>
          <w:p w:rsidR="00000000" w:rsidRPr="000758CF" w:rsidP="000758CF">
            <w:pPr>
              <w:pStyle w:val="ListBullet3"/>
            </w:pPr>
            <w:r w:rsidRPr="000758CF">
              <w:t>Appropriate work platform</w:t>
            </w:r>
          </w:p>
          <w:p w:rsidR="00000000" w:rsidRPr="000758CF" w:rsidP="000758CF">
            <w:pPr>
              <w:pStyle w:val="ListBullet3"/>
            </w:pPr>
            <w:r w:rsidRPr="000758CF">
              <w:t>Assessing risk</w:t>
            </w:r>
          </w:p>
          <w:p w:rsidR="00000000" w:rsidRPr="000758CF" w:rsidP="000758CF">
            <w:pPr>
              <w:pStyle w:val="ListBullet3"/>
            </w:pPr>
            <w:r w:rsidRPr="000758CF">
              <w:t>Assessment</w:t>
            </w:r>
          </w:p>
          <w:p w:rsidR="00000000" w:rsidRPr="000758CF" w:rsidP="000758CF">
            <w:pPr>
              <w:pStyle w:val="ListBullet3"/>
            </w:pPr>
            <w:r w:rsidRPr="000758CF">
              <w:t>Authorisation</w:t>
            </w:r>
          </w:p>
          <w:p w:rsidR="00000000" w:rsidRPr="000758CF" w:rsidP="000758CF">
            <w:pPr>
              <w:pStyle w:val="ListBullet3"/>
            </w:pPr>
            <w:r w:rsidRPr="000758CF">
              <w:t>Confined space</w:t>
            </w:r>
          </w:p>
          <w:p w:rsidR="00000000" w:rsidRPr="000758CF" w:rsidP="000758CF">
            <w:pPr>
              <w:pStyle w:val="ListBullet3"/>
            </w:pPr>
            <w:r w:rsidRPr="000758CF">
              <w:t>Diagnostic, testing and re</w:t>
            </w:r>
            <w:r w:rsidRPr="000758CF">
              <w:t>storation</w:t>
            </w:r>
          </w:p>
          <w:p w:rsidR="00000000" w:rsidRPr="000758CF" w:rsidP="000758CF">
            <w:pPr>
              <w:pStyle w:val="ListBullet3"/>
            </w:pPr>
            <w:r w:rsidRPr="000758CF">
              <w:t>Documenting detail work events, record keeping and or storage of information</w:t>
            </w:r>
          </w:p>
          <w:p w:rsidR="00000000" w:rsidRPr="000758CF" w:rsidP="000758CF">
            <w:pPr>
              <w:pStyle w:val="ListBullet3"/>
            </w:pPr>
            <w:r w:rsidRPr="000758CF">
              <w:t>Drawings and specifications</w:t>
            </w:r>
          </w:p>
          <w:p w:rsidR="00000000" w:rsidRPr="000758CF" w:rsidP="000758CF">
            <w:pPr>
              <w:pStyle w:val="ListBullet3"/>
            </w:pPr>
            <w:r w:rsidRPr="000758CF">
              <w:t>Emergency</w:t>
            </w:r>
          </w:p>
          <w:p w:rsidR="00000000" w:rsidRPr="000758CF" w:rsidP="000758CF">
            <w:pPr>
              <w:pStyle w:val="ListBullet3"/>
            </w:pPr>
            <w:r w:rsidRPr="000758CF">
              <w:t>Environmental and sustainable energy procedures</w:t>
            </w:r>
          </w:p>
          <w:p w:rsidR="00000000" w:rsidRPr="000758CF" w:rsidP="000758CF">
            <w:pPr>
              <w:pStyle w:val="ListBullet3"/>
            </w:pPr>
            <w:r w:rsidRPr="000758CF">
              <w:t>Environmental legislation</w:t>
            </w:r>
          </w:p>
          <w:p w:rsidR="00000000" w:rsidRPr="000758CF" w:rsidP="000758CF">
            <w:pPr>
              <w:pStyle w:val="ListBullet3"/>
            </w:pPr>
            <w:r w:rsidRPr="000758CF">
              <w:t>Environmental management documentation</w:t>
            </w:r>
          </w:p>
          <w:p w:rsidR="00000000" w:rsidRPr="000758CF" w:rsidP="000758CF">
            <w:pPr>
              <w:pStyle w:val="ListBullet3"/>
            </w:pPr>
            <w:r w:rsidRPr="000758CF">
              <w:t>Established procedures</w:t>
            </w:r>
          </w:p>
          <w:p w:rsidR="00000000" w:rsidRPr="000758CF" w:rsidP="000758CF">
            <w:pPr>
              <w:pStyle w:val="ListBullet3"/>
            </w:pPr>
            <w:r w:rsidRPr="000758CF">
              <w:t>Fall prevention</w:t>
            </w:r>
          </w:p>
          <w:p w:rsidR="00000000" w:rsidRPr="000758CF" w:rsidP="000758CF">
            <w:pPr>
              <w:pStyle w:val="ListBullet3"/>
            </w:pPr>
            <w:r w:rsidRPr="000758CF">
              <w:t>Hazards</w:t>
            </w:r>
          </w:p>
          <w:p w:rsidR="00000000" w:rsidRPr="000758CF" w:rsidP="000758CF">
            <w:pPr>
              <w:pStyle w:val="ListBullet3"/>
            </w:pPr>
            <w:r w:rsidRPr="000758CF">
              <w:t>Identifying hazards</w:t>
            </w:r>
          </w:p>
          <w:p w:rsidR="00000000" w:rsidRPr="000758CF" w:rsidP="000758CF">
            <w:pPr>
              <w:pStyle w:val="ListBullet3"/>
            </w:pPr>
            <w:r w:rsidRPr="000758CF">
              <w:t>Inspect</w:t>
            </w:r>
          </w:p>
          <w:p w:rsidR="00000000" w:rsidRPr="000758CF" w:rsidP="000758CF">
            <w:pPr>
              <w:pStyle w:val="ListBullet3"/>
            </w:pPr>
            <w:r w:rsidRPr="000758CF">
              <w:t>Legislation</w:t>
            </w:r>
          </w:p>
          <w:p w:rsidR="00000000" w:rsidRPr="000758CF" w:rsidP="000758CF">
            <w:pPr>
              <w:pStyle w:val="ListBullet3"/>
            </w:pPr>
            <w:r w:rsidRPr="000758CF">
              <w:t>MSDS</w:t>
            </w:r>
          </w:p>
          <w:p w:rsidR="00000000" w:rsidRPr="000758CF" w:rsidP="000758CF">
            <w:pPr>
              <w:pStyle w:val="ListBullet3"/>
            </w:pPr>
            <w:r w:rsidRPr="000758CF">
              <w:t>Notification</w:t>
            </w:r>
          </w:p>
          <w:p w:rsidR="00000000" w:rsidRPr="000758CF" w:rsidP="000758CF">
            <w:pPr>
              <w:pStyle w:val="ListBullet3"/>
            </w:pPr>
            <w:r w:rsidRPr="000758CF">
              <w:t>OHS practices</w:t>
            </w:r>
          </w:p>
          <w:p w:rsidR="00000000" w:rsidRPr="000758CF" w:rsidP="000758CF">
            <w:pPr>
              <w:pStyle w:val="ListBullet3"/>
            </w:pPr>
            <w:r w:rsidRPr="000758CF">
              <w:t>OHS issues</w:t>
            </w:r>
          </w:p>
          <w:p w:rsidR="00000000" w:rsidRPr="000758CF" w:rsidP="000758CF">
            <w:pPr>
              <w:pStyle w:val="ListBullet3"/>
            </w:pPr>
            <w:r w:rsidRPr="000758CF">
              <w:t>Permits and/or permits to work</w:t>
            </w:r>
          </w:p>
          <w:p w:rsidR="00000000" w:rsidRPr="000758CF" w:rsidP="000758CF">
            <w:pPr>
              <w:pStyle w:val="ListBullet3"/>
            </w:pPr>
            <w:r w:rsidRPr="000758CF">
              <w:t>Personnel</w:t>
            </w:r>
          </w:p>
          <w:p w:rsidR="00000000" w:rsidRPr="000758CF" w:rsidP="000758CF">
            <w:pPr>
              <w:pStyle w:val="ListBullet3"/>
            </w:pPr>
            <w:r w:rsidRPr="000758CF">
              <w:t>Quality assurance systems</w:t>
            </w:r>
          </w:p>
          <w:p w:rsidR="00000000" w:rsidRPr="000758CF" w:rsidP="000758CF">
            <w:pPr>
              <w:pStyle w:val="ListBullet3"/>
            </w:pPr>
            <w:r w:rsidRPr="000758CF">
              <w:t>Requirements</w:t>
            </w:r>
          </w:p>
          <w:p w:rsidR="00000000" w:rsidRPr="000758CF" w:rsidP="000758CF">
            <w:pPr>
              <w:pStyle w:val="ListBullet3"/>
            </w:pPr>
            <w:r w:rsidRPr="000758CF">
              <w:t>Safe design principles</w:t>
            </w:r>
          </w:p>
          <w:p w:rsidR="00000000" w:rsidRPr="000758CF" w:rsidP="000758CF">
            <w:pPr>
              <w:pStyle w:val="ListBullet3"/>
            </w:pPr>
            <w:r w:rsidRPr="000758CF">
              <w:t>Testing procedures</w:t>
            </w:r>
          </w:p>
          <w:p w:rsidR="00000000" w:rsidRPr="000758CF" w:rsidP="000758CF">
            <w:pPr>
              <w:pStyle w:val="ListBullet3"/>
            </w:pPr>
            <w:r w:rsidRPr="000758CF">
              <w:t>Work clearance systems</w:t>
            </w:r>
          </w:p>
        </w:tc>
      </w:tr>
    </w:tbl>
    <w:p w:rsidR="00000000" w:rsidRPr="000758CF" w:rsidP="000758CF">
      <w:pPr>
        <w:pStyle w:val="BodyText"/>
      </w:pPr>
    </w:p>
    <w:p w:rsidR="00000000" w:rsidRPr="000758CF" w:rsidP="000758CF">
      <w:pPr>
        <w:pStyle w:val="AllowPageBreak"/>
      </w:pPr>
    </w:p>
    <w:p w:rsidR="00000000" w:rsidRPr="000758CF" w:rsidP="000758CF">
      <w:pPr>
        <w:pStyle w:val="Heading1"/>
      </w:pPr>
      <w:bookmarkStart w:id="12" w:name="O_463533"/>
      <w:bookmarkEnd w:id="12"/>
      <w:r w:rsidRPr="000758CF">
        <w:t>Unit Sector(s)</w:t>
      </w:r>
    </w:p>
    <w:p w:rsidR="00000000" w:rsidRPr="000758CF" w:rsidP="000758CF">
      <w:pPr>
        <w:pStyle w:val="BodyText"/>
      </w:pPr>
      <w:r w:rsidRPr="000758CF">
        <w:t>Not applicable.</w:t>
      </w:r>
    </w:p>
    <w:p w:rsidR="00000000" w:rsidRPr="000758CF" w:rsidP="000758CF">
      <w:pPr>
        <w:pStyle w:val="AllowPageBreak"/>
      </w:pPr>
    </w:p>
    <w:p w:rsidR="00000000" w:rsidRPr="000758CF" w:rsidP="000758CF">
      <w:pPr>
        <w:pStyle w:val="Heading1"/>
      </w:pPr>
      <w:bookmarkStart w:id="13" w:name="O_463522"/>
      <w:bookmarkEnd w:id="13"/>
      <w:r w:rsidRPr="000758CF">
        <w:t>Competency Field</w:t>
      </w:r>
    </w:p>
    <w:tbl>
      <w:tblPr>
        <w:tblW w:w="0" w:type="auto"/>
        <w:tblLayout w:type="fixed"/>
        <w:tblCellMar>
          <w:left w:w="62" w:type="dxa"/>
          <w:right w:w="62" w:type="dxa"/>
        </w:tblCellMar>
        <w:tblLook w:val="0000"/>
      </w:tblPr>
      <w:tblGrid>
        <w:gridCol w:w="2700"/>
        <w:gridCol w:w="5760"/>
      </w:tblGrid>
      <w:tr w:rsidTr="001F64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758CF">
            <w:pPr>
              <w:pStyle w:val="BodyText"/>
              <w:rPr>
                <w:lang w:val="en-NZ"/>
              </w:rPr>
            </w:pPr>
            <w:r w:rsidRPr="000758CF">
              <w:rPr>
                <w:rStyle w:val="SpecialBold"/>
              </w:rPr>
              <w:t xml:space="preserve">11) </w:t>
            </w:r>
          </w:p>
        </w:tc>
      </w:tr>
      <w:tr w:rsidTr="001F64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8CF" w:rsidP="000758CF">
            <w:pPr>
              <w:pStyle w:val="BodyText"/>
            </w:pPr>
            <w:r w:rsidRPr="000758CF">
              <w:t>Design.</w:t>
            </w:r>
          </w:p>
        </w:tc>
      </w:tr>
    </w:tbl>
    <w:p w:rsidR="00000000" w:rsidRPr="000758CF" w:rsidP="000758CF">
      <w:pPr>
        <w:pStyle w:val="BodyText"/>
      </w:pPr>
    </w:p>
    <w:p w:rsidR="00000000" w:rsidRPr="000758CF" w:rsidP="000758CF"/>
    <w:sectPr w:rsidSect="00075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4AA" w:rsidP="001F6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AA" w:rsidP="00075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F64AA" w:rsidP="000758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64AA" w:rsidP="000758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4AA" w:rsidP="001F64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AA" w:rsidP="000758CF">
    <w:pPr>
      <w:pStyle w:val="Header"/>
      <w:framePr w:wrap="around"/>
    </w:pPr>
    <w:r>
      <w:fldChar w:fldCharType="begin"/>
    </w:r>
    <w:r>
      <w:instrText xml:space="preserve"> TITLE   \* MERGEFORMAT </w:instrText>
    </w:r>
    <w:r>
      <w:fldChar w:fldCharType="separate"/>
    </w:r>
    <w:r>
      <w:t>UETTDRDS45A Organise and implement ESI line and easement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64AA" w:rsidP="000758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85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8B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67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8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58CF"/>
    <w:pPr>
      <w:spacing w:before="360" w:after="60"/>
      <w:outlineLvl w:val="0"/>
    </w:pPr>
    <w:rPr>
      <w:sz w:val="32"/>
    </w:rPr>
  </w:style>
  <w:style w:type="paragraph" w:styleId="Heading2">
    <w:name w:val="heading 2"/>
    <w:basedOn w:val="HeadingBase"/>
    <w:next w:val="BodyText"/>
    <w:link w:val="Heading2Char"/>
    <w:qFormat/>
    <w:rsid w:val="000758CF"/>
    <w:pPr>
      <w:keepLines/>
      <w:spacing w:before="240" w:after="120"/>
      <w:outlineLvl w:val="1"/>
    </w:pPr>
    <w:rPr>
      <w:sz w:val="28"/>
      <w:szCs w:val="40"/>
    </w:rPr>
  </w:style>
  <w:style w:type="paragraph" w:styleId="Heading3">
    <w:name w:val="heading 3"/>
    <w:basedOn w:val="HeadingBase"/>
    <w:next w:val="BodyText"/>
    <w:link w:val="Heading3Char"/>
    <w:qFormat/>
    <w:rsid w:val="000758CF"/>
    <w:pPr>
      <w:spacing w:before="180" w:after="120"/>
      <w:outlineLvl w:val="2"/>
    </w:pPr>
    <w:rPr>
      <w:spacing w:val="-10"/>
      <w:kern w:val="32"/>
    </w:rPr>
  </w:style>
  <w:style w:type="paragraph" w:styleId="Heading4">
    <w:name w:val="heading 4"/>
    <w:basedOn w:val="HeadingBase"/>
    <w:next w:val="BodyText"/>
    <w:link w:val="Heading4Char"/>
    <w:qFormat/>
    <w:rsid w:val="000758CF"/>
    <w:pPr>
      <w:spacing w:before="160" w:after="120"/>
      <w:outlineLvl w:val="3"/>
    </w:pPr>
    <w:rPr>
      <w:sz w:val="22"/>
    </w:rPr>
  </w:style>
  <w:style w:type="paragraph" w:styleId="Heading5">
    <w:name w:val="heading 5"/>
    <w:basedOn w:val="HeadingBase"/>
    <w:next w:val="Normal"/>
    <w:link w:val="Heading5Char"/>
    <w:qFormat/>
    <w:rsid w:val="000758CF"/>
    <w:pPr>
      <w:spacing w:before="80"/>
      <w:outlineLvl w:val="4"/>
    </w:pPr>
    <w:rPr>
      <w:color w:val="918585"/>
      <w:sz w:val="20"/>
    </w:rPr>
  </w:style>
  <w:style w:type="paragraph" w:styleId="Heading6">
    <w:name w:val="heading 6"/>
    <w:basedOn w:val="HeadingBase"/>
    <w:next w:val="Normal"/>
    <w:link w:val="Heading6Char"/>
    <w:qFormat/>
    <w:rsid w:val="000758CF"/>
    <w:pPr>
      <w:spacing w:before="60"/>
      <w:outlineLvl w:val="5"/>
    </w:pPr>
    <w:rPr>
      <w:color w:val="918585"/>
      <w:sz w:val="20"/>
    </w:rPr>
  </w:style>
  <w:style w:type="paragraph" w:styleId="Heading7">
    <w:name w:val="heading 7"/>
    <w:basedOn w:val="Normal"/>
    <w:next w:val="Normal"/>
    <w:link w:val="Heading7Char"/>
    <w:qFormat/>
    <w:rsid w:val="000758CF"/>
    <w:pPr>
      <w:ind w:left="720"/>
      <w:outlineLvl w:val="6"/>
    </w:pPr>
    <w:rPr>
      <w:i/>
    </w:rPr>
  </w:style>
  <w:style w:type="paragraph" w:styleId="Heading8">
    <w:name w:val="heading 8"/>
    <w:basedOn w:val="Normal"/>
    <w:next w:val="Normal"/>
    <w:link w:val="Heading8Char"/>
    <w:qFormat/>
    <w:rsid w:val="000758CF"/>
    <w:pPr>
      <w:ind w:left="720"/>
      <w:outlineLvl w:val="7"/>
    </w:pPr>
    <w:rPr>
      <w:i/>
    </w:rPr>
  </w:style>
  <w:style w:type="paragraph" w:styleId="Heading9">
    <w:name w:val="heading 9"/>
    <w:basedOn w:val="Normal"/>
    <w:next w:val="Normal"/>
    <w:link w:val="Heading9Char"/>
    <w:qFormat/>
    <w:rsid w:val="000758CF"/>
    <w:pPr>
      <w:ind w:left="720"/>
      <w:outlineLvl w:val="8"/>
    </w:pPr>
    <w:rPr>
      <w:i/>
    </w:rPr>
  </w:style>
  <w:style w:type="character" w:default="1" w:styleId="DefaultParagraphFont">
    <w:name w:val="Default Paragraph Font"/>
    <w:uiPriority w:val="1"/>
    <w:unhideWhenUsed/>
    <w:rsid w:val="00075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8CF"/>
  </w:style>
  <w:style w:type="character" w:customStyle="1" w:styleId="Heading1Char">
    <w:name w:val="Heading 1 Char"/>
    <w:basedOn w:val="DefaultParagraphFont"/>
    <w:link w:val="Heading1"/>
    <w:rsid w:val="000758CF"/>
    <w:rPr>
      <w:rFonts w:ascii="Times New Roman" w:eastAsia="Times New Roman" w:hAnsi="Times New Roman" w:cs="Times New Roman"/>
      <w:b/>
      <w:sz w:val="32"/>
      <w:szCs w:val="20"/>
      <w:lang w:eastAsia="en-US"/>
    </w:rPr>
  </w:style>
  <w:style w:type="paragraph" w:styleId="BodyText">
    <w:name w:val="Body Text"/>
    <w:basedOn w:val="Normal"/>
    <w:link w:val="BodyTextChar"/>
    <w:rsid w:val="000758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58CF"/>
    <w:rPr>
      <w:rFonts w:ascii="Times New Roman" w:eastAsia="Times New Roman" w:hAnsi="Times New Roman" w:cs="Times New Roman"/>
      <w:sz w:val="24"/>
      <w:lang w:val="en-US" w:eastAsia="en-US"/>
    </w:rPr>
  </w:style>
  <w:style w:type="paragraph" w:styleId="Footer">
    <w:name w:val="footer"/>
    <w:basedOn w:val="Normal"/>
    <w:link w:val="FooterChar"/>
    <w:rsid w:val="00075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8CF"/>
    <w:rPr>
      <w:rFonts w:ascii="Times New Roman" w:eastAsia="Times New Roman" w:hAnsi="Times New Roman" w:cs="Times New Roman"/>
      <w:sz w:val="16"/>
      <w:lang w:val="en-US" w:eastAsia="en-US"/>
    </w:rPr>
  </w:style>
  <w:style w:type="paragraph" w:styleId="ListBullet">
    <w:name w:val="List Bullet"/>
    <w:basedOn w:val="List"/>
    <w:rsid w:val="000758CF"/>
    <w:pPr>
      <w:numPr>
        <w:numId w:val="14"/>
      </w:numPr>
      <w:tabs>
        <w:tab w:val="clear" w:pos="340"/>
      </w:tabs>
      <w:spacing w:before="40" w:after="40"/>
    </w:pPr>
  </w:style>
  <w:style w:type="character" w:customStyle="1" w:styleId="SpecialBold">
    <w:name w:val="Special Bold"/>
    <w:basedOn w:val="DefaultParagraphFont"/>
    <w:rsid w:val="000758CF"/>
    <w:rPr>
      <w:b/>
      <w:spacing w:val="0"/>
    </w:rPr>
  </w:style>
  <w:style w:type="paragraph" w:styleId="ListBullet2">
    <w:name w:val="List Bullet 2"/>
    <w:basedOn w:val="List2"/>
    <w:rsid w:val="000758CF"/>
    <w:pPr>
      <w:numPr>
        <w:numId w:val="15"/>
      </w:numPr>
      <w:tabs>
        <w:tab w:val="clear" w:pos="680"/>
      </w:tabs>
    </w:pPr>
  </w:style>
  <w:style w:type="paragraph" w:styleId="Header">
    <w:name w:val="header"/>
    <w:basedOn w:val="Normal"/>
    <w:link w:val="HeaderChar"/>
    <w:rsid w:val="00075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8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58CF"/>
    <w:pPr>
      <w:spacing w:before="240" w:after="120"/>
      <w:outlineLvl w:val="0"/>
    </w:pPr>
    <w:rPr>
      <w:rFonts w:ascii="Times New Roman" w:hAnsi="Times New Roman"/>
      <w:b/>
      <w:sz w:val="28"/>
    </w:rPr>
  </w:style>
  <w:style w:type="paragraph" w:customStyle="1" w:styleId="AllowPageBreak">
    <w:name w:val="AllowPageBreak"/>
    <w:rsid w:val="000758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58CF"/>
    <w:pPr>
      <w:numPr>
        <w:numId w:val="3"/>
      </w:numPr>
      <w:tabs>
        <w:tab w:val="clear" w:pos="1021"/>
      </w:tabs>
      <w:ind w:left="1037" w:hanging="357"/>
    </w:pPr>
  </w:style>
  <w:style w:type="character" w:customStyle="1" w:styleId="Heading2Char">
    <w:name w:val="Heading 2 Char"/>
    <w:basedOn w:val="DefaultParagraphFont"/>
    <w:link w:val="Heading2"/>
    <w:rsid w:val="00075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8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58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58CF"/>
    <w:rPr>
      <w:rFonts w:ascii="Courier New" w:eastAsia="Times New Roman" w:hAnsi="Courier New" w:cs="Times New Roman"/>
      <w:i/>
      <w:szCs w:val="20"/>
      <w:lang w:val="en-US" w:eastAsia="en-US"/>
    </w:rPr>
  </w:style>
  <w:style w:type="paragraph" w:customStyle="1" w:styleId="HeadingBase">
    <w:name w:val="Heading Base"/>
    <w:rsid w:val="00075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8CF"/>
    <w:pPr>
      <w:tabs>
        <w:tab w:val="right" w:leader="dot" w:pos="9072"/>
      </w:tabs>
      <w:ind w:left="567"/>
    </w:pPr>
    <w:rPr>
      <w:szCs w:val="22"/>
    </w:rPr>
  </w:style>
  <w:style w:type="paragraph" w:customStyle="1" w:styleId="TOCBase">
    <w:name w:val="TOC Base"/>
    <w:rsid w:val="00075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8CF"/>
    <w:pPr>
      <w:tabs>
        <w:tab w:val="right" w:leader="dot" w:pos="9072"/>
      </w:tabs>
      <w:spacing w:before="40" w:after="40"/>
      <w:ind w:left="284"/>
    </w:pPr>
    <w:rPr>
      <w:rFonts w:ascii="Times New Roman" w:hAnsi="Times New Roman"/>
    </w:rPr>
  </w:style>
  <w:style w:type="paragraph" w:styleId="TOC1">
    <w:name w:val="toc 1"/>
    <w:basedOn w:val="TOCBase"/>
    <w:next w:val="Normal"/>
    <w:rsid w:val="000758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58CF"/>
    <w:pPr>
      <w:spacing w:before="5040"/>
      <w:jc w:val="center"/>
    </w:pPr>
    <w:rPr>
      <w:sz w:val="48"/>
      <w:szCs w:val="72"/>
      <w:lang w:val="en-US"/>
    </w:rPr>
  </w:style>
  <w:style w:type="character" w:customStyle="1" w:styleId="TitleChar">
    <w:name w:val="Title Char"/>
    <w:basedOn w:val="DefaultParagraphFont"/>
    <w:link w:val="Title"/>
    <w:rsid w:val="00075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8CF"/>
    <w:pPr>
      <w:tabs>
        <w:tab w:val="left" w:pos="3600"/>
        <w:tab w:val="left" w:pos="3958"/>
      </w:tabs>
    </w:pPr>
  </w:style>
  <w:style w:type="paragraph" w:styleId="List">
    <w:name w:val="List"/>
    <w:basedOn w:val="BodyText"/>
    <w:next w:val="BodyText"/>
    <w:rsid w:val="000758CF"/>
    <w:pPr>
      <w:tabs>
        <w:tab w:val="left" w:pos="340"/>
      </w:tabs>
      <w:spacing w:before="60" w:after="60"/>
      <w:ind w:left="340" w:hanging="340"/>
    </w:pPr>
  </w:style>
  <w:style w:type="paragraph" w:customStyle="1" w:styleId="Note">
    <w:name w:val="Note"/>
    <w:basedOn w:val="BodyText"/>
    <w:rsid w:val="00075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8CF"/>
    <w:pPr>
      <w:framePr w:wrap="auto" w:hAnchor="text" w:y="6049"/>
    </w:pPr>
    <w:rPr>
      <w:color w:val="000000"/>
      <w:sz w:val="40"/>
    </w:rPr>
  </w:style>
  <w:style w:type="paragraph" w:customStyle="1" w:styleId="TOCTitle">
    <w:name w:val="TOCTitle"/>
    <w:basedOn w:val="Heading1"/>
    <w:rsid w:val="000758CF"/>
    <w:pPr>
      <w:spacing w:after="240"/>
      <w:jc w:val="center"/>
      <w:outlineLvl w:val="9"/>
    </w:pPr>
    <w:rPr>
      <w:caps/>
    </w:rPr>
  </w:style>
  <w:style w:type="paragraph" w:customStyle="1" w:styleId="Version">
    <w:name w:val="Version"/>
    <w:rsid w:val="00075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8CF"/>
    <w:pPr>
      <w:keepNext w:val="0"/>
      <w:tabs>
        <w:tab w:val="right" w:pos="4176"/>
      </w:tabs>
      <w:ind w:left="198" w:hanging="198"/>
    </w:pPr>
    <w:rPr>
      <w:rFonts w:ascii="Garamond" w:hAnsi="Garamond"/>
    </w:rPr>
  </w:style>
  <w:style w:type="paragraph" w:styleId="IndexHeading">
    <w:name w:val="index heading"/>
    <w:basedOn w:val="Normal"/>
    <w:next w:val="Index1"/>
    <w:semiHidden/>
    <w:rsid w:val="000758CF"/>
    <w:pPr>
      <w:spacing w:before="120" w:after="120"/>
    </w:pPr>
    <w:rPr>
      <w:rFonts w:ascii="Arial" w:hAnsi="Arial"/>
      <w:b/>
      <w:color w:val="918585"/>
      <w:sz w:val="24"/>
    </w:rPr>
  </w:style>
  <w:style w:type="paragraph" w:customStyle="1" w:styleId="Chapter">
    <w:name w:val="Chapter"/>
    <w:basedOn w:val="Normal"/>
    <w:rsid w:val="000758CF"/>
    <w:pPr>
      <w:spacing w:before="240"/>
    </w:pPr>
    <w:rPr>
      <w:rFonts w:ascii="Times New Roman" w:hAnsi="Times New Roman"/>
      <w:smallCaps/>
      <w:spacing w:val="80"/>
      <w:sz w:val="28"/>
    </w:rPr>
  </w:style>
  <w:style w:type="paragraph" w:customStyle="1" w:styleId="InChapter">
    <w:name w:val="InChapter"/>
    <w:basedOn w:val="Heading3"/>
    <w:rsid w:val="000758CF"/>
    <w:pPr>
      <w:spacing w:after="240"/>
      <w:outlineLvl w:val="9"/>
    </w:pPr>
    <w:rPr>
      <w:noProof/>
    </w:rPr>
  </w:style>
  <w:style w:type="paragraph" w:styleId="Index2">
    <w:name w:val="index 2"/>
    <w:basedOn w:val="Normal"/>
    <w:next w:val="Normal"/>
    <w:semiHidden/>
    <w:rsid w:val="000758CF"/>
    <w:pPr>
      <w:tabs>
        <w:tab w:val="right" w:pos="4176"/>
      </w:tabs>
      <w:ind w:left="568" w:hanging="284"/>
    </w:pPr>
    <w:rPr>
      <w:rFonts w:ascii="Garamond" w:hAnsi="Garamond"/>
    </w:rPr>
  </w:style>
  <w:style w:type="paragraph" w:customStyle="1" w:styleId="Byline">
    <w:name w:val="Byline"/>
    <w:rsid w:val="00075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8CF"/>
    <w:pPr>
      <w:tabs>
        <w:tab w:val="clear" w:pos="3600"/>
        <w:tab w:val="clear" w:pos="3958"/>
      </w:tabs>
      <w:jc w:val="right"/>
    </w:pPr>
  </w:style>
  <w:style w:type="character" w:styleId="Emphasis">
    <w:name w:val="Emphasis"/>
    <w:basedOn w:val="DefaultParagraphFont"/>
    <w:qFormat/>
    <w:rsid w:val="000758CF"/>
    <w:rPr>
      <w:i/>
    </w:rPr>
  </w:style>
  <w:style w:type="paragraph" w:styleId="Caption">
    <w:name w:val="caption"/>
    <w:basedOn w:val="BodyText"/>
    <w:next w:val="Normal"/>
    <w:qFormat/>
    <w:rsid w:val="000758CF"/>
    <w:pPr>
      <w:framePr w:w="2268" w:hSpace="181" w:vSpace="181" w:wrap="around" w:vAnchor="text" w:hAnchor="page" w:x="1135" w:y="285" w:anchorLock="1"/>
    </w:pPr>
    <w:rPr>
      <w:i/>
    </w:rPr>
  </w:style>
  <w:style w:type="paragraph" w:customStyle="1" w:styleId="MiniTOCTitle">
    <w:name w:val="MiniTOCTitle"/>
    <w:basedOn w:val="Heading4"/>
    <w:rsid w:val="000758CF"/>
    <w:pPr>
      <w:spacing w:before="240"/>
      <w:outlineLvl w:val="9"/>
    </w:pPr>
    <w:rPr>
      <w:noProof/>
      <w:sz w:val="24"/>
    </w:rPr>
  </w:style>
  <w:style w:type="paragraph" w:customStyle="1" w:styleId="MiniTOCItem">
    <w:name w:val="MiniTOCItem"/>
    <w:basedOn w:val="ListBullet"/>
    <w:rsid w:val="000758CF"/>
    <w:pPr>
      <w:numPr>
        <w:numId w:val="0"/>
      </w:numPr>
      <w:tabs>
        <w:tab w:val="right" w:leader="dot" w:pos="6521"/>
      </w:tabs>
      <w:spacing w:before="0" w:after="0"/>
    </w:pPr>
  </w:style>
  <w:style w:type="paragraph" w:customStyle="1" w:styleId="TOFTitle">
    <w:name w:val="TOFTitle"/>
    <w:basedOn w:val="TOCTitle"/>
    <w:rsid w:val="000758CF"/>
  </w:style>
  <w:style w:type="paragraph" w:styleId="TableofFigures">
    <w:name w:val="table of figures"/>
    <w:basedOn w:val="Normal"/>
    <w:next w:val="Normal"/>
    <w:semiHidden/>
    <w:rsid w:val="000758CF"/>
    <w:pPr>
      <w:tabs>
        <w:tab w:val="right" w:leader="dot" w:pos="9072"/>
      </w:tabs>
      <w:ind w:left="970" w:hanging="403"/>
    </w:pPr>
    <w:rPr>
      <w:rFonts w:ascii="Times New Roman" w:hAnsi="Times New Roman"/>
      <w:b/>
    </w:rPr>
  </w:style>
  <w:style w:type="paragraph" w:styleId="ListNumber">
    <w:name w:val="List Number"/>
    <w:basedOn w:val="List"/>
    <w:rsid w:val="000758CF"/>
    <w:pPr>
      <w:numPr>
        <w:numId w:val="12"/>
      </w:numPr>
    </w:pPr>
  </w:style>
  <w:style w:type="character" w:customStyle="1" w:styleId="WingdingSymbols">
    <w:name w:val="Wingding Symbols"/>
    <w:rsid w:val="000758CF"/>
    <w:rPr>
      <w:rFonts w:ascii="Wingdings" w:hAnsi="Wingdings"/>
    </w:rPr>
  </w:style>
  <w:style w:type="paragraph" w:customStyle="1" w:styleId="TableHeading">
    <w:name w:val="Table Heading"/>
    <w:basedOn w:val="HeadingBase"/>
    <w:rsid w:val="000758CF"/>
    <w:pPr>
      <w:keepLines/>
      <w:pBdr>
        <w:bottom w:val="single" w:sz="6" w:space="1" w:color="918585"/>
      </w:pBdr>
      <w:spacing w:before="240"/>
    </w:pPr>
  </w:style>
  <w:style w:type="character" w:customStyle="1" w:styleId="HotSpot">
    <w:name w:val="HotSpot"/>
    <w:rsid w:val="000758CF"/>
    <w:rPr>
      <w:color w:val="0033CC"/>
      <w:u w:val="none"/>
    </w:rPr>
  </w:style>
  <w:style w:type="paragraph" w:customStyle="1" w:styleId="BodyTextRight">
    <w:name w:val="Body Text Right"/>
    <w:basedOn w:val="BodyText"/>
    <w:rsid w:val="000758CF"/>
    <w:pPr>
      <w:spacing w:before="0" w:after="0"/>
      <w:jc w:val="right"/>
    </w:pPr>
  </w:style>
  <w:style w:type="paragraph" w:styleId="Index3">
    <w:name w:val="index 3"/>
    <w:basedOn w:val="ListNumber2"/>
    <w:next w:val="Normal"/>
    <w:semiHidden/>
    <w:rsid w:val="000758CF"/>
    <w:pPr>
      <w:numPr>
        <w:numId w:val="0"/>
      </w:numPr>
      <w:tabs>
        <w:tab w:val="right" w:leader="dot" w:pos="4176"/>
      </w:tabs>
    </w:pPr>
  </w:style>
  <w:style w:type="paragraph" w:styleId="ListNumber2">
    <w:name w:val="List Number 2"/>
    <w:basedOn w:val="List2"/>
    <w:rsid w:val="000758CF"/>
    <w:pPr>
      <w:numPr>
        <w:numId w:val="11"/>
      </w:numPr>
      <w:tabs>
        <w:tab w:val="clear" w:pos="1060"/>
      </w:tabs>
    </w:pPr>
  </w:style>
  <w:style w:type="paragraph" w:customStyle="1" w:styleId="MarginNote">
    <w:name w:val="Margin Note"/>
    <w:basedOn w:val="BodyText"/>
    <w:rsid w:val="00075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8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58CF"/>
    <w:rPr>
      <w:sz w:val="32"/>
    </w:rPr>
  </w:style>
  <w:style w:type="paragraph" w:customStyle="1" w:styleId="HeadingProcedure">
    <w:name w:val="Heading Procedure"/>
    <w:basedOn w:val="HeadingBase"/>
    <w:next w:val="Normal"/>
    <w:rsid w:val="000758CF"/>
    <w:pPr>
      <w:tabs>
        <w:tab w:val="left" w:pos="0"/>
      </w:tabs>
      <w:spacing w:before="120" w:after="60"/>
    </w:pPr>
    <w:rPr>
      <w:i/>
      <w:color w:val="918585"/>
      <w:sz w:val="22"/>
    </w:rPr>
  </w:style>
  <w:style w:type="paragraph" w:customStyle="1" w:styleId="TableBodyText">
    <w:name w:val="Table Body Text"/>
    <w:basedOn w:val="BodyText"/>
    <w:rsid w:val="000758CF"/>
    <w:pPr>
      <w:spacing w:before="60" w:after="60"/>
    </w:pPr>
  </w:style>
  <w:style w:type="paragraph" w:styleId="ListContinue">
    <w:name w:val="List Continue"/>
    <w:basedOn w:val="List"/>
    <w:rsid w:val="000758CF"/>
    <w:pPr>
      <w:ind w:firstLine="0"/>
    </w:pPr>
  </w:style>
  <w:style w:type="paragraph" w:customStyle="1" w:styleId="ListNote">
    <w:name w:val="List Note"/>
    <w:basedOn w:val="List"/>
    <w:rsid w:val="000758CF"/>
    <w:pPr>
      <w:pBdr>
        <w:top w:val="single" w:sz="6" w:space="2" w:color="918585"/>
        <w:bottom w:val="single" w:sz="6" w:space="2" w:color="918585"/>
      </w:pBdr>
      <w:tabs>
        <w:tab w:val="left" w:pos="1021"/>
      </w:tabs>
      <w:ind w:firstLine="0"/>
    </w:pPr>
  </w:style>
  <w:style w:type="paragraph" w:customStyle="1" w:styleId="Warning">
    <w:name w:val="Warning"/>
    <w:basedOn w:val="BodyText"/>
    <w:rsid w:val="000758CF"/>
    <w:pPr>
      <w:shd w:val="clear" w:color="auto" w:fill="D9D9D9"/>
      <w:tabs>
        <w:tab w:val="left" w:pos="992"/>
      </w:tabs>
      <w:ind w:left="119" w:right="119"/>
    </w:pPr>
    <w:rPr>
      <w:sz w:val="20"/>
    </w:rPr>
  </w:style>
  <w:style w:type="paragraph" w:customStyle="1" w:styleId="MarginIcons">
    <w:name w:val="Margin Icons"/>
    <w:basedOn w:val="BodyText"/>
    <w:rsid w:val="00075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8CF"/>
    <w:rPr>
      <w:rFonts w:ascii="Courier New" w:hAnsi="Courier New"/>
    </w:rPr>
  </w:style>
  <w:style w:type="paragraph" w:customStyle="1" w:styleId="NoteBullet">
    <w:name w:val="Note Bullet"/>
    <w:basedOn w:val="Note"/>
    <w:rsid w:val="000758CF"/>
    <w:pPr>
      <w:tabs>
        <w:tab w:val="clear" w:pos="680"/>
      </w:tabs>
      <w:spacing w:before="60" w:after="60"/>
    </w:pPr>
  </w:style>
  <w:style w:type="paragraph" w:customStyle="1" w:styleId="SubHeading2">
    <w:name w:val="SubHeading2"/>
    <w:basedOn w:val="HeadingBase"/>
    <w:rsid w:val="000758CF"/>
    <w:pPr>
      <w:spacing w:before="240" w:after="60"/>
    </w:pPr>
    <w:rPr>
      <w:sz w:val="20"/>
    </w:rPr>
  </w:style>
  <w:style w:type="paragraph" w:customStyle="1" w:styleId="SubHeading1">
    <w:name w:val="SubHeading1"/>
    <w:basedOn w:val="HeadingBase"/>
    <w:rsid w:val="000758CF"/>
    <w:pPr>
      <w:spacing w:before="240" w:after="60"/>
    </w:pPr>
    <w:rPr>
      <w:color w:val="918585"/>
      <w:sz w:val="22"/>
    </w:rPr>
  </w:style>
  <w:style w:type="paragraph" w:customStyle="1" w:styleId="SideHeading">
    <w:name w:val="Side Heading"/>
    <w:basedOn w:val="HeadingBase"/>
    <w:rsid w:val="00075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8CF"/>
    <w:pPr>
      <w:numPr>
        <w:numId w:val="13"/>
      </w:numPr>
    </w:pPr>
  </w:style>
  <w:style w:type="paragraph" w:styleId="PlainText">
    <w:name w:val="Plain Text"/>
    <w:basedOn w:val="Normal"/>
    <w:link w:val="PlainTextChar"/>
    <w:rsid w:val="000758CF"/>
    <w:rPr>
      <w:sz w:val="20"/>
    </w:rPr>
  </w:style>
  <w:style w:type="character" w:customStyle="1" w:styleId="PlainTextChar">
    <w:name w:val="Plain Text Char"/>
    <w:basedOn w:val="DefaultParagraphFont"/>
    <w:link w:val="PlainText"/>
    <w:rsid w:val="000758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58CF"/>
    <w:rPr>
      <w:b/>
      <w:smallCaps/>
    </w:rPr>
  </w:style>
  <w:style w:type="paragraph" w:customStyle="1" w:styleId="TableListNumber">
    <w:name w:val="Table List Number"/>
    <w:basedOn w:val="ListNumber"/>
    <w:rsid w:val="000758CF"/>
    <w:pPr>
      <w:numPr>
        <w:numId w:val="0"/>
      </w:numPr>
    </w:pPr>
  </w:style>
  <w:style w:type="paragraph" w:styleId="TOC4">
    <w:name w:val="toc 4"/>
    <w:basedOn w:val="TOCBase"/>
    <w:next w:val="Normal"/>
    <w:semiHidden/>
    <w:rsid w:val="000758CF"/>
    <w:pPr>
      <w:tabs>
        <w:tab w:val="right" w:leader="dot" w:pos="9071"/>
      </w:tabs>
      <w:ind w:left="1701"/>
    </w:pPr>
  </w:style>
  <w:style w:type="paragraph" w:customStyle="1" w:styleId="ListAlpha">
    <w:name w:val="List Alpha"/>
    <w:basedOn w:val="List"/>
    <w:rsid w:val="000758CF"/>
    <w:pPr>
      <w:numPr>
        <w:numId w:val="10"/>
      </w:numPr>
    </w:pPr>
  </w:style>
  <w:style w:type="paragraph" w:customStyle="1" w:styleId="ListAlpha2">
    <w:name w:val="List Alpha 2"/>
    <w:basedOn w:val="List2"/>
    <w:rsid w:val="000758CF"/>
    <w:pPr>
      <w:numPr>
        <w:numId w:val="9"/>
      </w:numPr>
    </w:pPr>
  </w:style>
  <w:style w:type="paragraph" w:styleId="List2">
    <w:name w:val="List 2"/>
    <w:basedOn w:val="BodyText"/>
    <w:rsid w:val="000758CF"/>
    <w:pPr>
      <w:tabs>
        <w:tab w:val="left" w:pos="680"/>
      </w:tabs>
      <w:spacing w:before="60" w:after="60"/>
      <w:ind w:left="680" w:hanging="340"/>
    </w:pPr>
  </w:style>
  <w:style w:type="paragraph" w:styleId="List3">
    <w:name w:val="List 3"/>
    <w:basedOn w:val="BodyText"/>
    <w:rsid w:val="000758CF"/>
    <w:pPr>
      <w:tabs>
        <w:tab w:val="left" w:pos="1021"/>
      </w:tabs>
      <w:spacing w:before="60" w:after="60"/>
      <w:ind w:left="1020" w:hanging="340"/>
    </w:pPr>
  </w:style>
  <w:style w:type="paragraph" w:styleId="List4">
    <w:name w:val="List 4"/>
    <w:basedOn w:val="BodyText"/>
    <w:rsid w:val="000758CF"/>
    <w:pPr>
      <w:tabs>
        <w:tab w:val="left" w:pos="1361"/>
      </w:tabs>
      <w:spacing w:before="60" w:after="60"/>
      <w:ind w:left="1361" w:hanging="340"/>
    </w:pPr>
  </w:style>
  <w:style w:type="paragraph" w:styleId="List5">
    <w:name w:val="List 5"/>
    <w:basedOn w:val="BodyText"/>
    <w:rsid w:val="000758CF"/>
    <w:pPr>
      <w:tabs>
        <w:tab w:val="left" w:pos="1701"/>
      </w:tabs>
      <w:spacing w:before="60" w:after="60"/>
      <w:ind w:left="1701" w:hanging="340"/>
    </w:pPr>
  </w:style>
  <w:style w:type="paragraph" w:styleId="ListBullet4">
    <w:name w:val="List Bullet 4"/>
    <w:basedOn w:val="List4"/>
    <w:rsid w:val="000758CF"/>
    <w:pPr>
      <w:numPr>
        <w:numId w:val="4"/>
      </w:numPr>
    </w:pPr>
  </w:style>
  <w:style w:type="paragraph" w:styleId="ListBullet5">
    <w:name w:val="List Bullet 5"/>
    <w:basedOn w:val="List5"/>
    <w:rsid w:val="000758CF"/>
    <w:pPr>
      <w:numPr>
        <w:numId w:val="5"/>
      </w:numPr>
    </w:pPr>
  </w:style>
  <w:style w:type="paragraph" w:styleId="ListContinue2">
    <w:name w:val="List Continue 2"/>
    <w:basedOn w:val="List2"/>
    <w:rsid w:val="000758CF"/>
    <w:pPr>
      <w:ind w:firstLine="0"/>
    </w:pPr>
  </w:style>
  <w:style w:type="paragraph" w:styleId="ListContinue3">
    <w:name w:val="List Continue 3"/>
    <w:basedOn w:val="List3"/>
    <w:rsid w:val="000758CF"/>
    <w:pPr>
      <w:ind w:left="1021" w:firstLine="0"/>
    </w:pPr>
  </w:style>
  <w:style w:type="paragraph" w:styleId="ListContinue4">
    <w:name w:val="List Continue 4"/>
    <w:basedOn w:val="List4"/>
    <w:rsid w:val="000758CF"/>
    <w:pPr>
      <w:ind w:firstLine="0"/>
    </w:pPr>
  </w:style>
  <w:style w:type="paragraph" w:styleId="ListContinue5">
    <w:name w:val="List Continue 5"/>
    <w:basedOn w:val="List5"/>
    <w:rsid w:val="000758CF"/>
    <w:pPr>
      <w:ind w:firstLine="0"/>
    </w:pPr>
  </w:style>
  <w:style w:type="paragraph" w:styleId="ListNumber3">
    <w:name w:val="List Number 3"/>
    <w:basedOn w:val="List3"/>
    <w:rsid w:val="000758CF"/>
    <w:pPr>
      <w:numPr>
        <w:numId w:val="6"/>
      </w:numPr>
    </w:pPr>
  </w:style>
  <w:style w:type="paragraph" w:styleId="ListNumber4">
    <w:name w:val="List Number 4"/>
    <w:basedOn w:val="List4"/>
    <w:rsid w:val="000758CF"/>
    <w:pPr>
      <w:numPr>
        <w:numId w:val="7"/>
      </w:numPr>
    </w:pPr>
  </w:style>
  <w:style w:type="paragraph" w:styleId="ListNumber5">
    <w:name w:val="List Number 5"/>
    <w:basedOn w:val="List5"/>
    <w:rsid w:val="000758CF"/>
    <w:pPr>
      <w:numPr>
        <w:numId w:val="8"/>
      </w:numPr>
    </w:pPr>
  </w:style>
  <w:style w:type="paragraph" w:styleId="BlockText">
    <w:name w:val="Block Text"/>
    <w:basedOn w:val="Normal"/>
    <w:rsid w:val="000758CF"/>
    <w:pPr>
      <w:spacing w:after="120"/>
      <w:ind w:left="1440" w:right="1440"/>
    </w:pPr>
  </w:style>
  <w:style w:type="character" w:customStyle="1" w:styleId="Subscript">
    <w:name w:val="Subscript"/>
    <w:basedOn w:val="DefaultParagraphFont"/>
    <w:rsid w:val="000758CF"/>
    <w:rPr>
      <w:sz w:val="16"/>
      <w:vertAlign w:val="subscript"/>
    </w:rPr>
  </w:style>
  <w:style w:type="character" w:customStyle="1" w:styleId="Superscript">
    <w:name w:val="Superscript"/>
    <w:basedOn w:val="DefaultParagraphFont"/>
    <w:rsid w:val="000758CF"/>
    <w:rPr>
      <w:sz w:val="16"/>
      <w:vertAlign w:val="superscript"/>
    </w:rPr>
  </w:style>
  <w:style w:type="character" w:customStyle="1" w:styleId="Symbols">
    <w:name w:val="Symbols"/>
    <w:basedOn w:val="DefaultParagraphFont"/>
    <w:rsid w:val="000758CF"/>
    <w:rPr>
      <w:rFonts w:ascii="Symbol" w:hAnsi="Symbol"/>
    </w:rPr>
  </w:style>
  <w:style w:type="character" w:customStyle="1" w:styleId="MenuOptions">
    <w:name w:val="Menu Options"/>
    <w:basedOn w:val="DefaultParagraphFont"/>
    <w:rsid w:val="000758CF"/>
    <w:rPr>
      <w:rFonts w:ascii="Arial Narrow" w:hAnsi="Arial Narrow"/>
      <w:smallCaps/>
    </w:rPr>
  </w:style>
  <w:style w:type="character" w:customStyle="1" w:styleId="Buttons">
    <w:name w:val="Buttons"/>
    <w:basedOn w:val="DefaultParagraphFont"/>
    <w:rsid w:val="000758CF"/>
    <w:rPr>
      <w:b/>
    </w:rPr>
  </w:style>
  <w:style w:type="character" w:customStyle="1" w:styleId="Underlined">
    <w:name w:val="Underlined"/>
    <w:basedOn w:val="DefaultParagraphFont"/>
    <w:rsid w:val="000758CF"/>
    <w:rPr>
      <w:u w:val="single"/>
    </w:rPr>
  </w:style>
  <w:style w:type="paragraph" w:customStyle="1" w:styleId="TableBodyTextRight">
    <w:name w:val="Table Body Text Right"/>
    <w:basedOn w:val="TableBodyText"/>
    <w:rsid w:val="000758CF"/>
    <w:pPr>
      <w:widowControl w:val="0"/>
      <w:autoSpaceDE w:val="0"/>
      <w:autoSpaceDN w:val="0"/>
      <w:adjustRightInd w:val="0"/>
      <w:jc w:val="right"/>
    </w:pPr>
    <w:rPr>
      <w:rFonts w:cs="Arial"/>
      <w:szCs w:val="18"/>
    </w:rPr>
  </w:style>
  <w:style w:type="paragraph" w:customStyle="1" w:styleId="CopyrightText">
    <w:name w:val="Copyright Text"/>
    <w:basedOn w:val="BodyText"/>
    <w:rsid w:val="000758CF"/>
    <w:rPr>
      <w:sz w:val="18"/>
    </w:rPr>
  </w:style>
  <w:style w:type="paragraph" w:customStyle="1" w:styleId="BodySmallRight">
    <w:name w:val="Body Small Right"/>
    <w:basedOn w:val="BodyTextRight"/>
    <w:rsid w:val="000758CF"/>
    <w:rPr>
      <w:sz w:val="18"/>
      <w:szCs w:val="18"/>
    </w:rPr>
  </w:style>
  <w:style w:type="paragraph" w:customStyle="1" w:styleId="MarginEdition">
    <w:name w:val="Margin Edition"/>
    <w:basedOn w:val="MarginNote"/>
    <w:rsid w:val="000758CF"/>
    <w:pPr>
      <w:spacing w:before="0" w:after="0"/>
    </w:pPr>
    <w:rPr>
      <w:rFonts w:ascii="Times New Roman" w:hAnsi="Times New Roman"/>
      <w:color w:val="999999"/>
    </w:rPr>
  </w:style>
  <w:style w:type="paragraph" w:customStyle="1" w:styleId="Spacer">
    <w:name w:val="Spacer"/>
    <w:basedOn w:val="Normal"/>
    <w:rsid w:val="000758CF"/>
    <w:rPr>
      <w:sz w:val="2"/>
      <w:szCs w:val="2"/>
    </w:rPr>
  </w:style>
  <w:style w:type="character" w:customStyle="1" w:styleId="Small">
    <w:name w:val="Small"/>
    <w:basedOn w:val="DefaultParagraphFont"/>
    <w:rsid w:val="000758CF"/>
    <w:rPr>
      <w:sz w:val="16"/>
    </w:rPr>
  </w:style>
  <w:style w:type="paragraph" w:customStyle="1" w:styleId="WideTable">
    <w:name w:val="Wide Table"/>
    <w:basedOn w:val="Normal"/>
    <w:rsid w:val="000758CF"/>
    <w:pPr>
      <w:ind w:left="-1418"/>
    </w:pPr>
    <w:rPr>
      <w:sz w:val="2"/>
      <w:szCs w:val="2"/>
    </w:rPr>
  </w:style>
  <w:style w:type="character" w:styleId="PageNumber">
    <w:name w:val="page number"/>
    <w:basedOn w:val="DefaultParagraphFont"/>
    <w:rsid w:val="000758CF"/>
  </w:style>
  <w:style w:type="paragraph" w:styleId="Quote">
    <w:name w:val="Quote"/>
    <w:basedOn w:val="Heading1"/>
    <w:link w:val="QuoteChar"/>
    <w:qFormat/>
    <w:rsid w:val="000758CF"/>
    <w:rPr>
      <w:b w:val="0"/>
      <w:sz w:val="72"/>
      <w:szCs w:val="72"/>
      <w:lang w:val="en-NZ"/>
    </w:rPr>
  </w:style>
  <w:style w:type="character" w:customStyle="1" w:styleId="QuoteChar">
    <w:name w:val="Quote Char"/>
    <w:basedOn w:val="DefaultParagraphFont"/>
    <w:link w:val="Quote"/>
    <w:rsid w:val="00075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8CF"/>
    <w:pPr>
      <w:pageBreakBefore/>
    </w:pPr>
  </w:style>
  <w:style w:type="paragraph" w:customStyle="1" w:styleId="Border">
    <w:name w:val="Border"/>
    <w:basedOn w:val="Normal"/>
    <w:qFormat/>
    <w:rsid w:val="00075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8CF"/>
    <w:rPr>
      <w:b/>
      <w:bCs/>
      <w:i/>
      <w:iCs/>
      <w:color w:val="auto"/>
    </w:rPr>
  </w:style>
  <w:style w:type="paragraph" w:styleId="IntenseQuote">
    <w:name w:val="Intense Quote"/>
    <w:basedOn w:val="Normal"/>
    <w:next w:val="Normal"/>
    <w:link w:val="IntenseQuoteChar"/>
    <w:uiPriority w:val="30"/>
    <w:qFormat/>
    <w:rsid w:val="00075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8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58CF"/>
    <w:rPr>
      <w:smallCaps/>
      <w:color w:val="auto"/>
      <w:u w:val="single"/>
    </w:rPr>
  </w:style>
  <w:style w:type="character" w:styleId="IntenseReference">
    <w:name w:val="Intense Reference"/>
    <w:basedOn w:val="DefaultParagraphFont"/>
    <w:uiPriority w:val="32"/>
    <w:qFormat/>
    <w:rsid w:val="000758CF"/>
    <w:rPr>
      <w:b/>
      <w:bCs/>
      <w:smallCaps/>
      <w:color w:val="auto"/>
      <w:spacing w:val="5"/>
      <w:u w:val="single"/>
    </w:rPr>
  </w:style>
  <w:style w:type="paragraph" w:customStyle="1" w:styleId="2ColumnHeading">
    <w:name w:val="2Column Heading"/>
    <w:basedOn w:val="BodyText"/>
    <w:qFormat/>
    <w:rsid w:val="000758CF"/>
    <w:pPr>
      <w:spacing w:after="60"/>
      <w:ind w:left="-2268"/>
    </w:pPr>
    <w:rPr>
      <w:b/>
    </w:rPr>
  </w:style>
  <w:style w:type="paragraph" w:customStyle="1" w:styleId="Heading1TOC">
    <w:name w:val="Heading1 TOC"/>
    <w:basedOn w:val="Normal"/>
    <w:qFormat/>
    <w:rsid w:val="000758CF"/>
    <w:pPr>
      <w:spacing w:before="240" w:after="120"/>
    </w:pPr>
    <w:rPr>
      <w:rFonts w:ascii="Times New Roman" w:hAnsi="Times New Roman"/>
      <w:b/>
      <w:sz w:val="32"/>
    </w:rPr>
  </w:style>
  <w:style w:type="paragraph" w:customStyle="1" w:styleId="Heading2TOC">
    <w:name w:val="Heading2 TOC"/>
    <w:basedOn w:val="Normal"/>
    <w:qFormat/>
    <w:rsid w:val="000758CF"/>
    <w:pPr>
      <w:spacing w:before="240" w:after="60"/>
    </w:pPr>
    <w:rPr>
      <w:rFonts w:ascii="Times New Roman" w:hAnsi="Times New Roman"/>
      <w:b/>
      <w:sz w:val="28"/>
    </w:rPr>
  </w:style>
  <w:style w:type="character" w:customStyle="1" w:styleId="Underline">
    <w:name w:val="Underline"/>
    <w:basedOn w:val="DefaultParagraphFont"/>
    <w:qFormat/>
    <w:rsid w:val="000758CF"/>
    <w:rPr>
      <w:u w:val="single"/>
    </w:rPr>
  </w:style>
  <w:style w:type="character" w:customStyle="1" w:styleId="BoldandItalics">
    <w:name w:val="Bold and Italics"/>
    <w:qFormat/>
    <w:rsid w:val="000758CF"/>
    <w:rPr>
      <w:b/>
      <w:i/>
      <w:u w:val="none"/>
    </w:rPr>
  </w:style>
  <w:style w:type="paragraph" w:styleId="BalloonText">
    <w:name w:val="Balloon Text"/>
    <w:basedOn w:val="Normal"/>
    <w:link w:val="BalloonTextChar"/>
    <w:rsid w:val="000758CF"/>
    <w:rPr>
      <w:rFonts w:ascii="Tahoma" w:hAnsi="Tahoma" w:cs="Tahoma"/>
      <w:sz w:val="16"/>
      <w:szCs w:val="16"/>
    </w:rPr>
  </w:style>
  <w:style w:type="character" w:customStyle="1" w:styleId="BalloonTextChar">
    <w:name w:val="Balloon Text Char"/>
    <w:basedOn w:val="DefaultParagraphFont"/>
    <w:link w:val="BalloonText"/>
    <w:rsid w:val="000758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58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58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2518</Words>
  <Characters>15878</Characters>
  <Application>Microsoft Office Word</Application>
  <DocSecurity>0</DocSecurity>
  <Lines>630</Lines>
  <Paragraphs>244</Paragraphs>
  <ScaleCrop>false</ScaleCrop>
  <Company>Author-it Software Corporation Ltd.</Company>
  <LinksUpToDate>false</LinksUpToDate>
  <CharactersWithSpaces>18221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UETTDRDS45A Organise and implement ESI line and easement surveys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2012-05-26T12:07:00Z</dcterms:created>
  <dcterms:modified xsi:type="dcterms:W3CDTF">2012-05-26T12:07:00Z</dcterms:modified>
</cp:coreProperties>
</file>