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057" w:rsidP="002F1057">
      <w:pPr>
        <w:pStyle w:val="Title"/>
      </w:pPr>
      <w:r>
        <w:fldChar w:fldCharType="begin"/>
      </w:r>
      <w:r>
        <w:instrText xml:space="preserve"> TITLE   \* MERGEFORMAT </w:instrText>
      </w:r>
      <w:r>
        <w:fldChar w:fldCharType="separate"/>
      </w:r>
      <w:r>
        <w:t>UETTDRDS40A Prepare and appraise power systems financial impact statements</w:t>
      </w:r>
      <w:r>
        <w:fldChar w:fldCharType="end"/>
      </w:r>
    </w:p>
    <w:p w:rsidR="002F1057" w:rsidP="002F1057">
      <w:pPr>
        <w:pStyle w:val="Version"/>
        <w:sectPr w:rsidSect="008D54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4DF" w:rsidP="008D54DF">
      <w:pPr>
        <w:pStyle w:val="SuperHeading"/>
      </w:pPr>
      <w:r w:rsidRPr="008D54DF">
        <w:t>UETTDRDS40A Prepare and appraise power systems financial impact statements</w:t>
      </w:r>
    </w:p>
    <w:p w:rsidR="00000000" w:rsidRPr="008D54DF" w:rsidP="008D54DF">
      <w:pPr>
        <w:pStyle w:val="Heading1"/>
      </w:pPr>
      <w:bookmarkStart w:id="1" w:name="O_463456"/>
      <w:bookmarkEnd w:id="1"/>
      <w:r w:rsidRPr="008D54DF">
        <w:t>Modification History</w:t>
      </w:r>
    </w:p>
    <w:p w:rsidR="00000000" w:rsidRPr="008D54DF" w:rsidP="008D54DF">
      <w:pPr>
        <w:pStyle w:val="BodyText"/>
      </w:pPr>
      <w:r w:rsidRPr="008D54DF">
        <w:t>Not applicable.</w:t>
      </w:r>
    </w:p>
    <w:p w:rsidR="00000000" w:rsidRPr="008D54DF" w:rsidP="008D54DF">
      <w:pPr>
        <w:pStyle w:val="AllowPageBreak"/>
      </w:pPr>
    </w:p>
    <w:p w:rsidR="00000000" w:rsidRPr="008D54DF" w:rsidP="008D54DF">
      <w:pPr>
        <w:pStyle w:val="Heading1"/>
      </w:pPr>
      <w:bookmarkStart w:id="2" w:name="O_463454"/>
      <w:bookmarkEnd w:id="2"/>
      <w:r w:rsidRPr="008D54DF">
        <w:t>Unit Descriptor</w:t>
      </w:r>
    </w:p>
    <w:tbl>
      <w:tblPr>
        <w:tblW w:w="0" w:type="auto"/>
        <w:tblLayout w:type="fixed"/>
        <w:tblCellMar>
          <w:left w:w="62" w:type="dxa"/>
          <w:right w:w="62" w:type="dxa"/>
        </w:tblCellMar>
        <w:tblLook w:val="0000"/>
      </w:tblPr>
      <w:tblGrid>
        <w:gridCol w:w="2700"/>
        <w:gridCol w:w="5760"/>
      </w:tblGrid>
      <w:tr w:rsidTr="002F1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1)</w:t>
            </w:r>
            <w:r w:rsidRPr="008D54DF">
              <w:t xml:space="preserve"> </w:t>
            </w:r>
            <w:r w:rsidRPr="008D54DF">
              <w:rPr>
                <w:rStyle w:val="SpecialBold"/>
              </w:rPr>
              <w:t>Scope:</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54D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1.1) Descriptor</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This Competency Standard Unit covers the creation, interpretation and application of financial impact statements in electricity network infrastructure augmentations, maintenance and construction activities. It includes project scoping, cost estimating, pro</w:t>
            </w:r>
            <w:r w:rsidRPr="008D54DF">
              <w:t>viding economic justifications and cost benefit analysis and the use of guarantee and capital contribution arrangements with customers.</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3" w:name="O_463443"/>
      <w:bookmarkEnd w:id="3"/>
      <w:r w:rsidRPr="008D54DF">
        <w:t>Application of the Unit</w:t>
      </w:r>
    </w:p>
    <w:tbl>
      <w:tblPr>
        <w:tblW w:w="0" w:type="auto"/>
        <w:tblLayout w:type="fixed"/>
        <w:tblCellMar>
          <w:left w:w="62" w:type="dxa"/>
          <w:right w:w="62" w:type="dxa"/>
        </w:tblCellMar>
        <w:tblLook w:val="0000"/>
      </w:tblPr>
      <w:tblGrid>
        <w:gridCol w:w="2672"/>
        <w:gridCol w:w="5699"/>
      </w:tblGrid>
      <w:tr w:rsidTr="002F10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2)</w:t>
            </w:r>
          </w:p>
        </w:tc>
      </w:tr>
      <w:tr w:rsidTr="002F10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This Competency Standard Unit is intended to augment formally acquired competencies. It is suitable for employment-based programs under an approved contract of training.</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4" w:name="O_463450"/>
      <w:bookmarkEnd w:id="4"/>
      <w:r w:rsidRPr="008D54DF">
        <w:t>Licensing/Regulatory Information</w:t>
      </w:r>
    </w:p>
    <w:tbl>
      <w:tblPr>
        <w:tblW w:w="0" w:type="auto"/>
        <w:tblLayout w:type="fixed"/>
        <w:tblCellMar>
          <w:left w:w="62" w:type="dxa"/>
          <w:right w:w="62" w:type="dxa"/>
        </w:tblCellMar>
        <w:tblLook w:val="0000"/>
      </w:tblPr>
      <w:tblGrid>
        <w:gridCol w:w="2700"/>
        <w:gridCol w:w="5760"/>
      </w:tblGrid>
      <w:tr w:rsidTr="002F1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 xml:space="preserve">3) </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The skil</w:t>
            </w:r>
            <w:r w:rsidRPr="008D54DF">
              <w:t>ls and knowledge described in this unit may require a licence/registration to practice in the work place subject to regulations for undertaking of electrical work. Practice in workplace and during training is also subject to regulations directly related to</w:t>
            </w:r>
            <w:r w:rsidRPr="008D54DF">
              <w:t xml:space="preserve"> Occupational Health and Safety, electricity/telecommunications/gas/water industry </w:t>
            </w:r>
            <w:r w:rsidRPr="008D54DF">
              <w:t>safety and compliance, industrial relations, environmental protection, anti discrimination and training. Commonwealth, State/Territory or Local Government legislation and re</w:t>
            </w:r>
            <w:r w:rsidRPr="008D54DF">
              <w:t>gulations may exist that limits the age of operating certain equipment.</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5" w:name="O_463451"/>
      <w:bookmarkEnd w:id="5"/>
      <w:r w:rsidRPr="008D54DF">
        <w:t>Pre-Requisites</w:t>
      </w:r>
    </w:p>
    <w:tbl>
      <w:tblPr>
        <w:tblW w:w="0" w:type="auto"/>
        <w:tblLayout w:type="fixed"/>
        <w:tblCellMar>
          <w:left w:w="62" w:type="dxa"/>
          <w:right w:w="62" w:type="dxa"/>
        </w:tblCellMar>
        <w:tblLook w:val="0000"/>
      </w:tblPr>
      <w:tblGrid>
        <w:gridCol w:w="2700"/>
        <w:gridCol w:w="1980"/>
        <w:gridCol w:w="3780"/>
      </w:tblGrid>
      <w:tr w:rsidTr="002F1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 xml:space="preserve">4) </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4.1)</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Granting of competency in this unit shall be made only after competency in the following unit(s) has/have been confirmed.</w:t>
            </w:r>
          </w:p>
          <w:p w:rsidR="00000000" w:rsidRPr="008D54DF" w:rsidP="008D54DF">
            <w:pPr>
              <w:pStyle w:val="BodyText"/>
            </w:pPr>
            <w:r w:rsidRPr="008D54DF">
              <w:t xml:space="preserve">Where pre-requisite pathways have been identified. All competencies in the Common Unit Group must be have been completed plus all the </w:t>
            </w:r>
            <w:r w:rsidRPr="008D54DF">
              <w:t>competencies in one (1) of the identified Pathway Unit Group(s):</w:t>
            </w:r>
          </w:p>
          <w:p w:rsidR="00000000" w:rsidP="008D54DF">
            <w:pPr>
              <w:pStyle w:val="BodyText"/>
              <w:rPr>
                <w:lang w:val="en-NZ"/>
              </w:rPr>
            </w:pPr>
            <w:r w:rsidRPr="008D54DF">
              <w:t>Common Unit Group</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Unit Code</w:t>
            </w:r>
            <w:r w:rsidRPr="008D54DF">
              <w:tab/>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Unit Title</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Apply Occupational Health and Safety regulations, codes and practices in the workplace</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Solve problems in d.c. Circuits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Use drawings, diagrams, schedules, standards, codes and specifications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Solve problems in electromagnetic devices and related circuits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Solve problems in electromagnetic devices and related circuits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Apply sustainable energy and environmental procedures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 xml:space="preserve">Working safely near live electrical apparatus </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Implement and monitor the power system organisational OHS policies, procedures and programs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Implement and monitor</w:t>
            </w:r>
            <w:r w:rsidRPr="008D54DF">
              <w:t xml:space="preserve"> the power system environmental and sustainable energy management policies and procedures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Testing Pathway Unit Group</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8D54DF">
            <w:pPr>
              <w:pStyle w:val="BodyText"/>
              <w:rPr>
                <w:lang w:val="en-NZ"/>
              </w:rPr>
            </w:pPr>
            <w:r w:rsidRPr="008D54DF">
              <w:t>Use engineering applications software on personal computers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Fabricate, assemble and dismantle utilities industry components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UEENEEE124A</w:t>
            </w:r>
          </w:p>
        </w:tc>
        <w:tc>
          <w:tcPr>
            <w:tcW w:w="378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Compile and produce an energy sector detailed report</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Provide engineering solutions for problems in complex multiple path circuits problems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Provide solutions to basic engineering computational problems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Provide engineering solutions to problems in complex polyphase power circuits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UETTDRTS21A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Maintain interdependent network protection and control systems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UETTDRTS22A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Commission interdependent network protection and control systems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Develop power systems secondary isolation instructional documents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UETTDRTS35A</w:t>
            </w:r>
          </w:p>
        </w:tc>
        <w:tc>
          <w:tcPr>
            <w:tcW w:w="37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Maintain complex network protection and control systems</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Design Pathway Unit Group</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D54DF">
            <w:pPr>
              <w:pStyle w:val="BodyText"/>
              <w:rPr>
                <w:lang w:val="en-NZ"/>
              </w:rPr>
            </w:pPr>
            <w:r w:rsidRPr="008D54DF">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RPr="008D54DF" w:rsidP="008D54DF">
            <w:pPr>
              <w:pStyle w:val="BodyText"/>
            </w:pPr>
            <w:r w:rsidRPr="008D54DF">
              <w:t xml:space="preserve">Prepare and manage detailed construction plans for electrical </w:t>
            </w:r>
            <w:r w:rsidRPr="008D54DF">
              <w:t>power system infrastructure</w:t>
            </w:r>
          </w:p>
        </w:tc>
      </w:tr>
    </w:tbl>
    <w:p w:rsidR="00000000" w:rsidRPr="008D54DF" w:rsidP="008D54D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105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 xml:space="preserve">4.2) </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Participants are best equipped to achieve this unit if they have reading, writing and numeracy skills indicated by the following scales. Description of each scale is given in Volume 2, Part 3 “Literacy and Numeracy”</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Reading</w:t>
            </w:r>
          </w:p>
        </w:tc>
        <w:tc>
          <w:tcPr>
            <w:tcW w:w="81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5</w:t>
            </w:r>
          </w:p>
        </w:tc>
        <w:tc>
          <w:tcPr>
            <w:tcW w:w="99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Writing</w:t>
            </w:r>
          </w:p>
        </w:tc>
        <w:tc>
          <w:tcPr>
            <w:tcW w:w="90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5</w:t>
            </w:r>
          </w:p>
        </w:tc>
        <w:tc>
          <w:tcPr>
            <w:tcW w:w="12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Numeracy</w:t>
            </w:r>
          </w:p>
        </w:tc>
        <w:tc>
          <w:tcPr>
            <w:tcW w:w="72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5</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6" w:name="O_463447"/>
      <w:bookmarkEnd w:id="6"/>
      <w:r w:rsidRPr="008D54DF">
        <w:t>Employability Skills Information</w:t>
      </w:r>
    </w:p>
    <w:tbl>
      <w:tblPr>
        <w:tblW w:w="0" w:type="auto"/>
        <w:tblLayout w:type="fixed"/>
        <w:tblCellMar>
          <w:left w:w="62" w:type="dxa"/>
          <w:right w:w="62" w:type="dxa"/>
        </w:tblCellMar>
        <w:tblLook w:val="0000"/>
      </w:tblPr>
      <w:tblGrid>
        <w:gridCol w:w="2700"/>
        <w:gridCol w:w="5760"/>
      </w:tblGrid>
      <w:tr w:rsidTr="002F1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 xml:space="preserve">5) </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The required outcomes described in this unit of competency contain applicable facets of Employability Skills. The Employability Skills Summary of the qualification in which this u</w:t>
            </w:r>
            <w:r w:rsidRPr="008D54DF">
              <w:t>nit of competency is packaged will assist in identifying Employability Skill requirements.</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7" w:name="O_463446"/>
      <w:bookmarkEnd w:id="7"/>
      <w:r w:rsidRPr="008D54DF">
        <w:t>Elements and Performance Criteria Pre-Content</w:t>
      </w:r>
    </w:p>
    <w:tbl>
      <w:tblPr>
        <w:tblW w:w="0" w:type="auto"/>
        <w:tblLayout w:type="fixed"/>
        <w:tblCellMar>
          <w:left w:w="62" w:type="dxa"/>
          <w:right w:w="62" w:type="dxa"/>
        </w:tblCellMar>
        <w:tblLook w:val="0000"/>
      </w:tblPr>
      <w:tblGrid>
        <w:gridCol w:w="2700"/>
        <w:gridCol w:w="5760"/>
      </w:tblGrid>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6)</w:t>
            </w:r>
            <w:r w:rsidRPr="008D54D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Performance Criteria describe the required performance needed to demonstrate achievement of the element. Assessment of performance is to be consistent with the Evidence Guide.</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8" w:name="O_463445"/>
      <w:bookmarkEnd w:id="8"/>
      <w:r w:rsidRPr="008D54DF">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2F10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PERFORMANCE CRITER</w:t>
            </w:r>
            <w:r w:rsidRPr="008D54DF">
              <w:rPr>
                <w:rStyle w:val="SpecialBold"/>
              </w:rPr>
              <w:t>IA</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w:t>
            </w:r>
          </w:p>
        </w:tc>
        <w:tc>
          <w:tcPr>
            <w:tcW w:w="2292"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Plan for and coordinate the preparation and appraisal of financial impact statements</w:t>
            </w: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1.1</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 xml:space="preserve">OHS practices/procedures and environmental and sustainable energy procedures which may influence the preparation and appraisal of financial </w:t>
            </w:r>
            <w:r w:rsidRPr="008D54DF">
              <w:t>impact statements are reviewed and determined.</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1.2</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Purpose of the financial statement is established and expected outcomes of the work are confirmed with the appropriate personnel.</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1.3</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Established procedures, policies and specifications for financial</w:t>
            </w:r>
            <w:r w:rsidRPr="008D54DF">
              <w:t xml:space="preserve"> impact statement preparation and appraisal are obtained or established with the appropriate personnel.</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1.4</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Work is prioritised and sequenced for the most efficient and effective outcome following consultation with others for completion within acceptable timeframes, to a quality standard and in accordance with established procedures.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1.5</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Risk control measures</w:t>
            </w:r>
            <w:r w:rsidRPr="008D54DF">
              <w:t xml:space="preserve"> are identified, prioritised and evaluated against the work schedule.</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1.6</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Liaison and communication issues with other/authorised personnel, authorities, clients and land owners are resolved and activities coordinated to carry out work.</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1.7</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 xml:space="preserve">Personnel </w:t>
            </w:r>
            <w:r w:rsidRPr="008D54DF">
              <w:t>participating in the work are fully briefed and respective responsibilities coordinated and authorised where applicable in accordance with established procedures.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2</w:t>
            </w:r>
          </w:p>
        </w:tc>
        <w:tc>
          <w:tcPr>
            <w:tcW w:w="2292" w:type="dxa"/>
            <w:vMerge w:val="restart"/>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Carry out and coordinate the preparation and appraisal of financial impact statements</w:t>
            </w: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2.1</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Circuit system modelling is used to evaluate alternative proposals as per established procedures.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2.2</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OHS and sustainable energy principles, functionality and practices to reduce the incidence of accidents and minimise waste are incorporated into the pr</w:t>
            </w:r>
            <w:r w:rsidRPr="008D54DF">
              <w:t>oject in accordance with requirements and/or established procedures.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2.3</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Quality of work is monitored against personal performance agreement and/or established organisational and professional standards.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2.4</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Technical advice is given to potential hazards, safety risks and control measures so that monitoring and preventative action can be undertaken and/or appropriate authorities consulted, where necessary, in accordance with requirements and established proced</w:t>
            </w:r>
            <w:r w:rsidRPr="008D54DF">
              <w:t>ures.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2.5</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Essential knowledge and associated skills are applied to analyse specific data and compare it with compliance specifications to ensure completion of the project within an agreed timeframe according to requirements.</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3</w:t>
            </w:r>
          </w:p>
        </w:tc>
        <w:tc>
          <w:tcPr>
            <w:tcW w:w="2292"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Complete and coordinate t</w:t>
            </w:r>
            <w:r w:rsidRPr="008D54DF">
              <w:t>he preparation and appraisal of financial impact statements</w:t>
            </w: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3.1</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Final inspections of the financial impact statement are undertaken to ensure they comply with all requirements and include all specifications and documentations needed to complete the appraisa</w:t>
            </w:r>
            <w:r w:rsidRPr="008D54DF">
              <w:t>l brief.</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3.2</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Appropriate personnel are notified of completion and reports and/or completion documents are finalised.</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3.3</w:t>
            </w:r>
          </w:p>
        </w:tc>
        <w:tc>
          <w:tcPr>
            <w:tcW w:w="4909"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Reports and/or completion documents are submitted to relevant personnel/organisations for approval and, where applicable, statutory or regulatory approval.</w:t>
            </w:r>
          </w:p>
        </w:tc>
      </w:tr>
      <w:tr w:rsidTr="002F105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t>3.4</w:t>
            </w:r>
          </w:p>
        </w:tc>
        <w:tc>
          <w:tcPr>
            <w:tcW w:w="4909"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Approved copies of financial impact statement documents are issued and records are updated in</w:t>
            </w:r>
            <w:r w:rsidRPr="008D54DF">
              <w:t xml:space="preserve"> accordance with established procedures.</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9" w:name="O_463453"/>
      <w:bookmarkEnd w:id="9"/>
      <w:r w:rsidRPr="008D54DF">
        <w:t>Required Skills and Knowledge</w:t>
      </w:r>
    </w:p>
    <w:tbl>
      <w:tblPr>
        <w:tblW w:w="0" w:type="auto"/>
        <w:tblLayout w:type="fixed"/>
        <w:tblCellMar>
          <w:left w:w="62" w:type="dxa"/>
          <w:right w:w="62" w:type="dxa"/>
        </w:tblCellMar>
        <w:tblLook w:val="0000"/>
      </w:tblPr>
      <w:tblGrid>
        <w:gridCol w:w="8460"/>
      </w:tblGrid>
      <w:tr w:rsidTr="002F10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REQUIRED SKILLS AND KNOWLEDGE</w:t>
            </w:r>
          </w:p>
        </w:tc>
      </w:tr>
      <w:tr w:rsidTr="002F10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8)</w:t>
            </w:r>
            <w:r w:rsidRPr="008D54DF">
              <w:t xml:space="preserve"> Essential Knowledge and Associated Skills (EKAS): This describes the essential skills and knowledge and their level, required for th</w:t>
            </w:r>
            <w:r w:rsidRPr="008D54DF">
              <w:t>is unit.</w:t>
            </w:r>
          </w:p>
          <w:p w:rsidR="00000000" w:rsidRPr="008D54DF" w:rsidP="008D54DF">
            <w:pPr>
              <w:pStyle w:val="BodyText"/>
            </w:pPr>
            <w:r w:rsidRPr="008D54DF">
              <w:t>Evidence shall show that knowledge has been acquired of preparing and appraising financial impact statements.</w:t>
            </w:r>
          </w:p>
          <w:p w:rsidR="00000000" w:rsidRPr="008D54DF" w:rsidP="008D54DF">
            <w:pPr>
              <w:pStyle w:val="BodyText"/>
            </w:pPr>
            <w:r w:rsidRPr="008D54DF">
              <w:t>All knowledge and skills detailed in this unit should be contextualised to current industry practices and technologies.</w:t>
            </w:r>
          </w:p>
          <w:p w:rsidR="00000000" w:rsidRPr="008D54DF" w:rsidP="008D54DF">
            <w:pPr>
              <w:pStyle w:val="BodyText"/>
            </w:pPr>
            <w:r w:rsidRPr="008D54DF">
              <w:t xml:space="preserve">KS01-TDS40A </w:t>
            </w:r>
            <w:r w:rsidRPr="008D54DF">
              <w:tab/>
            </w:r>
            <w:r w:rsidRPr="008D54DF">
              <w:t xml:space="preserve">Prepare and appraise power systems financial impact statements </w:t>
            </w:r>
          </w:p>
          <w:p w:rsidR="00000000" w:rsidRPr="008D54DF" w:rsidP="008D54DF">
            <w:pPr>
              <w:pStyle w:val="BodyText"/>
            </w:pPr>
            <w:r w:rsidRPr="008D54DF">
              <w:t xml:space="preserve">Evidence shall show an understanding of the preparation and appraisal of power systems financial impact statements to an extent indicated by the following aspects: </w:t>
            </w:r>
          </w:p>
          <w:p w:rsidR="00000000" w:rsidRPr="008D54DF" w:rsidP="008D54DF">
            <w:pPr>
              <w:pStyle w:val="BodyText"/>
            </w:pPr>
            <w:r w:rsidRPr="008D54DF">
              <w:t>T1</w:t>
            </w:r>
            <w:r w:rsidRPr="008D54DF">
              <w:tab/>
              <w:t>Principles of safe desig</w:t>
            </w:r>
            <w:r w:rsidRPr="008D54DF">
              <w:t>n to an extent indicated by the following aspects:</w:t>
            </w:r>
          </w:p>
          <w:p w:rsidR="00000000" w:rsidRPr="008D54DF" w:rsidP="008D54DF">
            <w:pPr>
              <w:pStyle w:val="ListBullet"/>
            </w:pPr>
            <w:r w:rsidRPr="008D54DF">
              <w:t>Commonwealth/State/Territory legislation, standards, codes, supply authority regulations and or enterprise requirements associated with safe design principles</w:t>
            </w:r>
          </w:p>
          <w:p w:rsidR="00000000" w:rsidRPr="008D54DF" w:rsidP="008D54DF">
            <w:pPr>
              <w:pStyle w:val="ListBullet"/>
            </w:pPr>
            <w:r w:rsidRPr="008D54DF">
              <w:t>Particular reference to state and territory r</w:t>
            </w:r>
            <w:r w:rsidRPr="008D54DF">
              <w:t>egulations regarding: working near energised conductors, electrical access, heights, confined space, testing procedures and licensing rules</w:t>
            </w:r>
          </w:p>
          <w:p w:rsidR="00000000" w:rsidRPr="008D54DF" w:rsidP="008D54DF">
            <w:pPr>
              <w:pStyle w:val="ListBullet"/>
            </w:pPr>
            <w:r w:rsidRPr="008D54DF">
              <w:t>Application of safe design principles - safe design duty related information, safe design process related informatio</w:t>
            </w:r>
            <w:r w:rsidRPr="008D54DF">
              <w:t>n and safe design evaluations</w:t>
            </w:r>
          </w:p>
          <w:p w:rsidR="00000000" w:rsidRPr="008D54DF" w:rsidP="008D54DF">
            <w:pPr>
              <w:pStyle w:val="BodyText"/>
            </w:pPr>
            <w:r w:rsidRPr="008D54DF">
              <w:t>T2</w:t>
            </w:r>
            <w:r w:rsidRPr="008D54DF">
              <w:tab/>
              <w:t>Methodology used in writing enterprise specific management reports to an extent indicated by the following aspects:</w:t>
            </w:r>
          </w:p>
          <w:p w:rsidR="00000000" w:rsidRPr="008D54DF" w:rsidP="008D54DF">
            <w:pPr>
              <w:pStyle w:val="ListBullet"/>
            </w:pPr>
            <w:r w:rsidRPr="008D54DF">
              <w:t>Commonwealth, State/Territory and local government legislation, supply authority regulations Standards, co</w:t>
            </w:r>
            <w:r w:rsidRPr="008D54DF">
              <w:t>des, and or enterprise requirements applicable to the writing enterprise specific management reports</w:t>
            </w:r>
          </w:p>
          <w:p w:rsidR="00000000" w:rsidRPr="008D54DF" w:rsidP="008D54DF">
            <w:pPr>
              <w:pStyle w:val="ListBullet"/>
            </w:pPr>
            <w:r w:rsidRPr="008D54DF">
              <w:t xml:space="preserve">Techniques in researching, collating and analysing information for the report - recording, filing, retrieving systems and storing and retrieving data from </w:t>
            </w:r>
            <w:r w:rsidRPr="008D54DF">
              <w:t>computer systems</w:t>
            </w:r>
          </w:p>
          <w:p w:rsidR="00000000" w:rsidRPr="008D54DF" w:rsidP="008D54DF">
            <w:pPr>
              <w:pStyle w:val="ListBullet"/>
            </w:pPr>
            <w:r w:rsidRPr="008D54DF">
              <w:t>Relationship of management reports to enterprise policies and procedures - enterprise structure and resources, Workplace OHS and risk management enterprise data, financial and operational data</w:t>
            </w:r>
          </w:p>
          <w:p w:rsidR="00000000" w:rsidRPr="008D54DF" w:rsidP="008D54DF">
            <w:pPr>
              <w:pStyle w:val="ListBullet"/>
            </w:pPr>
            <w:r w:rsidRPr="008D54DF">
              <w:t>Environmental enterprise policies and procedur</w:t>
            </w:r>
            <w:r w:rsidRPr="008D54DF">
              <w:t>es</w:t>
            </w:r>
          </w:p>
          <w:p w:rsidR="00000000" w:rsidRPr="008D54DF" w:rsidP="008D54DF">
            <w:pPr>
              <w:pStyle w:val="ListBullet"/>
            </w:pPr>
            <w:r w:rsidRPr="008D54DF">
              <w:t>Industrial relations policies and procedures</w:t>
            </w:r>
          </w:p>
          <w:p w:rsidR="00000000" w:rsidRPr="008D54DF" w:rsidP="008D54DF">
            <w:pPr>
              <w:pStyle w:val="ListBullet"/>
            </w:pPr>
            <w:r w:rsidRPr="008D54DF">
              <w:t xml:space="preserve">Anti-discrimination policies and procedures: </w:t>
            </w:r>
          </w:p>
          <w:p w:rsidR="00000000" w:rsidRPr="008D54DF" w:rsidP="008D54DF">
            <w:pPr>
              <w:pStyle w:val="ListBullet"/>
            </w:pPr>
            <w:r w:rsidRPr="008D54DF">
              <w:t xml:space="preserve">Techniques in writing enterprise specific management reports - methods used to disseminate information and facilitate enterprise requirements, document proformas </w:t>
            </w:r>
            <w:r w:rsidRPr="008D54DF">
              <w:t xml:space="preserve">and compliance and legislative requirements to produce effective reports in the appropriate format </w:t>
            </w:r>
          </w:p>
          <w:p w:rsidR="00000000" w:rsidRPr="008D54DF" w:rsidP="008D54DF">
            <w:pPr>
              <w:pStyle w:val="BodyText"/>
            </w:pPr>
            <w:r w:rsidRPr="008D54DF">
              <w:t>T3</w:t>
            </w:r>
            <w:r w:rsidRPr="008D54DF">
              <w:tab/>
              <w:t>Evidence shall show an understanding of financial impact statements encompassing:</w:t>
            </w:r>
          </w:p>
          <w:p w:rsidR="00000000" w:rsidRPr="008D54DF" w:rsidP="008D54DF">
            <w:pPr>
              <w:pStyle w:val="ListBullet"/>
            </w:pPr>
            <w:r w:rsidRPr="008D54DF">
              <w:t>Techniques in budgeting and tracking project progress</w:t>
            </w:r>
          </w:p>
          <w:p w:rsidR="00000000" w:rsidRPr="008D54DF" w:rsidP="008D54DF">
            <w:pPr>
              <w:pStyle w:val="ListBullet"/>
            </w:pPr>
            <w:r w:rsidRPr="008D54DF">
              <w:t xml:space="preserve">Preparation and </w:t>
            </w:r>
            <w:r w:rsidRPr="008D54DF">
              <w:t>analysis of budget figures</w:t>
            </w:r>
          </w:p>
          <w:p w:rsidR="00000000" w:rsidRPr="008D54DF" w:rsidP="008D54DF">
            <w:pPr>
              <w:pStyle w:val="ListBullet"/>
            </w:pPr>
            <w:r w:rsidRPr="008D54DF">
              <w:t>Techniques in the co-ordination of contingencies and risks that have a budget effect</w:t>
            </w:r>
          </w:p>
          <w:p w:rsidR="00000000" w:rsidRPr="008D54DF" w:rsidP="008D54DF">
            <w:pPr>
              <w:pStyle w:val="ListBullet"/>
            </w:pPr>
            <w:r w:rsidRPr="008D54DF">
              <w:t>Techniques in dealing with problems that have a budget effect</w:t>
            </w:r>
          </w:p>
          <w:p w:rsidR="00000000" w:rsidRPr="008D54DF" w:rsidP="008D54DF">
            <w:pPr>
              <w:pStyle w:val="ListBullet"/>
            </w:pPr>
            <w:r w:rsidRPr="008D54DF">
              <w:t>Examples of forms of recording project status and costings</w:t>
            </w:r>
          </w:p>
          <w:p w:rsidR="00000000" w:rsidRPr="008D54DF" w:rsidP="008D54DF">
            <w:pPr>
              <w:pStyle w:val="ListBullet"/>
            </w:pPr>
            <w:r w:rsidRPr="008D54DF">
              <w:t>Application of relevant computer software packages</w:t>
            </w:r>
          </w:p>
          <w:p w:rsidR="00000000" w:rsidRPr="008D54DF" w:rsidP="008D54DF">
            <w:pPr>
              <w:pStyle w:val="ListBullet"/>
            </w:pPr>
            <w:r w:rsidRPr="008D54DF">
              <w:t>Methods of prepare proposals encompassing: prepare specifications, tender and  evaluation and letting of tenders</w:t>
            </w:r>
          </w:p>
          <w:p w:rsidR="00000000" w:rsidRPr="008D54DF" w:rsidP="008D54DF">
            <w:pPr>
              <w:pStyle w:val="ListBullet"/>
            </w:pPr>
            <w:r w:rsidRPr="008D54DF">
              <w:t>Techniques in estimating - contract documents, drawings, specifications, general conditions,</w:t>
            </w:r>
            <w:r w:rsidRPr="008D54DF">
              <w:t xml:space="preserve"> special conditions</w:t>
            </w:r>
          </w:p>
          <w:p w:rsidR="00000000" w:rsidRPr="008D54DF" w:rsidP="008D54DF">
            <w:pPr>
              <w:pStyle w:val="ListBullet"/>
            </w:pPr>
            <w:r w:rsidRPr="008D54DF">
              <w:t>Resources costs - hourly rates (labour, plant, material, subcontractors), direct and indirect costs, contingency costs, project margin, cost of money, budget, preliminary tender, labour costing, equipment costing, economic comparisons a</w:t>
            </w:r>
            <w:r w:rsidRPr="008D54DF">
              <w:t>nd contract variations</w:t>
            </w:r>
          </w:p>
          <w:p w:rsidR="00000000" w:rsidRPr="008D54DF" w:rsidP="008D54DF">
            <w:pPr>
              <w:pStyle w:val="ListBullet"/>
            </w:pPr>
            <w:r w:rsidRPr="008D54DF">
              <w:t>Techniques in prepare and interpret proposals and tender documents</w:t>
            </w:r>
          </w:p>
          <w:p w:rsidR="00000000" w:rsidRPr="008D54DF" w:rsidP="008D54DF">
            <w:pPr>
              <w:pStyle w:val="ListBullet"/>
            </w:pPr>
            <w:r w:rsidRPr="008D54DF">
              <w:t>Techniques in preparing tender documents</w:t>
            </w:r>
          </w:p>
          <w:p w:rsidR="00000000" w:rsidRPr="008D54DF" w:rsidP="008D54DF">
            <w:pPr>
              <w:pStyle w:val="ListBullet"/>
            </w:pPr>
            <w:r w:rsidRPr="008D54DF">
              <w:t>Techniques in interpret tender documents</w:t>
            </w:r>
          </w:p>
          <w:p w:rsidR="00000000" w:rsidRPr="008D54DF" w:rsidP="008D54DF">
            <w:pPr>
              <w:pStyle w:val="ListBullet"/>
            </w:pPr>
            <w:r w:rsidRPr="008D54DF">
              <w:t>Techniques in preparing cost estimates for a project from relevant data</w:t>
            </w:r>
          </w:p>
          <w:p w:rsidR="00000000" w:rsidRPr="008D54DF" w:rsidP="008D54DF">
            <w:pPr>
              <w:pStyle w:val="ListBullet"/>
            </w:pPr>
            <w:r w:rsidRPr="008D54DF">
              <w:t>Techniques i</w:t>
            </w:r>
            <w:r w:rsidRPr="008D54DF">
              <w:t>n preparing financial impact statements</w:t>
            </w:r>
          </w:p>
          <w:p w:rsidR="00000000" w:rsidRPr="008D54DF" w:rsidP="008D54DF">
            <w:pPr>
              <w:pStyle w:val="BodyText"/>
            </w:pPr>
            <w:r w:rsidRPr="008D54DF">
              <w:t>T4</w:t>
            </w:r>
            <w:r w:rsidRPr="008D54DF">
              <w:tab/>
              <w:t>Project management encompassing:</w:t>
            </w:r>
          </w:p>
          <w:p w:rsidR="00000000" w:rsidRPr="008D54DF" w:rsidP="008D54DF">
            <w:pPr>
              <w:pStyle w:val="ListBullet"/>
            </w:pPr>
            <w:r w:rsidRPr="008D54DF">
              <w:t xml:space="preserve">Commonwealth, State and local government legislation, standards, codes, supply authority regulations and or enterprise requirements including relevant certification and licensing </w:t>
            </w:r>
            <w:r w:rsidRPr="008D54DF">
              <w:t>applicable to the duties and responsibilities for management a project</w:t>
            </w:r>
          </w:p>
          <w:p w:rsidR="00000000" w:rsidRPr="008D54DF" w:rsidP="008D54DF">
            <w:pPr>
              <w:pStyle w:val="ListBullet"/>
            </w:pPr>
            <w:r w:rsidRPr="008D54DF">
              <w:t>Analyse functions of project management to determine achievement of project objectives</w:t>
            </w:r>
          </w:p>
          <w:p w:rsidR="00000000" w:rsidRPr="008D54DF" w:rsidP="008D54DF">
            <w:pPr>
              <w:pStyle w:val="ListBullet"/>
            </w:pPr>
            <w:r w:rsidRPr="008D54DF">
              <w:t>Relationship of stakeholders to the project</w:t>
            </w:r>
          </w:p>
          <w:p w:rsidR="00000000" w:rsidRPr="008D54DF" w:rsidP="008D54DF">
            <w:pPr>
              <w:pStyle w:val="ListBullet"/>
            </w:pPr>
            <w:r w:rsidRPr="008D54DF">
              <w:t>Techniques in development of project plan - project in</w:t>
            </w:r>
            <w:r w:rsidRPr="008D54DF">
              <w:t>tegration, scope, timelines, cost, quality, resources, communication/protocol requirements, risk/uncertainties and procurement and contacting</w:t>
            </w:r>
          </w:p>
          <w:p w:rsidR="00000000" w:rsidRPr="008D54DF" w:rsidP="008D54DF">
            <w:pPr>
              <w:pStyle w:val="ListBullet"/>
            </w:pPr>
            <w:r w:rsidRPr="008D54DF">
              <w:t>Relationship between project processes, project life and project phases</w:t>
            </w:r>
          </w:p>
          <w:p w:rsidR="00000000" w:rsidRPr="008D54DF" w:rsidP="008D54DF">
            <w:pPr>
              <w:pStyle w:val="ListBullet"/>
            </w:pPr>
            <w:r w:rsidRPr="008D54DF">
              <w:t xml:space="preserve">Planning and control procedures, resource </w:t>
            </w:r>
            <w:r w:rsidRPr="008D54DF">
              <w:t>management and risk management</w:t>
            </w:r>
          </w:p>
          <w:p w:rsidR="00000000" w:rsidRPr="008D54DF" w:rsidP="008D54DF">
            <w:pPr>
              <w:pStyle w:val="ListBullet"/>
            </w:pPr>
            <w:r w:rsidRPr="008D54DF">
              <w:t>Techniques, methodologies and tools available to project managers</w:t>
            </w:r>
          </w:p>
          <w:p w:rsidR="00000000" w:rsidRPr="008D54DF" w:rsidP="008D54DF">
            <w:pPr>
              <w:pStyle w:val="ListBullet"/>
            </w:pPr>
            <w:r w:rsidRPr="008D54DF">
              <w:t>Types of internal and external environmental factors that may affect the project</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10" w:name="O_463448"/>
      <w:bookmarkEnd w:id="10"/>
      <w:r w:rsidRPr="008D54DF">
        <w:t>Evidence Guide</w:t>
      </w:r>
    </w:p>
    <w:tbl>
      <w:tblPr>
        <w:tblW w:w="0" w:type="auto"/>
        <w:tblLayout w:type="fixed"/>
        <w:tblCellMar>
          <w:left w:w="62" w:type="dxa"/>
          <w:right w:w="62" w:type="dxa"/>
        </w:tblCellMar>
        <w:tblLook w:val="0000"/>
      </w:tblPr>
      <w:tblGrid>
        <w:gridCol w:w="8460"/>
      </w:tblGrid>
      <w:tr w:rsidTr="002F10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EVIDENCE GUIDE</w:t>
            </w:r>
          </w:p>
        </w:tc>
      </w:tr>
      <w:tr w:rsidTr="002F10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9)</w:t>
            </w:r>
            <w:r w:rsidRPr="008D54DF">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8D54DF" w:rsidP="008D54DF">
            <w:pPr>
              <w:pStyle w:val="BodyText"/>
            </w:pPr>
            <w:r w:rsidRPr="008D54DF">
              <w:t>The Evidence Guide form</w:t>
            </w:r>
            <w:r w:rsidRPr="008D54DF">
              <w:t>s an integral part of this Competency Standard Unit and shall be used in conjunction with all component parts of this unit and, performed in accordance with the Assessment Guidelines of this Training Package.</w:t>
            </w:r>
          </w:p>
        </w:tc>
      </w:tr>
    </w:tbl>
    <w:p w:rsidR="00000000" w:rsidRPr="008D54DF" w:rsidP="008D54DF">
      <w:pPr>
        <w:pStyle w:val="BodyText"/>
      </w:pPr>
    </w:p>
    <w:tbl>
      <w:tblPr>
        <w:tblW w:w="0" w:type="auto"/>
        <w:tblLayout w:type="fixed"/>
        <w:tblCellMar>
          <w:left w:w="62" w:type="dxa"/>
          <w:right w:w="62" w:type="dxa"/>
        </w:tblCellMar>
        <w:tblLook w:val="0000"/>
      </w:tblPr>
      <w:tblGrid>
        <w:gridCol w:w="1890"/>
        <w:gridCol w:w="6570"/>
      </w:tblGrid>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9.1)</w:t>
            </w:r>
          </w:p>
        </w:tc>
      </w:tr>
      <w:tr w:rsidTr="002F105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Longitudinal competency development approaches to assessment, such as Profiling, require data to be reliably gathered in a form that can be consistently interpreted over time. This approach is best utilised in Apprenticeship programs and reduces assessment</w:t>
            </w:r>
            <w:r w:rsidRPr="008D54D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D54DF">
              <w:t>tency in a realistically simulated work environment. It is recognised that, in some circumstances, assessment in part or full can occur outside the workplace. However, it must be in accord with Industry and, Regulatory policy in this regard.</w:t>
            </w:r>
          </w:p>
          <w:p w:rsidR="00000000" w:rsidRPr="008D54DF" w:rsidP="008D54DF">
            <w:pPr>
              <w:pStyle w:val="BodyText"/>
            </w:pPr>
            <w:r w:rsidRPr="008D54DF">
              <w:t>Methods chosen</w:t>
            </w:r>
            <w:r w:rsidRPr="008D54D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D54DF">
              <w:t>equired and the critical nature of the competencies being assessed.</w:t>
            </w:r>
          </w:p>
          <w:p w:rsidR="00000000" w:rsidRPr="008D54DF" w:rsidP="008D54DF">
            <w:pPr>
              <w:pStyle w:val="BodyText"/>
            </w:pPr>
            <w:r w:rsidRPr="008D54DF">
              <w:t>The critical safety nature of working with electricity, electrical equipment, gas or any other hazardous substance/material carries risk in deeming a person competent. Hence, sources of ev</w:t>
            </w:r>
            <w:r w:rsidRPr="008D54DF">
              <w:t>idence need to be ‘rich’ in nature so as to minimise error in judgment.</w:t>
            </w:r>
          </w:p>
          <w:p w:rsidR="00000000" w:rsidRPr="008D54DF" w:rsidP="008D54DF">
            <w:pPr>
              <w:pStyle w:val="BodyText"/>
            </w:pPr>
            <w:r w:rsidRPr="008D54DF">
              <w:t>Activities associated with normal every day work have a bearing on the decision as to how much and how detailed the data gathered will contribute to its ‘richness’. Some skills are mor</w:t>
            </w:r>
            <w:r w:rsidRPr="008D54DF">
              <w:t>e critical to safety and operational requirements while the same skills may be more or less frequently practiced. These points are raised for the assessors to consider when choosing an assessment method and developing assessment instruments. Sample assessm</w:t>
            </w:r>
            <w:r w:rsidRPr="008D54DF">
              <w:t>ent instruments are included for Assessors in the Assessment Guidelines of this Training Package.</w:t>
            </w:r>
          </w:p>
        </w:tc>
      </w:tr>
    </w:tbl>
    <w:p w:rsidR="00000000" w:rsidRPr="008D54DF" w:rsidP="008D54D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9.2)</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Before the critical aspects of evidence are considered all prerequisites shall be met.</w:t>
            </w:r>
          </w:p>
          <w:p w:rsidR="00000000" w:rsidRPr="008D54DF" w:rsidP="008D54DF">
            <w:pPr>
              <w:pStyle w:val="BodyText"/>
            </w:pPr>
            <w:r w:rsidRPr="008D54DF">
              <w:t>Evidence for competence in this unit shall be considered holistically. Each element and associated Performance Criteria shall be demonstrated on at least two occasions i</w:t>
            </w:r>
            <w:r w:rsidRPr="008D54DF">
              <w:t>n accordance with the “Assessment Guidelines – UET12UET12”. Evidence shall also comprise:</w:t>
            </w:r>
          </w:p>
          <w:p w:rsidR="00000000" w:rsidRPr="008D54DF" w:rsidP="008D54DF">
            <w:pPr>
              <w:pStyle w:val="ListBullet"/>
            </w:pPr>
            <w:r w:rsidRPr="008D54DF">
              <w:t>A representative body of Performance Criteria demonstrated within the timeframes typically expected of the discipline, work function and industrial environment. In p</w:t>
            </w:r>
            <w:r w:rsidRPr="008D54DF">
              <w:t>articular this shall incorporate evidence that shows a candidate is able to:</w:t>
            </w:r>
          </w:p>
          <w:p w:rsidR="00000000" w:rsidRPr="008D54DF" w:rsidP="008D54DF">
            <w:pPr>
              <w:pStyle w:val="ListBullet2"/>
            </w:pPr>
            <w:r w:rsidRPr="008D54DF">
              <w:t>Implement Occupational Health and Safety workplace procedures and practices including the use of risk control measures as specified in the Performance Criteria and range; and</w:t>
            </w:r>
          </w:p>
          <w:p w:rsidR="00000000" w:rsidRPr="008D54DF" w:rsidP="008D54DF">
            <w:pPr>
              <w:pStyle w:val="ListBullet2"/>
            </w:pPr>
            <w:r w:rsidRPr="008D54DF">
              <w:t>App</w:t>
            </w:r>
            <w:r w:rsidRPr="008D54DF">
              <w:t>ly sustainable energy principles and practices as specified in the Performance Criteria and range; and</w:t>
            </w:r>
          </w:p>
          <w:p w:rsidR="00000000" w:rsidRPr="008D54DF" w:rsidP="008D54DF">
            <w:pPr>
              <w:pStyle w:val="ListBullet2"/>
            </w:pPr>
            <w:r w:rsidRPr="008D54DF">
              <w:t>Demonstrate an understanding of the essential knowledge and associated skills as described in this unit to such an extent that the learner’</w:t>
            </w:r>
            <w:r w:rsidRPr="008D54DF">
              <w:t>s performance outcome is reported in accordance with the preferred approach; namely a percentile graded result, where required by the regulated environment; and</w:t>
            </w:r>
          </w:p>
          <w:p w:rsidR="00000000" w:rsidRPr="008D54DF" w:rsidP="008D54DF">
            <w:pPr>
              <w:pStyle w:val="ListBullet2"/>
            </w:pPr>
            <w:r w:rsidRPr="008D54DF">
              <w:t>Demonstrate an appropriate level of employability skills; and</w:t>
            </w:r>
          </w:p>
          <w:p w:rsidR="00000000" w:rsidRPr="008D54DF" w:rsidP="008D54DF">
            <w:pPr>
              <w:pStyle w:val="ListBullet"/>
            </w:pPr>
            <w:r w:rsidRPr="008D54DF">
              <w:t>Conduct work observing the relev</w:t>
            </w:r>
            <w:r w:rsidRPr="008D54DF">
              <w:t>ant Anti Discrimination legislation, regulations, policies and workplace procedures; and</w:t>
            </w:r>
          </w:p>
          <w:p w:rsidR="00000000" w:rsidP="008D54DF">
            <w:pPr>
              <w:pStyle w:val="ListBullet2"/>
              <w:rPr>
                <w:lang w:val="en-NZ"/>
              </w:rPr>
            </w:pPr>
            <w:r w:rsidRPr="008D54DF">
              <w:t>Demonstrated performance across a representative range of contexts from the prescribed items below:</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D54D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rPr>
                <w:rStyle w:val="SpecialBold"/>
              </w:rPr>
              <w:t>Range of tools/equipment/materials/procedures/workplaces/other variables</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D54D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4DF" w:rsidP="008D54DF">
            <w:pPr>
              <w:pStyle w:val="BodyText"/>
            </w:pPr>
            <w:r w:rsidRPr="008D54D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4DF" w:rsidP="008D54DF">
            <w:pPr>
              <w:pStyle w:val="BodyText"/>
            </w:pPr>
            <w:r w:rsidRPr="008D54D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rPr>
                <w:rStyle w:val="SpecialBold"/>
              </w:rPr>
              <w:t>Item List</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Completion of six (6) designs in total drawn from at least two (2)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4DF" w:rsidP="008D54DF">
            <w:pPr>
              <w:pStyle w:val="BodyText"/>
            </w:pPr>
            <w:r w:rsidRPr="008D54DF">
              <w:t>Overhead line designs</w:t>
            </w:r>
          </w:p>
          <w:p w:rsidR="00000000" w:rsidRPr="008D54DF" w:rsidP="008D54DF">
            <w:pPr>
              <w:pStyle w:val="BodyText"/>
            </w:pPr>
            <w:r w:rsidRPr="008D54DF">
              <w:t>Underground line designs</w:t>
            </w:r>
          </w:p>
          <w:p w:rsidR="00000000" w:rsidRPr="008D54DF" w:rsidP="008D54DF">
            <w:pPr>
              <w:pStyle w:val="BodyText"/>
            </w:pPr>
            <w:r w:rsidRPr="008D54DF">
              <w:t>Distribution substations designs</w:t>
            </w:r>
          </w:p>
          <w:p w:rsidR="00000000" w:rsidRPr="008D54DF" w:rsidP="008D54DF">
            <w:pPr>
              <w:pStyle w:val="BodyText"/>
            </w:pPr>
            <w:r w:rsidRPr="008D54DF">
              <w:t>Customer substations designs</w:t>
            </w:r>
          </w:p>
          <w:p w:rsidR="00000000" w:rsidRPr="008D54DF" w:rsidP="008D54DF">
            <w:pPr>
              <w:pStyle w:val="BodyText"/>
            </w:pPr>
            <w:r w:rsidRPr="008D54DF">
              <w:t>Transmission substations designs</w:t>
            </w:r>
          </w:p>
          <w:p w:rsidR="00000000" w:rsidRPr="008D54DF" w:rsidP="008D54DF">
            <w:pPr>
              <w:pStyle w:val="BodyText"/>
            </w:pPr>
            <w:r w:rsidRPr="008D54DF">
              <w:t>Sub-transmissio</w:t>
            </w:r>
            <w:r w:rsidRPr="008D54DF">
              <w:t>n substations designs</w:t>
            </w:r>
          </w:p>
          <w:p w:rsidR="00000000" w:rsidRPr="008D54DF" w:rsidP="008D54DF">
            <w:pPr>
              <w:pStyle w:val="BodyText"/>
            </w:pPr>
            <w:r w:rsidRPr="008D54DF">
              <w:t>Public lighting designs</w:t>
            </w:r>
          </w:p>
          <w:p w:rsidR="00000000" w:rsidRPr="008D54DF" w:rsidP="008D54DF">
            <w:pPr>
              <w:pStyle w:val="BodyText"/>
            </w:pPr>
            <w:r w:rsidRPr="008D54DF">
              <w:t>Zone substation designs</w:t>
            </w:r>
          </w:p>
          <w:p w:rsidR="00000000" w:rsidRPr="008D54DF" w:rsidP="008D54DF">
            <w:pPr>
              <w:pStyle w:val="BodyText"/>
            </w:pPr>
            <w:r w:rsidRPr="008D54DF">
              <w:t>Substation secondary systems – Commissioning.</w:t>
            </w:r>
          </w:p>
          <w:p w:rsidR="00000000" w:rsidRPr="008D54DF" w:rsidP="008D54DF">
            <w:pPr>
              <w:pStyle w:val="BodyText"/>
            </w:pPr>
            <w:r w:rsidRPr="008D54DF">
              <w:t>Substation secondary systems –Maintenance and augmentation.</w:t>
            </w:r>
          </w:p>
          <w:p w:rsidR="00000000" w:rsidRPr="008D54DF" w:rsidP="008D54DF">
            <w:pPr>
              <w:pStyle w:val="BodyText"/>
            </w:pPr>
            <w:r w:rsidRPr="008D54DF">
              <w:t xml:space="preserve">Generation secondary </w:t>
            </w:r>
            <w:r w:rsidRPr="008D54DF">
              <w:t>systems –Commissioning.</w:t>
            </w:r>
          </w:p>
          <w:p w:rsidR="00000000" w:rsidRPr="008D54DF" w:rsidP="008D54DF">
            <w:pPr>
              <w:pStyle w:val="BodyText"/>
            </w:pPr>
            <w:r w:rsidRPr="008D54DF">
              <w:t>Generation secondary systems –Maint</w:t>
            </w:r>
            <w:r w:rsidRPr="008D54DF">
              <w:t>enance and augmentation.</w:t>
            </w:r>
          </w:p>
          <w:p w:rsidR="00000000" w:rsidRPr="008D54DF" w:rsidP="008D54DF">
            <w:pPr>
              <w:pStyle w:val="BodyText"/>
            </w:pPr>
            <w:r w:rsidRPr="008D54DF">
              <w:t>HV Primary plant –Commissioning.</w:t>
            </w:r>
          </w:p>
          <w:p w:rsidR="00000000" w:rsidP="008D54DF">
            <w:pPr>
              <w:pStyle w:val="BodyText"/>
              <w:rPr>
                <w:lang w:val="en-NZ"/>
              </w:rPr>
            </w:pPr>
            <w:r w:rsidRPr="008D54DF">
              <w:t xml:space="preserve">HV Primary plant –Maintenance and augmentation </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Financial Impact Statements shall also include: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Activities that address the correction of errors in the process.</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4DF">
            <w:pPr>
              <w:pStyle w:val="BodyText"/>
              <w:rPr>
                <w:lang w:val="en-NZ"/>
              </w:rPr>
            </w:pPr>
            <w:r w:rsidRPr="008D54D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4DF" w:rsidP="008D54DF">
            <w:pPr>
              <w:pStyle w:val="BodyText"/>
            </w:pPr>
            <w:r w:rsidRPr="008D54DF">
              <w:t>Dealing with an unplanned event by drawing on essential knowledge and associated skills to provide appropriate solutions incorporated in the holistic assessment with the above listed items.</w:t>
            </w:r>
          </w:p>
        </w:tc>
      </w:tr>
    </w:tbl>
    <w:p w:rsidR="00000000" w:rsidRPr="008D54DF" w:rsidP="008D54DF">
      <w:pPr>
        <w:pStyle w:val="BodyText"/>
      </w:pPr>
    </w:p>
    <w:tbl>
      <w:tblPr>
        <w:tblW w:w="0" w:type="auto"/>
        <w:tblLayout w:type="fixed"/>
        <w:tblCellMar>
          <w:left w:w="62" w:type="dxa"/>
          <w:right w:w="62" w:type="dxa"/>
        </w:tblCellMar>
        <w:tblLook w:val="0000"/>
      </w:tblPr>
      <w:tblGrid>
        <w:gridCol w:w="1890"/>
        <w:gridCol w:w="6570"/>
      </w:tblGrid>
      <w:tr w:rsidTr="002F10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9.3)</w:t>
            </w:r>
          </w:p>
        </w:tc>
      </w:tr>
      <w:tr w:rsidTr="002F10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This unit should be assessed as it relates to normal work practice using procedures, information and resources typical of a workplace. This should include:</w:t>
            </w:r>
          </w:p>
          <w:p w:rsidR="00000000" w:rsidRPr="008D54DF" w:rsidP="008D54DF">
            <w:pPr>
              <w:pStyle w:val="ListBullet"/>
            </w:pPr>
            <w:r w:rsidRPr="008D54DF">
              <w:t>OHS policy and work procedures and instructions.</w:t>
            </w:r>
          </w:p>
          <w:p w:rsidR="00000000" w:rsidRPr="008D54DF" w:rsidP="008D54DF">
            <w:pPr>
              <w:pStyle w:val="ListBullet"/>
            </w:pPr>
            <w:r w:rsidRPr="008D54DF">
              <w:t>Suitable work environment, facilities, equipment a</w:t>
            </w:r>
            <w:r w:rsidRPr="008D54DF">
              <w:t>nd materials to undertake actual preparation and appraisal of financial impact statements</w:t>
            </w:r>
          </w:p>
          <w:p w:rsidR="00000000" w:rsidRPr="008D54DF" w:rsidP="008D54DF">
            <w:pPr>
              <w:pStyle w:val="BodyText"/>
            </w:pPr>
            <w:r w:rsidRPr="008D54DF">
              <w:t>In addition to the resources listed above, in Context of and specific resources for assessment, evidence should show demonstrated competency working realistic environ</w:t>
            </w:r>
            <w:r w:rsidRPr="008D54DF">
              <w:t xml:space="preserve">ment and a variety of conditions. </w:t>
            </w:r>
          </w:p>
        </w:tc>
      </w:tr>
    </w:tbl>
    <w:p w:rsidR="00000000" w:rsidRPr="008D54DF" w:rsidP="008D54DF">
      <w:pPr>
        <w:pStyle w:val="BodyText"/>
      </w:pPr>
    </w:p>
    <w:tbl>
      <w:tblPr>
        <w:tblW w:w="0" w:type="auto"/>
        <w:tblLayout w:type="fixed"/>
        <w:tblCellMar>
          <w:left w:w="62" w:type="dxa"/>
          <w:right w:w="62" w:type="dxa"/>
        </w:tblCellMar>
        <w:tblLook w:val="0000"/>
      </w:tblPr>
      <w:tblGrid>
        <w:gridCol w:w="1890"/>
        <w:gridCol w:w="6570"/>
      </w:tblGrid>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9.4)</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This Competency Standard Unit shall be assessed by methods given in Volume 1, Part 3 “Assessment Guidelines”.</w:t>
            </w:r>
          </w:p>
          <w:p w:rsidR="00000000" w:rsidRPr="008D54DF" w:rsidP="008D54DF">
            <w:pPr>
              <w:pStyle w:val="BodyText"/>
            </w:pPr>
            <w:r w:rsidRPr="008D54DF">
              <w:t>Note:</w:t>
            </w:r>
          </w:p>
          <w:p w:rsidR="00000000" w:rsidRPr="008D54DF" w:rsidP="008D54DF">
            <w:pPr>
              <w:pStyle w:val="BodyText"/>
            </w:pPr>
            <w:r w:rsidRPr="008D54DF">
              <w:t>Competent performance with inherent safe working practices is expected in the Industry to which this Competency Standard Unit applies. This requires that the specified essential knowledge and associated skills are assessed in a structured environment which</w:t>
            </w:r>
            <w:r w:rsidRPr="008D54DF">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8D54DF" w:rsidP="008D54DF">
      <w:pPr>
        <w:pStyle w:val="BodyText"/>
      </w:pPr>
    </w:p>
    <w:tbl>
      <w:tblPr>
        <w:tblW w:w="0" w:type="auto"/>
        <w:tblLayout w:type="fixed"/>
        <w:tblCellMar>
          <w:left w:w="62" w:type="dxa"/>
          <w:right w:w="62" w:type="dxa"/>
        </w:tblCellMar>
        <w:tblLook w:val="0000"/>
      </w:tblPr>
      <w:tblGrid>
        <w:gridCol w:w="1890"/>
        <w:gridCol w:w="6570"/>
      </w:tblGrid>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Concurrent assessment and relationship wi</w:t>
            </w:r>
            <w:r w:rsidRPr="008D54DF">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9.5)</w:t>
            </w:r>
          </w:p>
        </w:tc>
      </w:tr>
      <w:tr w:rsidTr="002F10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There are no recommended concurrencies for this unit.</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11" w:name="O_463452"/>
      <w:bookmarkEnd w:id="11"/>
      <w:r w:rsidRPr="008D54DF">
        <w:t>Range Statement</w:t>
      </w:r>
    </w:p>
    <w:tbl>
      <w:tblPr>
        <w:tblW w:w="0" w:type="auto"/>
        <w:tblLayout w:type="fixed"/>
        <w:tblCellMar>
          <w:left w:w="62" w:type="dxa"/>
          <w:right w:w="62" w:type="dxa"/>
        </w:tblCellMar>
        <w:tblLook w:val="0000"/>
      </w:tblPr>
      <w:tblGrid>
        <w:gridCol w:w="8460"/>
      </w:tblGrid>
      <w:tr w:rsidTr="002F10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RANGE STATEMENT</w:t>
            </w:r>
          </w:p>
        </w:tc>
      </w:tr>
      <w:tr w:rsidTr="002F10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10)</w:t>
            </w:r>
            <w:r w:rsidRPr="008D54DF">
              <w:t xml:space="preserve"> This relates to the unit of competency as a whole providing the range of contexts and conditions </w:t>
            </w:r>
            <w:r w:rsidRPr="008D54DF">
              <w:t>to which the Performance Criteria apply. It allows for different work environments and situations that will affect performance.</w:t>
            </w:r>
          </w:p>
          <w:p w:rsidR="00000000" w:rsidRPr="008D54DF" w:rsidP="008D54DF">
            <w:pPr>
              <w:pStyle w:val="BodyText"/>
            </w:pPr>
            <w:r w:rsidRPr="008D54DF">
              <w:t xml:space="preserve">This Competency Standard Unit shall be demonstrated in relation to the preparation and appraisal of financial impact statements </w:t>
            </w:r>
            <w:r w:rsidRPr="008D54DF">
              <w:t xml:space="preserve">and may include the following equipment: </w:t>
            </w:r>
          </w:p>
          <w:p w:rsidR="00000000" w:rsidRPr="008D54DF" w:rsidP="008D54DF">
            <w:pPr>
              <w:pStyle w:val="BodyText"/>
            </w:pPr>
            <w:r w:rsidRPr="008D54DF">
              <w:t>Financial software, Computer hardware, Design sketches.</w:t>
            </w:r>
          </w:p>
          <w:p w:rsidR="00000000" w:rsidRPr="008D54DF" w:rsidP="008D54DF">
            <w:pPr>
              <w:pStyle w:val="BodyText"/>
            </w:pPr>
            <w:r w:rsidRPr="008D54DF">
              <w:t>The following constants and variables included in the element/Performance Criteria in this unit are fully described in the Definitions Section 1 of this volum</w:t>
            </w:r>
            <w:r w:rsidRPr="008D54DF">
              <w:t>e and form an integral part of the Range Statement of this unit:</w:t>
            </w:r>
          </w:p>
          <w:p w:rsidR="00000000" w:rsidRPr="008D54DF" w:rsidP="008D54DF">
            <w:pPr>
              <w:pStyle w:val="ListBullet3"/>
            </w:pPr>
            <w:r w:rsidRPr="008D54DF">
              <w:t>Appropriate and relevant persons (see Personnel)</w:t>
            </w:r>
          </w:p>
          <w:p w:rsidR="00000000" w:rsidRPr="008D54DF" w:rsidP="008D54DF">
            <w:pPr>
              <w:pStyle w:val="ListBullet3"/>
            </w:pPr>
            <w:r w:rsidRPr="008D54DF">
              <w:t>Appropriate authorities</w:t>
            </w:r>
          </w:p>
          <w:p w:rsidR="00000000" w:rsidRPr="008D54DF" w:rsidP="008D54DF">
            <w:pPr>
              <w:pStyle w:val="ListBullet3"/>
            </w:pPr>
            <w:r w:rsidRPr="008D54DF">
              <w:t>Appropriate work platform</w:t>
            </w:r>
          </w:p>
          <w:p w:rsidR="00000000" w:rsidRPr="008D54DF" w:rsidP="008D54DF">
            <w:pPr>
              <w:pStyle w:val="ListBullet3"/>
            </w:pPr>
            <w:r w:rsidRPr="008D54DF">
              <w:t>Assessing risk</w:t>
            </w:r>
          </w:p>
          <w:p w:rsidR="00000000" w:rsidRPr="008D54DF" w:rsidP="008D54DF">
            <w:pPr>
              <w:pStyle w:val="ListBullet3"/>
            </w:pPr>
            <w:r w:rsidRPr="008D54DF">
              <w:t>Assessment</w:t>
            </w:r>
          </w:p>
          <w:p w:rsidR="00000000" w:rsidRPr="008D54DF" w:rsidP="008D54DF">
            <w:pPr>
              <w:pStyle w:val="ListBullet3"/>
            </w:pPr>
            <w:r w:rsidRPr="008D54DF">
              <w:t>Authorisation</w:t>
            </w:r>
          </w:p>
          <w:p w:rsidR="00000000" w:rsidRPr="008D54DF" w:rsidP="008D54DF">
            <w:pPr>
              <w:pStyle w:val="ListBullet3"/>
            </w:pPr>
            <w:r w:rsidRPr="008D54DF">
              <w:t>Confined space</w:t>
            </w:r>
          </w:p>
          <w:p w:rsidR="00000000" w:rsidRPr="008D54DF" w:rsidP="008D54DF">
            <w:pPr>
              <w:pStyle w:val="ListBullet3"/>
            </w:pPr>
            <w:r w:rsidRPr="008D54DF">
              <w:t>Diagnostic, testing and restoration</w:t>
            </w:r>
          </w:p>
          <w:p w:rsidR="00000000" w:rsidRPr="008D54DF" w:rsidP="008D54DF">
            <w:pPr>
              <w:pStyle w:val="ListBullet3"/>
            </w:pPr>
            <w:r w:rsidRPr="008D54DF">
              <w:t>Documenting detail work events, record keeping and or storage of information</w:t>
            </w:r>
          </w:p>
          <w:p w:rsidR="00000000" w:rsidRPr="008D54DF" w:rsidP="008D54DF">
            <w:pPr>
              <w:pStyle w:val="ListBullet3"/>
            </w:pPr>
            <w:r w:rsidRPr="008D54DF">
              <w:t>Drawings and specifications</w:t>
            </w:r>
          </w:p>
          <w:p w:rsidR="00000000" w:rsidRPr="008D54DF" w:rsidP="008D54DF">
            <w:pPr>
              <w:pStyle w:val="ListBullet3"/>
            </w:pPr>
            <w:r w:rsidRPr="008D54DF">
              <w:t>Emergency</w:t>
            </w:r>
          </w:p>
          <w:p w:rsidR="00000000" w:rsidRPr="008D54DF" w:rsidP="008D54DF">
            <w:pPr>
              <w:pStyle w:val="ListBullet3"/>
            </w:pPr>
            <w:r w:rsidRPr="008D54DF">
              <w:t>Environmental and sustainable energy procedures</w:t>
            </w:r>
          </w:p>
          <w:p w:rsidR="00000000" w:rsidRPr="008D54DF" w:rsidP="008D54DF">
            <w:pPr>
              <w:pStyle w:val="ListBullet3"/>
            </w:pPr>
            <w:r w:rsidRPr="008D54DF">
              <w:t>Environmental legislation</w:t>
            </w:r>
          </w:p>
          <w:p w:rsidR="00000000" w:rsidRPr="008D54DF" w:rsidP="008D54DF">
            <w:pPr>
              <w:pStyle w:val="ListBullet3"/>
            </w:pPr>
            <w:r w:rsidRPr="008D54DF">
              <w:t>Environmental management documentation</w:t>
            </w:r>
          </w:p>
          <w:p w:rsidR="00000000" w:rsidRPr="008D54DF" w:rsidP="008D54DF">
            <w:pPr>
              <w:pStyle w:val="ListBullet3"/>
            </w:pPr>
            <w:r w:rsidRPr="008D54DF">
              <w:t>Established procedures</w:t>
            </w:r>
          </w:p>
          <w:p w:rsidR="00000000" w:rsidRPr="008D54DF" w:rsidP="008D54DF">
            <w:pPr>
              <w:pStyle w:val="ListBullet3"/>
            </w:pPr>
            <w:r w:rsidRPr="008D54DF">
              <w:t>Fall prevention</w:t>
            </w:r>
          </w:p>
          <w:p w:rsidR="00000000" w:rsidRPr="008D54DF" w:rsidP="008D54DF">
            <w:pPr>
              <w:pStyle w:val="ListBullet3"/>
            </w:pPr>
            <w:r w:rsidRPr="008D54DF">
              <w:t>Hazards</w:t>
            </w:r>
          </w:p>
          <w:p w:rsidR="00000000" w:rsidRPr="008D54DF" w:rsidP="008D54DF">
            <w:pPr>
              <w:pStyle w:val="ListBullet3"/>
            </w:pPr>
            <w:r w:rsidRPr="008D54DF">
              <w:t>Identifying hazards</w:t>
            </w:r>
          </w:p>
          <w:p w:rsidR="00000000" w:rsidRPr="008D54DF" w:rsidP="008D54DF">
            <w:pPr>
              <w:pStyle w:val="ListBullet3"/>
            </w:pPr>
            <w:r w:rsidRPr="008D54DF">
              <w:t>Inspect</w:t>
            </w:r>
          </w:p>
          <w:p w:rsidR="00000000" w:rsidRPr="008D54DF" w:rsidP="008D54DF">
            <w:pPr>
              <w:pStyle w:val="ListBullet3"/>
            </w:pPr>
            <w:r w:rsidRPr="008D54DF">
              <w:t>Legislation</w:t>
            </w:r>
          </w:p>
          <w:p w:rsidR="00000000" w:rsidRPr="008D54DF" w:rsidP="008D54DF">
            <w:pPr>
              <w:pStyle w:val="ListBullet3"/>
            </w:pPr>
            <w:r w:rsidRPr="008D54DF">
              <w:t>MSDS</w:t>
            </w:r>
          </w:p>
          <w:p w:rsidR="00000000" w:rsidRPr="008D54DF" w:rsidP="008D54DF">
            <w:pPr>
              <w:pStyle w:val="ListBullet3"/>
            </w:pPr>
            <w:r w:rsidRPr="008D54DF">
              <w:t>Notification</w:t>
            </w:r>
          </w:p>
          <w:p w:rsidR="00000000" w:rsidRPr="008D54DF" w:rsidP="008D54DF">
            <w:pPr>
              <w:pStyle w:val="ListBullet3"/>
            </w:pPr>
            <w:r w:rsidRPr="008D54DF">
              <w:t>OHS practices</w:t>
            </w:r>
          </w:p>
          <w:p w:rsidR="00000000" w:rsidRPr="008D54DF" w:rsidP="008D54DF">
            <w:pPr>
              <w:pStyle w:val="ListBullet3"/>
            </w:pPr>
            <w:r w:rsidRPr="008D54DF">
              <w:t>OHS issues</w:t>
            </w:r>
          </w:p>
          <w:p w:rsidR="00000000" w:rsidRPr="008D54DF" w:rsidP="008D54DF">
            <w:pPr>
              <w:pStyle w:val="ListBullet3"/>
            </w:pPr>
            <w:r w:rsidRPr="008D54DF">
              <w:t>Permits and/or permits to work</w:t>
            </w:r>
          </w:p>
          <w:p w:rsidR="00000000" w:rsidRPr="008D54DF" w:rsidP="008D54DF">
            <w:pPr>
              <w:pStyle w:val="ListBullet3"/>
            </w:pPr>
            <w:r w:rsidRPr="008D54DF">
              <w:t>Personnel</w:t>
            </w:r>
          </w:p>
          <w:p w:rsidR="00000000" w:rsidRPr="008D54DF" w:rsidP="008D54DF">
            <w:pPr>
              <w:pStyle w:val="ListBullet3"/>
            </w:pPr>
            <w:r w:rsidRPr="008D54DF">
              <w:t>Quality assurance systems</w:t>
            </w:r>
          </w:p>
          <w:p w:rsidR="00000000" w:rsidRPr="008D54DF" w:rsidP="008D54DF">
            <w:pPr>
              <w:pStyle w:val="ListBullet3"/>
            </w:pPr>
            <w:r w:rsidRPr="008D54DF">
              <w:t>Requirements</w:t>
            </w:r>
          </w:p>
          <w:p w:rsidR="00000000" w:rsidRPr="008D54DF" w:rsidP="008D54DF">
            <w:pPr>
              <w:pStyle w:val="ListBullet3"/>
            </w:pPr>
            <w:r w:rsidRPr="008D54DF">
              <w:t>Safe design principles</w:t>
            </w:r>
          </w:p>
          <w:p w:rsidR="00000000" w:rsidRPr="008D54DF" w:rsidP="008D54DF">
            <w:pPr>
              <w:pStyle w:val="ListBullet3"/>
            </w:pPr>
            <w:r w:rsidRPr="008D54DF">
              <w:t>Testing procedures</w:t>
            </w:r>
          </w:p>
          <w:p w:rsidR="00000000" w:rsidRPr="008D54DF" w:rsidP="008D54DF">
            <w:pPr>
              <w:pStyle w:val="ListBullet3"/>
            </w:pPr>
            <w:r w:rsidRPr="008D54DF">
              <w:t>Work clearance systems</w:t>
            </w:r>
          </w:p>
        </w:tc>
      </w:tr>
    </w:tbl>
    <w:p w:rsidR="00000000" w:rsidRPr="008D54DF" w:rsidP="008D54DF">
      <w:pPr>
        <w:pStyle w:val="BodyText"/>
      </w:pPr>
    </w:p>
    <w:p w:rsidR="00000000" w:rsidRPr="008D54DF" w:rsidP="008D54DF">
      <w:pPr>
        <w:pStyle w:val="AllowPageBreak"/>
      </w:pPr>
    </w:p>
    <w:p w:rsidR="00000000" w:rsidRPr="008D54DF" w:rsidP="008D54DF">
      <w:pPr>
        <w:pStyle w:val="Heading1"/>
      </w:pPr>
      <w:bookmarkStart w:id="12" w:name="O_463455"/>
      <w:bookmarkEnd w:id="12"/>
      <w:r w:rsidRPr="008D54DF">
        <w:t>Unit Sector(s)</w:t>
      </w:r>
    </w:p>
    <w:p w:rsidR="00000000" w:rsidRPr="008D54DF" w:rsidP="008D54DF">
      <w:pPr>
        <w:pStyle w:val="BodyText"/>
      </w:pPr>
      <w:r w:rsidRPr="008D54DF">
        <w:t>Not applicable.</w:t>
      </w:r>
    </w:p>
    <w:p w:rsidR="00000000" w:rsidRPr="008D54DF" w:rsidP="008D54DF">
      <w:pPr>
        <w:pStyle w:val="AllowPageBreak"/>
      </w:pPr>
    </w:p>
    <w:p w:rsidR="00000000" w:rsidRPr="008D54DF" w:rsidP="008D54DF">
      <w:pPr>
        <w:pStyle w:val="Heading1"/>
      </w:pPr>
      <w:bookmarkStart w:id="13" w:name="O_463444"/>
      <w:bookmarkEnd w:id="13"/>
      <w:r w:rsidRPr="008D54DF">
        <w:t>Competency Field</w:t>
      </w:r>
    </w:p>
    <w:tbl>
      <w:tblPr>
        <w:tblW w:w="0" w:type="auto"/>
        <w:tblLayout w:type="fixed"/>
        <w:tblCellMar>
          <w:left w:w="62" w:type="dxa"/>
          <w:right w:w="62" w:type="dxa"/>
        </w:tblCellMar>
        <w:tblLook w:val="0000"/>
      </w:tblPr>
      <w:tblGrid>
        <w:gridCol w:w="2700"/>
        <w:gridCol w:w="5760"/>
      </w:tblGrid>
      <w:tr w:rsidTr="002F10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54DF">
            <w:pPr>
              <w:pStyle w:val="BodyText"/>
              <w:rPr>
                <w:lang w:val="en-NZ"/>
              </w:rPr>
            </w:pPr>
            <w:r w:rsidRPr="008D54DF">
              <w:rPr>
                <w:rStyle w:val="SpecialBold"/>
              </w:rPr>
              <w:t xml:space="preserve">11) </w:t>
            </w:r>
          </w:p>
        </w:tc>
      </w:tr>
      <w:tr w:rsidTr="002F10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54DF" w:rsidP="008D54DF">
            <w:pPr>
              <w:pStyle w:val="BodyText"/>
            </w:pPr>
            <w:r w:rsidRPr="008D54DF">
              <w:t>Design.</w:t>
            </w:r>
          </w:p>
        </w:tc>
      </w:tr>
    </w:tbl>
    <w:p w:rsidR="00000000" w:rsidRPr="008D54DF" w:rsidP="008D54DF">
      <w:pPr>
        <w:pStyle w:val="BodyText"/>
      </w:pPr>
    </w:p>
    <w:p w:rsidR="00000000" w:rsidRPr="008D54DF" w:rsidP="008D54DF"/>
    <w:sectPr w:rsidSect="008D54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057" w:rsidP="002F1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057" w:rsidP="008D5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F1057" w:rsidP="008D54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1057" w:rsidP="008D54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057" w:rsidP="002F10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057" w:rsidP="008D54DF">
    <w:pPr>
      <w:pStyle w:val="Header"/>
      <w:framePr w:wrap="around"/>
    </w:pPr>
    <w:r>
      <w:fldChar w:fldCharType="begin"/>
    </w:r>
    <w:r>
      <w:instrText xml:space="preserve"> TITLE   \* MERGEFORMAT </w:instrText>
    </w:r>
    <w:r>
      <w:fldChar w:fldCharType="separate"/>
    </w:r>
    <w:r>
      <w:t>UETTDRDS40A Prepare and appraise power systems financial impact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1057" w:rsidP="008D54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78F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EB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A9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54DF"/>
    <w:pPr>
      <w:spacing w:before="360" w:after="60"/>
      <w:outlineLvl w:val="0"/>
    </w:pPr>
    <w:rPr>
      <w:sz w:val="32"/>
    </w:rPr>
  </w:style>
  <w:style w:type="paragraph" w:styleId="Heading2">
    <w:name w:val="heading 2"/>
    <w:basedOn w:val="HeadingBase"/>
    <w:next w:val="BodyText"/>
    <w:link w:val="Heading2Char"/>
    <w:qFormat/>
    <w:rsid w:val="008D54DF"/>
    <w:pPr>
      <w:keepLines/>
      <w:spacing w:before="240" w:after="120"/>
      <w:outlineLvl w:val="1"/>
    </w:pPr>
    <w:rPr>
      <w:sz w:val="28"/>
      <w:szCs w:val="40"/>
    </w:rPr>
  </w:style>
  <w:style w:type="paragraph" w:styleId="Heading3">
    <w:name w:val="heading 3"/>
    <w:basedOn w:val="HeadingBase"/>
    <w:next w:val="BodyText"/>
    <w:link w:val="Heading3Char"/>
    <w:qFormat/>
    <w:rsid w:val="008D54DF"/>
    <w:pPr>
      <w:spacing w:before="180" w:after="120"/>
      <w:outlineLvl w:val="2"/>
    </w:pPr>
    <w:rPr>
      <w:spacing w:val="-10"/>
      <w:kern w:val="32"/>
    </w:rPr>
  </w:style>
  <w:style w:type="paragraph" w:styleId="Heading4">
    <w:name w:val="heading 4"/>
    <w:basedOn w:val="HeadingBase"/>
    <w:next w:val="BodyText"/>
    <w:link w:val="Heading4Char"/>
    <w:qFormat/>
    <w:rsid w:val="008D54DF"/>
    <w:pPr>
      <w:spacing w:before="160" w:after="120"/>
      <w:outlineLvl w:val="3"/>
    </w:pPr>
    <w:rPr>
      <w:sz w:val="22"/>
    </w:rPr>
  </w:style>
  <w:style w:type="paragraph" w:styleId="Heading5">
    <w:name w:val="heading 5"/>
    <w:basedOn w:val="HeadingBase"/>
    <w:next w:val="Normal"/>
    <w:link w:val="Heading5Char"/>
    <w:qFormat/>
    <w:rsid w:val="008D54DF"/>
    <w:pPr>
      <w:spacing w:before="80"/>
      <w:outlineLvl w:val="4"/>
    </w:pPr>
    <w:rPr>
      <w:color w:val="918585"/>
      <w:sz w:val="20"/>
    </w:rPr>
  </w:style>
  <w:style w:type="paragraph" w:styleId="Heading6">
    <w:name w:val="heading 6"/>
    <w:basedOn w:val="HeadingBase"/>
    <w:next w:val="Normal"/>
    <w:link w:val="Heading6Char"/>
    <w:qFormat/>
    <w:rsid w:val="008D54DF"/>
    <w:pPr>
      <w:spacing w:before="60"/>
      <w:outlineLvl w:val="5"/>
    </w:pPr>
    <w:rPr>
      <w:color w:val="918585"/>
      <w:sz w:val="20"/>
    </w:rPr>
  </w:style>
  <w:style w:type="paragraph" w:styleId="Heading7">
    <w:name w:val="heading 7"/>
    <w:basedOn w:val="Normal"/>
    <w:next w:val="Normal"/>
    <w:link w:val="Heading7Char"/>
    <w:qFormat/>
    <w:rsid w:val="008D54DF"/>
    <w:pPr>
      <w:ind w:left="720"/>
      <w:outlineLvl w:val="6"/>
    </w:pPr>
    <w:rPr>
      <w:i/>
    </w:rPr>
  </w:style>
  <w:style w:type="paragraph" w:styleId="Heading8">
    <w:name w:val="heading 8"/>
    <w:basedOn w:val="Normal"/>
    <w:next w:val="Normal"/>
    <w:link w:val="Heading8Char"/>
    <w:qFormat/>
    <w:rsid w:val="008D54DF"/>
    <w:pPr>
      <w:ind w:left="720"/>
      <w:outlineLvl w:val="7"/>
    </w:pPr>
    <w:rPr>
      <w:i/>
    </w:rPr>
  </w:style>
  <w:style w:type="paragraph" w:styleId="Heading9">
    <w:name w:val="heading 9"/>
    <w:basedOn w:val="Normal"/>
    <w:next w:val="Normal"/>
    <w:link w:val="Heading9Char"/>
    <w:qFormat/>
    <w:rsid w:val="008D54DF"/>
    <w:pPr>
      <w:ind w:left="720"/>
      <w:outlineLvl w:val="8"/>
    </w:pPr>
    <w:rPr>
      <w:i/>
    </w:rPr>
  </w:style>
  <w:style w:type="character" w:default="1" w:styleId="DefaultParagraphFont">
    <w:name w:val="Default Paragraph Font"/>
    <w:uiPriority w:val="1"/>
    <w:unhideWhenUsed/>
    <w:rsid w:val="008D5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4DF"/>
  </w:style>
  <w:style w:type="character" w:customStyle="1" w:styleId="Heading1Char">
    <w:name w:val="Heading 1 Char"/>
    <w:basedOn w:val="DefaultParagraphFont"/>
    <w:link w:val="Heading1"/>
    <w:rsid w:val="008D54DF"/>
    <w:rPr>
      <w:rFonts w:ascii="Times New Roman" w:eastAsia="Times New Roman" w:hAnsi="Times New Roman" w:cs="Times New Roman"/>
      <w:b/>
      <w:sz w:val="32"/>
      <w:szCs w:val="20"/>
      <w:lang w:eastAsia="en-US"/>
    </w:rPr>
  </w:style>
  <w:style w:type="paragraph" w:styleId="BodyText">
    <w:name w:val="Body Text"/>
    <w:basedOn w:val="Normal"/>
    <w:link w:val="BodyTextChar"/>
    <w:rsid w:val="008D54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4DF"/>
    <w:rPr>
      <w:rFonts w:ascii="Times New Roman" w:eastAsia="Times New Roman" w:hAnsi="Times New Roman" w:cs="Times New Roman"/>
      <w:sz w:val="24"/>
      <w:lang w:val="en-US" w:eastAsia="en-US"/>
    </w:rPr>
  </w:style>
  <w:style w:type="paragraph" w:styleId="Footer">
    <w:name w:val="footer"/>
    <w:basedOn w:val="Normal"/>
    <w:link w:val="FooterChar"/>
    <w:rsid w:val="008D5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4DF"/>
    <w:rPr>
      <w:rFonts w:ascii="Times New Roman" w:eastAsia="Times New Roman" w:hAnsi="Times New Roman" w:cs="Times New Roman"/>
      <w:sz w:val="16"/>
      <w:lang w:val="en-US" w:eastAsia="en-US"/>
    </w:rPr>
  </w:style>
  <w:style w:type="paragraph" w:styleId="ListBullet">
    <w:name w:val="List Bullet"/>
    <w:basedOn w:val="List"/>
    <w:rsid w:val="008D54DF"/>
    <w:pPr>
      <w:numPr>
        <w:numId w:val="14"/>
      </w:numPr>
      <w:tabs>
        <w:tab w:val="clear" w:pos="340"/>
      </w:tabs>
      <w:spacing w:before="40" w:after="40"/>
    </w:pPr>
  </w:style>
  <w:style w:type="character" w:customStyle="1" w:styleId="SpecialBold">
    <w:name w:val="Special Bold"/>
    <w:basedOn w:val="DefaultParagraphFont"/>
    <w:rsid w:val="008D54DF"/>
    <w:rPr>
      <w:b/>
      <w:spacing w:val="0"/>
    </w:rPr>
  </w:style>
  <w:style w:type="paragraph" w:styleId="ListBullet2">
    <w:name w:val="List Bullet 2"/>
    <w:basedOn w:val="List2"/>
    <w:rsid w:val="008D54DF"/>
    <w:pPr>
      <w:numPr>
        <w:numId w:val="15"/>
      </w:numPr>
      <w:tabs>
        <w:tab w:val="clear" w:pos="680"/>
      </w:tabs>
    </w:pPr>
  </w:style>
  <w:style w:type="paragraph" w:styleId="Header">
    <w:name w:val="header"/>
    <w:basedOn w:val="Normal"/>
    <w:link w:val="HeaderChar"/>
    <w:rsid w:val="008D5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4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54DF"/>
    <w:pPr>
      <w:spacing w:before="240" w:after="120"/>
      <w:outlineLvl w:val="0"/>
    </w:pPr>
    <w:rPr>
      <w:rFonts w:ascii="Times New Roman" w:hAnsi="Times New Roman"/>
      <w:b/>
      <w:sz w:val="28"/>
    </w:rPr>
  </w:style>
  <w:style w:type="paragraph" w:customStyle="1" w:styleId="AllowPageBreak">
    <w:name w:val="AllowPageBreak"/>
    <w:rsid w:val="008D54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54DF"/>
    <w:pPr>
      <w:numPr>
        <w:numId w:val="3"/>
      </w:numPr>
      <w:tabs>
        <w:tab w:val="clear" w:pos="1021"/>
      </w:tabs>
      <w:ind w:left="1037" w:hanging="357"/>
    </w:pPr>
  </w:style>
  <w:style w:type="character" w:customStyle="1" w:styleId="Heading2Char">
    <w:name w:val="Heading 2 Char"/>
    <w:basedOn w:val="DefaultParagraphFont"/>
    <w:link w:val="Heading2"/>
    <w:rsid w:val="008D5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4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54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54DF"/>
    <w:rPr>
      <w:rFonts w:ascii="Courier New" w:eastAsia="Times New Roman" w:hAnsi="Courier New" w:cs="Times New Roman"/>
      <w:i/>
      <w:szCs w:val="20"/>
      <w:lang w:val="en-US" w:eastAsia="en-US"/>
    </w:rPr>
  </w:style>
  <w:style w:type="paragraph" w:customStyle="1" w:styleId="HeadingBase">
    <w:name w:val="Heading Base"/>
    <w:rsid w:val="008D5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4DF"/>
    <w:pPr>
      <w:tabs>
        <w:tab w:val="right" w:leader="dot" w:pos="9072"/>
      </w:tabs>
      <w:ind w:left="567"/>
    </w:pPr>
    <w:rPr>
      <w:szCs w:val="22"/>
    </w:rPr>
  </w:style>
  <w:style w:type="paragraph" w:customStyle="1" w:styleId="TOCBase">
    <w:name w:val="TOC Base"/>
    <w:rsid w:val="008D5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4DF"/>
    <w:pPr>
      <w:tabs>
        <w:tab w:val="right" w:leader="dot" w:pos="9072"/>
      </w:tabs>
      <w:spacing w:before="40" w:after="40"/>
      <w:ind w:left="284"/>
    </w:pPr>
    <w:rPr>
      <w:rFonts w:ascii="Times New Roman" w:hAnsi="Times New Roman"/>
    </w:rPr>
  </w:style>
  <w:style w:type="paragraph" w:styleId="TOC1">
    <w:name w:val="toc 1"/>
    <w:basedOn w:val="TOCBase"/>
    <w:next w:val="Normal"/>
    <w:rsid w:val="008D54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4DF"/>
    <w:pPr>
      <w:spacing w:before="5040"/>
      <w:jc w:val="center"/>
    </w:pPr>
    <w:rPr>
      <w:sz w:val="48"/>
      <w:szCs w:val="72"/>
      <w:lang w:val="en-US"/>
    </w:rPr>
  </w:style>
  <w:style w:type="character" w:customStyle="1" w:styleId="TitleChar">
    <w:name w:val="Title Char"/>
    <w:basedOn w:val="DefaultParagraphFont"/>
    <w:link w:val="Title"/>
    <w:rsid w:val="008D5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4DF"/>
    <w:pPr>
      <w:tabs>
        <w:tab w:val="left" w:pos="3600"/>
        <w:tab w:val="left" w:pos="3958"/>
      </w:tabs>
    </w:pPr>
  </w:style>
  <w:style w:type="paragraph" w:styleId="List">
    <w:name w:val="List"/>
    <w:basedOn w:val="BodyText"/>
    <w:next w:val="BodyText"/>
    <w:rsid w:val="008D54DF"/>
    <w:pPr>
      <w:tabs>
        <w:tab w:val="left" w:pos="340"/>
      </w:tabs>
      <w:spacing w:before="60" w:after="60"/>
      <w:ind w:left="340" w:hanging="340"/>
    </w:pPr>
  </w:style>
  <w:style w:type="paragraph" w:customStyle="1" w:styleId="Note">
    <w:name w:val="Note"/>
    <w:basedOn w:val="BodyText"/>
    <w:rsid w:val="008D54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4DF"/>
    <w:pPr>
      <w:framePr w:wrap="auto" w:hAnchor="text" w:y="6049"/>
    </w:pPr>
    <w:rPr>
      <w:color w:val="000000"/>
      <w:sz w:val="40"/>
    </w:rPr>
  </w:style>
  <w:style w:type="paragraph" w:customStyle="1" w:styleId="TOCTitle">
    <w:name w:val="TOCTitle"/>
    <w:basedOn w:val="Heading1"/>
    <w:rsid w:val="008D54DF"/>
    <w:pPr>
      <w:spacing w:after="240"/>
      <w:jc w:val="center"/>
      <w:outlineLvl w:val="9"/>
    </w:pPr>
    <w:rPr>
      <w:caps/>
    </w:rPr>
  </w:style>
  <w:style w:type="paragraph" w:customStyle="1" w:styleId="Version">
    <w:name w:val="Version"/>
    <w:rsid w:val="008D5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4DF"/>
    <w:pPr>
      <w:keepNext w:val="0"/>
      <w:tabs>
        <w:tab w:val="right" w:pos="4176"/>
      </w:tabs>
      <w:ind w:left="198" w:hanging="198"/>
    </w:pPr>
    <w:rPr>
      <w:rFonts w:ascii="Garamond" w:hAnsi="Garamond"/>
    </w:rPr>
  </w:style>
  <w:style w:type="paragraph" w:styleId="IndexHeading">
    <w:name w:val="index heading"/>
    <w:basedOn w:val="Normal"/>
    <w:next w:val="Index1"/>
    <w:semiHidden/>
    <w:rsid w:val="008D54DF"/>
    <w:pPr>
      <w:spacing w:before="120" w:after="120"/>
    </w:pPr>
    <w:rPr>
      <w:rFonts w:ascii="Arial" w:hAnsi="Arial"/>
      <w:b/>
      <w:color w:val="918585"/>
      <w:sz w:val="24"/>
    </w:rPr>
  </w:style>
  <w:style w:type="paragraph" w:customStyle="1" w:styleId="Chapter">
    <w:name w:val="Chapter"/>
    <w:basedOn w:val="Normal"/>
    <w:rsid w:val="008D54DF"/>
    <w:pPr>
      <w:spacing w:before="240"/>
    </w:pPr>
    <w:rPr>
      <w:rFonts w:ascii="Times New Roman" w:hAnsi="Times New Roman"/>
      <w:smallCaps/>
      <w:spacing w:val="80"/>
      <w:sz w:val="28"/>
    </w:rPr>
  </w:style>
  <w:style w:type="paragraph" w:customStyle="1" w:styleId="InChapter">
    <w:name w:val="InChapter"/>
    <w:basedOn w:val="Heading3"/>
    <w:rsid w:val="008D54DF"/>
    <w:pPr>
      <w:spacing w:after="240"/>
      <w:outlineLvl w:val="9"/>
    </w:pPr>
    <w:rPr>
      <w:noProof/>
    </w:rPr>
  </w:style>
  <w:style w:type="paragraph" w:styleId="Index2">
    <w:name w:val="index 2"/>
    <w:basedOn w:val="Normal"/>
    <w:next w:val="Normal"/>
    <w:semiHidden/>
    <w:rsid w:val="008D54DF"/>
    <w:pPr>
      <w:tabs>
        <w:tab w:val="right" w:pos="4176"/>
      </w:tabs>
      <w:ind w:left="568" w:hanging="284"/>
    </w:pPr>
    <w:rPr>
      <w:rFonts w:ascii="Garamond" w:hAnsi="Garamond"/>
    </w:rPr>
  </w:style>
  <w:style w:type="paragraph" w:customStyle="1" w:styleId="Byline">
    <w:name w:val="Byline"/>
    <w:rsid w:val="008D5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4DF"/>
    <w:pPr>
      <w:tabs>
        <w:tab w:val="clear" w:pos="3600"/>
        <w:tab w:val="clear" w:pos="3958"/>
      </w:tabs>
      <w:jc w:val="right"/>
    </w:pPr>
  </w:style>
  <w:style w:type="character" w:styleId="Emphasis">
    <w:name w:val="Emphasis"/>
    <w:basedOn w:val="DefaultParagraphFont"/>
    <w:qFormat/>
    <w:rsid w:val="008D54DF"/>
    <w:rPr>
      <w:i/>
    </w:rPr>
  </w:style>
  <w:style w:type="paragraph" w:styleId="Caption">
    <w:name w:val="caption"/>
    <w:basedOn w:val="BodyText"/>
    <w:next w:val="Normal"/>
    <w:qFormat/>
    <w:rsid w:val="008D54DF"/>
    <w:pPr>
      <w:framePr w:w="2268" w:hSpace="181" w:vSpace="181" w:wrap="around" w:vAnchor="text" w:hAnchor="page" w:x="1135" w:y="285" w:anchorLock="1"/>
    </w:pPr>
    <w:rPr>
      <w:i/>
    </w:rPr>
  </w:style>
  <w:style w:type="paragraph" w:customStyle="1" w:styleId="MiniTOCTitle">
    <w:name w:val="MiniTOCTitle"/>
    <w:basedOn w:val="Heading4"/>
    <w:rsid w:val="008D54DF"/>
    <w:pPr>
      <w:spacing w:before="240"/>
      <w:outlineLvl w:val="9"/>
    </w:pPr>
    <w:rPr>
      <w:noProof/>
      <w:sz w:val="24"/>
    </w:rPr>
  </w:style>
  <w:style w:type="paragraph" w:customStyle="1" w:styleId="MiniTOCItem">
    <w:name w:val="MiniTOCItem"/>
    <w:basedOn w:val="ListBullet"/>
    <w:rsid w:val="008D54DF"/>
    <w:pPr>
      <w:numPr>
        <w:numId w:val="0"/>
      </w:numPr>
      <w:tabs>
        <w:tab w:val="right" w:leader="dot" w:pos="6521"/>
      </w:tabs>
      <w:spacing w:before="0" w:after="0"/>
    </w:pPr>
  </w:style>
  <w:style w:type="paragraph" w:customStyle="1" w:styleId="TOFTitle">
    <w:name w:val="TOFTitle"/>
    <w:basedOn w:val="TOCTitle"/>
    <w:rsid w:val="008D54DF"/>
  </w:style>
  <w:style w:type="paragraph" w:styleId="TableofFigures">
    <w:name w:val="table of figures"/>
    <w:basedOn w:val="Normal"/>
    <w:next w:val="Normal"/>
    <w:semiHidden/>
    <w:rsid w:val="008D54DF"/>
    <w:pPr>
      <w:tabs>
        <w:tab w:val="right" w:leader="dot" w:pos="9072"/>
      </w:tabs>
      <w:ind w:left="970" w:hanging="403"/>
    </w:pPr>
    <w:rPr>
      <w:rFonts w:ascii="Times New Roman" w:hAnsi="Times New Roman"/>
      <w:b/>
    </w:rPr>
  </w:style>
  <w:style w:type="paragraph" w:styleId="ListNumber">
    <w:name w:val="List Number"/>
    <w:basedOn w:val="List"/>
    <w:rsid w:val="008D54DF"/>
    <w:pPr>
      <w:numPr>
        <w:numId w:val="12"/>
      </w:numPr>
    </w:pPr>
  </w:style>
  <w:style w:type="character" w:customStyle="1" w:styleId="WingdingSymbols">
    <w:name w:val="Wingding Symbols"/>
    <w:rsid w:val="008D54DF"/>
    <w:rPr>
      <w:rFonts w:ascii="Wingdings" w:hAnsi="Wingdings"/>
    </w:rPr>
  </w:style>
  <w:style w:type="paragraph" w:customStyle="1" w:styleId="TableHeading">
    <w:name w:val="Table Heading"/>
    <w:basedOn w:val="HeadingBase"/>
    <w:rsid w:val="008D54DF"/>
    <w:pPr>
      <w:keepLines/>
      <w:pBdr>
        <w:bottom w:val="single" w:sz="6" w:space="1" w:color="918585"/>
      </w:pBdr>
      <w:spacing w:before="240"/>
    </w:pPr>
  </w:style>
  <w:style w:type="character" w:customStyle="1" w:styleId="HotSpot">
    <w:name w:val="HotSpot"/>
    <w:rsid w:val="008D54DF"/>
    <w:rPr>
      <w:color w:val="0033CC"/>
      <w:u w:val="none"/>
    </w:rPr>
  </w:style>
  <w:style w:type="paragraph" w:customStyle="1" w:styleId="BodyTextRight">
    <w:name w:val="Body Text Right"/>
    <w:basedOn w:val="BodyText"/>
    <w:rsid w:val="008D54DF"/>
    <w:pPr>
      <w:spacing w:before="0" w:after="0"/>
      <w:jc w:val="right"/>
    </w:pPr>
  </w:style>
  <w:style w:type="paragraph" w:styleId="Index3">
    <w:name w:val="index 3"/>
    <w:basedOn w:val="ListNumber2"/>
    <w:next w:val="Normal"/>
    <w:semiHidden/>
    <w:rsid w:val="008D54DF"/>
    <w:pPr>
      <w:numPr>
        <w:numId w:val="0"/>
      </w:numPr>
      <w:tabs>
        <w:tab w:val="right" w:leader="dot" w:pos="4176"/>
      </w:tabs>
    </w:pPr>
  </w:style>
  <w:style w:type="paragraph" w:styleId="ListNumber2">
    <w:name w:val="List Number 2"/>
    <w:basedOn w:val="List2"/>
    <w:rsid w:val="008D54DF"/>
    <w:pPr>
      <w:numPr>
        <w:numId w:val="11"/>
      </w:numPr>
      <w:tabs>
        <w:tab w:val="clear" w:pos="1060"/>
      </w:tabs>
    </w:pPr>
  </w:style>
  <w:style w:type="paragraph" w:customStyle="1" w:styleId="MarginNote">
    <w:name w:val="Margin Note"/>
    <w:basedOn w:val="BodyText"/>
    <w:rsid w:val="008D5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4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54DF"/>
    <w:rPr>
      <w:sz w:val="32"/>
    </w:rPr>
  </w:style>
  <w:style w:type="paragraph" w:customStyle="1" w:styleId="HeadingProcedure">
    <w:name w:val="Heading Procedure"/>
    <w:basedOn w:val="HeadingBase"/>
    <w:next w:val="Normal"/>
    <w:rsid w:val="008D54DF"/>
    <w:pPr>
      <w:tabs>
        <w:tab w:val="left" w:pos="0"/>
      </w:tabs>
      <w:spacing w:before="120" w:after="60"/>
    </w:pPr>
    <w:rPr>
      <w:i/>
      <w:color w:val="918585"/>
      <w:sz w:val="22"/>
    </w:rPr>
  </w:style>
  <w:style w:type="paragraph" w:customStyle="1" w:styleId="TableBodyText">
    <w:name w:val="Table Body Text"/>
    <w:basedOn w:val="BodyText"/>
    <w:rsid w:val="008D54DF"/>
    <w:pPr>
      <w:spacing w:before="60" w:after="60"/>
    </w:pPr>
  </w:style>
  <w:style w:type="paragraph" w:styleId="ListContinue">
    <w:name w:val="List Continue"/>
    <w:basedOn w:val="List"/>
    <w:rsid w:val="008D54DF"/>
    <w:pPr>
      <w:ind w:firstLine="0"/>
    </w:pPr>
  </w:style>
  <w:style w:type="paragraph" w:customStyle="1" w:styleId="ListNote">
    <w:name w:val="List Note"/>
    <w:basedOn w:val="List"/>
    <w:rsid w:val="008D54DF"/>
    <w:pPr>
      <w:pBdr>
        <w:top w:val="single" w:sz="6" w:space="2" w:color="918585"/>
        <w:bottom w:val="single" w:sz="6" w:space="2" w:color="918585"/>
      </w:pBdr>
      <w:tabs>
        <w:tab w:val="left" w:pos="1021"/>
      </w:tabs>
      <w:ind w:firstLine="0"/>
    </w:pPr>
  </w:style>
  <w:style w:type="paragraph" w:customStyle="1" w:styleId="Warning">
    <w:name w:val="Warning"/>
    <w:basedOn w:val="BodyText"/>
    <w:rsid w:val="008D54DF"/>
    <w:pPr>
      <w:shd w:val="clear" w:color="auto" w:fill="D9D9D9"/>
      <w:tabs>
        <w:tab w:val="left" w:pos="992"/>
      </w:tabs>
      <w:ind w:left="119" w:right="119"/>
    </w:pPr>
    <w:rPr>
      <w:sz w:val="20"/>
    </w:rPr>
  </w:style>
  <w:style w:type="paragraph" w:customStyle="1" w:styleId="MarginIcons">
    <w:name w:val="Margin Icons"/>
    <w:basedOn w:val="BodyText"/>
    <w:rsid w:val="008D5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4DF"/>
    <w:rPr>
      <w:rFonts w:ascii="Courier New" w:hAnsi="Courier New"/>
    </w:rPr>
  </w:style>
  <w:style w:type="paragraph" w:customStyle="1" w:styleId="NoteBullet">
    <w:name w:val="Note Bullet"/>
    <w:basedOn w:val="Note"/>
    <w:rsid w:val="008D54DF"/>
    <w:pPr>
      <w:tabs>
        <w:tab w:val="clear" w:pos="680"/>
      </w:tabs>
      <w:spacing w:before="60" w:after="60"/>
    </w:pPr>
  </w:style>
  <w:style w:type="paragraph" w:customStyle="1" w:styleId="SubHeading2">
    <w:name w:val="SubHeading2"/>
    <w:basedOn w:val="HeadingBase"/>
    <w:rsid w:val="008D54DF"/>
    <w:pPr>
      <w:spacing w:before="240" w:after="60"/>
    </w:pPr>
    <w:rPr>
      <w:sz w:val="20"/>
    </w:rPr>
  </w:style>
  <w:style w:type="paragraph" w:customStyle="1" w:styleId="SubHeading1">
    <w:name w:val="SubHeading1"/>
    <w:basedOn w:val="HeadingBase"/>
    <w:rsid w:val="008D54DF"/>
    <w:pPr>
      <w:spacing w:before="240" w:after="60"/>
    </w:pPr>
    <w:rPr>
      <w:color w:val="918585"/>
      <w:sz w:val="22"/>
    </w:rPr>
  </w:style>
  <w:style w:type="paragraph" w:customStyle="1" w:styleId="SideHeading">
    <w:name w:val="Side Heading"/>
    <w:basedOn w:val="HeadingBase"/>
    <w:rsid w:val="008D5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4DF"/>
    <w:pPr>
      <w:numPr>
        <w:numId w:val="13"/>
      </w:numPr>
    </w:pPr>
  </w:style>
  <w:style w:type="paragraph" w:styleId="PlainText">
    <w:name w:val="Plain Text"/>
    <w:basedOn w:val="Normal"/>
    <w:link w:val="PlainTextChar"/>
    <w:rsid w:val="008D54DF"/>
    <w:rPr>
      <w:sz w:val="20"/>
    </w:rPr>
  </w:style>
  <w:style w:type="character" w:customStyle="1" w:styleId="PlainTextChar">
    <w:name w:val="Plain Text Char"/>
    <w:basedOn w:val="DefaultParagraphFont"/>
    <w:link w:val="PlainText"/>
    <w:rsid w:val="008D54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54DF"/>
    <w:rPr>
      <w:b/>
      <w:smallCaps/>
    </w:rPr>
  </w:style>
  <w:style w:type="paragraph" w:customStyle="1" w:styleId="TableListNumber">
    <w:name w:val="Table List Number"/>
    <w:basedOn w:val="ListNumber"/>
    <w:rsid w:val="008D54DF"/>
    <w:pPr>
      <w:numPr>
        <w:numId w:val="0"/>
      </w:numPr>
    </w:pPr>
  </w:style>
  <w:style w:type="paragraph" w:styleId="TOC4">
    <w:name w:val="toc 4"/>
    <w:basedOn w:val="TOCBase"/>
    <w:next w:val="Normal"/>
    <w:semiHidden/>
    <w:rsid w:val="008D54DF"/>
    <w:pPr>
      <w:tabs>
        <w:tab w:val="right" w:leader="dot" w:pos="9071"/>
      </w:tabs>
      <w:ind w:left="1701"/>
    </w:pPr>
  </w:style>
  <w:style w:type="paragraph" w:customStyle="1" w:styleId="ListAlpha">
    <w:name w:val="List Alpha"/>
    <w:basedOn w:val="List"/>
    <w:rsid w:val="008D54DF"/>
    <w:pPr>
      <w:numPr>
        <w:numId w:val="10"/>
      </w:numPr>
    </w:pPr>
  </w:style>
  <w:style w:type="paragraph" w:customStyle="1" w:styleId="ListAlpha2">
    <w:name w:val="List Alpha 2"/>
    <w:basedOn w:val="List2"/>
    <w:rsid w:val="008D54DF"/>
    <w:pPr>
      <w:numPr>
        <w:numId w:val="9"/>
      </w:numPr>
    </w:pPr>
  </w:style>
  <w:style w:type="paragraph" w:styleId="List2">
    <w:name w:val="List 2"/>
    <w:basedOn w:val="BodyText"/>
    <w:rsid w:val="008D54DF"/>
    <w:pPr>
      <w:tabs>
        <w:tab w:val="left" w:pos="680"/>
      </w:tabs>
      <w:spacing w:before="60" w:after="60"/>
      <w:ind w:left="680" w:hanging="340"/>
    </w:pPr>
  </w:style>
  <w:style w:type="paragraph" w:styleId="List3">
    <w:name w:val="List 3"/>
    <w:basedOn w:val="BodyText"/>
    <w:rsid w:val="008D54DF"/>
    <w:pPr>
      <w:tabs>
        <w:tab w:val="left" w:pos="1021"/>
      </w:tabs>
      <w:spacing w:before="60" w:after="60"/>
      <w:ind w:left="1020" w:hanging="340"/>
    </w:pPr>
  </w:style>
  <w:style w:type="paragraph" w:styleId="List4">
    <w:name w:val="List 4"/>
    <w:basedOn w:val="BodyText"/>
    <w:rsid w:val="008D54DF"/>
    <w:pPr>
      <w:tabs>
        <w:tab w:val="left" w:pos="1361"/>
      </w:tabs>
      <w:spacing w:before="60" w:after="60"/>
      <w:ind w:left="1361" w:hanging="340"/>
    </w:pPr>
  </w:style>
  <w:style w:type="paragraph" w:styleId="List5">
    <w:name w:val="List 5"/>
    <w:basedOn w:val="BodyText"/>
    <w:rsid w:val="008D54DF"/>
    <w:pPr>
      <w:tabs>
        <w:tab w:val="left" w:pos="1701"/>
      </w:tabs>
      <w:spacing w:before="60" w:after="60"/>
      <w:ind w:left="1701" w:hanging="340"/>
    </w:pPr>
  </w:style>
  <w:style w:type="paragraph" w:styleId="ListBullet4">
    <w:name w:val="List Bullet 4"/>
    <w:basedOn w:val="List4"/>
    <w:rsid w:val="008D54DF"/>
    <w:pPr>
      <w:numPr>
        <w:numId w:val="4"/>
      </w:numPr>
    </w:pPr>
  </w:style>
  <w:style w:type="paragraph" w:styleId="ListBullet5">
    <w:name w:val="List Bullet 5"/>
    <w:basedOn w:val="List5"/>
    <w:rsid w:val="008D54DF"/>
    <w:pPr>
      <w:numPr>
        <w:numId w:val="5"/>
      </w:numPr>
    </w:pPr>
  </w:style>
  <w:style w:type="paragraph" w:styleId="ListContinue2">
    <w:name w:val="List Continue 2"/>
    <w:basedOn w:val="List2"/>
    <w:rsid w:val="008D54DF"/>
    <w:pPr>
      <w:ind w:firstLine="0"/>
    </w:pPr>
  </w:style>
  <w:style w:type="paragraph" w:styleId="ListContinue3">
    <w:name w:val="List Continue 3"/>
    <w:basedOn w:val="List3"/>
    <w:rsid w:val="008D54DF"/>
    <w:pPr>
      <w:ind w:left="1021" w:firstLine="0"/>
    </w:pPr>
  </w:style>
  <w:style w:type="paragraph" w:styleId="ListContinue4">
    <w:name w:val="List Continue 4"/>
    <w:basedOn w:val="List4"/>
    <w:rsid w:val="008D54DF"/>
    <w:pPr>
      <w:ind w:firstLine="0"/>
    </w:pPr>
  </w:style>
  <w:style w:type="paragraph" w:styleId="ListContinue5">
    <w:name w:val="List Continue 5"/>
    <w:basedOn w:val="List5"/>
    <w:rsid w:val="008D54DF"/>
    <w:pPr>
      <w:ind w:firstLine="0"/>
    </w:pPr>
  </w:style>
  <w:style w:type="paragraph" w:styleId="ListNumber3">
    <w:name w:val="List Number 3"/>
    <w:basedOn w:val="List3"/>
    <w:rsid w:val="008D54DF"/>
    <w:pPr>
      <w:numPr>
        <w:numId w:val="6"/>
      </w:numPr>
    </w:pPr>
  </w:style>
  <w:style w:type="paragraph" w:styleId="ListNumber4">
    <w:name w:val="List Number 4"/>
    <w:basedOn w:val="List4"/>
    <w:rsid w:val="008D54DF"/>
    <w:pPr>
      <w:numPr>
        <w:numId w:val="7"/>
      </w:numPr>
    </w:pPr>
  </w:style>
  <w:style w:type="paragraph" w:styleId="ListNumber5">
    <w:name w:val="List Number 5"/>
    <w:basedOn w:val="List5"/>
    <w:rsid w:val="008D54DF"/>
    <w:pPr>
      <w:numPr>
        <w:numId w:val="8"/>
      </w:numPr>
    </w:pPr>
  </w:style>
  <w:style w:type="paragraph" w:styleId="BlockText">
    <w:name w:val="Block Text"/>
    <w:basedOn w:val="Normal"/>
    <w:rsid w:val="008D54DF"/>
    <w:pPr>
      <w:spacing w:after="120"/>
      <w:ind w:left="1440" w:right="1440"/>
    </w:pPr>
  </w:style>
  <w:style w:type="character" w:customStyle="1" w:styleId="Subscript">
    <w:name w:val="Subscript"/>
    <w:basedOn w:val="DefaultParagraphFont"/>
    <w:rsid w:val="008D54DF"/>
    <w:rPr>
      <w:sz w:val="16"/>
      <w:vertAlign w:val="subscript"/>
    </w:rPr>
  </w:style>
  <w:style w:type="character" w:customStyle="1" w:styleId="Superscript">
    <w:name w:val="Superscript"/>
    <w:basedOn w:val="DefaultParagraphFont"/>
    <w:rsid w:val="008D54DF"/>
    <w:rPr>
      <w:sz w:val="16"/>
      <w:vertAlign w:val="superscript"/>
    </w:rPr>
  </w:style>
  <w:style w:type="character" w:customStyle="1" w:styleId="Symbols">
    <w:name w:val="Symbols"/>
    <w:basedOn w:val="DefaultParagraphFont"/>
    <w:rsid w:val="008D54DF"/>
    <w:rPr>
      <w:rFonts w:ascii="Symbol" w:hAnsi="Symbol"/>
    </w:rPr>
  </w:style>
  <w:style w:type="character" w:customStyle="1" w:styleId="MenuOptions">
    <w:name w:val="Menu Options"/>
    <w:basedOn w:val="DefaultParagraphFont"/>
    <w:rsid w:val="008D54DF"/>
    <w:rPr>
      <w:rFonts w:ascii="Arial Narrow" w:hAnsi="Arial Narrow"/>
      <w:smallCaps/>
    </w:rPr>
  </w:style>
  <w:style w:type="character" w:customStyle="1" w:styleId="Buttons">
    <w:name w:val="Buttons"/>
    <w:basedOn w:val="DefaultParagraphFont"/>
    <w:rsid w:val="008D54DF"/>
    <w:rPr>
      <w:b/>
    </w:rPr>
  </w:style>
  <w:style w:type="character" w:customStyle="1" w:styleId="Underlined">
    <w:name w:val="Underlined"/>
    <w:basedOn w:val="DefaultParagraphFont"/>
    <w:rsid w:val="008D54DF"/>
    <w:rPr>
      <w:u w:val="single"/>
    </w:rPr>
  </w:style>
  <w:style w:type="paragraph" w:customStyle="1" w:styleId="TableBodyTextRight">
    <w:name w:val="Table Body Text Right"/>
    <w:basedOn w:val="TableBodyText"/>
    <w:rsid w:val="008D54DF"/>
    <w:pPr>
      <w:widowControl w:val="0"/>
      <w:autoSpaceDE w:val="0"/>
      <w:autoSpaceDN w:val="0"/>
      <w:adjustRightInd w:val="0"/>
      <w:jc w:val="right"/>
    </w:pPr>
    <w:rPr>
      <w:rFonts w:cs="Arial"/>
      <w:szCs w:val="18"/>
    </w:rPr>
  </w:style>
  <w:style w:type="paragraph" w:customStyle="1" w:styleId="CopyrightText">
    <w:name w:val="Copyright Text"/>
    <w:basedOn w:val="BodyText"/>
    <w:rsid w:val="008D54DF"/>
    <w:rPr>
      <w:sz w:val="18"/>
    </w:rPr>
  </w:style>
  <w:style w:type="paragraph" w:customStyle="1" w:styleId="BodySmallRight">
    <w:name w:val="Body Small Right"/>
    <w:basedOn w:val="BodyTextRight"/>
    <w:rsid w:val="008D54DF"/>
    <w:rPr>
      <w:sz w:val="18"/>
      <w:szCs w:val="18"/>
    </w:rPr>
  </w:style>
  <w:style w:type="paragraph" w:customStyle="1" w:styleId="MarginEdition">
    <w:name w:val="Margin Edition"/>
    <w:basedOn w:val="MarginNote"/>
    <w:rsid w:val="008D54DF"/>
    <w:pPr>
      <w:spacing w:before="0" w:after="0"/>
    </w:pPr>
    <w:rPr>
      <w:rFonts w:ascii="Times New Roman" w:hAnsi="Times New Roman"/>
      <w:color w:val="999999"/>
    </w:rPr>
  </w:style>
  <w:style w:type="paragraph" w:customStyle="1" w:styleId="Spacer">
    <w:name w:val="Spacer"/>
    <w:basedOn w:val="Normal"/>
    <w:rsid w:val="008D54DF"/>
    <w:rPr>
      <w:sz w:val="2"/>
      <w:szCs w:val="2"/>
    </w:rPr>
  </w:style>
  <w:style w:type="character" w:customStyle="1" w:styleId="Small">
    <w:name w:val="Small"/>
    <w:basedOn w:val="DefaultParagraphFont"/>
    <w:rsid w:val="008D54DF"/>
    <w:rPr>
      <w:sz w:val="16"/>
    </w:rPr>
  </w:style>
  <w:style w:type="paragraph" w:customStyle="1" w:styleId="WideTable">
    <w:name w:val="Wide Table"/>
    <w:basedOn w:val="Normal"/>
    <w:rsid w:val="008D54DF"/>
    <w:pPr>
      <w:ind w:left="-1418"/>
    </w:pPr>
    <w:rPr>
      <w:sz w:val="2"/>
      <w:szCs w:val="2"/>
    </w:rPr>
  </w:style>
  <w:style w:type="character" w:styleId="PageNumber">
    <w:name w:val="page number"/>
    <w:basedOn w:val="DefaultParagraphFont"/>
    <w:rsid w:val="008D54DF"/>
  </w:style>
  <w:style w:type="paragraph" w:styleId="Quote">
    <w:name w:val="Quote"/>
    <w:basedOn w:val="Heading1"/>
    <w:link w:val="QuoteChar"/>
    <w:qFormat/>
    <w:rsid w:val="008D54DF"/>
    <w:rPr>
      <w:b w:val="0"/>
      <w:sz w:val="72"/>
      <w:szCs w:val="72"/>
      <w:lang w:val="en-NZ"/>
    </w:rPr>
  </w:style>
  <w:style w:type="character" w:customStyle="1" w:styleId="QuoteChar">
    <w:name w:val="Quote Char"/>
    <w:basedOn w:val="DefaultParagraphFont"/>
    <w:link w:val="Quote"/>
    <w:rsid w:val="008D5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4DF"/>
    <w:pPr>
      <w:pageBreakBefore/>
    </w:pPr>
  </w:style>
  <w:style w:type="paragraph" w:customStyle="1" w:styleId="Border">
    <w:name w:val="Border"/>
    <w:basedOn w:val="Normal"/>
    <w:qFormat/>
    <w:rsid w:val="008D5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4DF"/>
    <w:rPr>
      <w:b/>
      <w:bCs/>
      <w:i/>
      <w:iCs/>
      <w:color w:val="auto"/>
    </w:rPr>
  </w:style>
  <w:style w:type="paragraph" w:styleId="IntenseQuote">
    <w:name w:val="Intense Quote"/>
    <w:basedOn w:val="Normal"/>
    <w:next w:val="Normal"/>
    <w:link w:val="IntenseQuoteChar"/>
    <w:uiPriority w:val="30"/>
    <w:qFormat/>
    <w:rsid w:val="008D5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4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54DF"/>
    <w:rPr>
      <w:smallCaps/>
      <w:color w:val="auto"/>
      <w:u w:val="single"/>
    </w:rPr>
  </w:style>
  <w:style w:type="character" w:styleId="IntenseReference">
    <w:name w:val="Intense Reference"/>
    <w:basedOn w:val="DefaultParagraphFont"/>
    <w:uiPriority w:val="32"/>
    <w:qFormat/>
    <w:rsid w:val="008D54DF"/>
    <w:rPr>
      <w:b/>
      <w:bCs/>
      <w:smallCaps/>
      <w:color w:val="auto"/>
      <w:spacing w:val="5"/>
      <w:u w:val="single"/>
    </w:rPr>
  </w:style>
  <w:style w:type="paragraph" w:customStyle="1" w:styleId="2ColumnHeading">
    <w:name w:val="2Column Heading"/>
    <w:basedOn w:val="BodyText"/>
    <w:qFormat/>
    <w:rsid w:val="008D54DF"/>
    <w:pPr>
      <w:spacing w:after="60"/>
      <w:ind w:left="-2268"/>
    </w:pPr>
    <w:rPr>
      <w:b/>
    </w:rPr>
  </w:style>
  <w:style w:type="paragraph" w:customStyle="1" w:styleId="Heading1TOC">
    <w:name w:val="Heading1 TOC"/>
    <w:basedOn w:val="Normal"/>
    <w:qFormat/>
    <w:rsid w:val="008D54DF"/>
    <w:pPr>
      <w:spacing w:before="240" w:after="120"/>
    </w:pPr>
    <w:rPr>
      <w:rFonts w:ascii="Times New Roman" w:hAnsi="Times New Roman"/>
      <w:b/>
      <w:sz w:val="32"/>
    </w:rPr>
  </w:style>
  <w:style w:type="paragraph" w:customStyle="1" w:styleId="Heading2TOC">
    <w:name w:val="Heading2 TOC"/>
    <w:basedOn w:val="Normal"/>
    <w:qFormat/>
    <w:rsid w:val="008D54DF"/>
    <w:pPr>
      <w:spacing w:before="240" w:after="60"/>
    </w:pPr>
    <w:rPr>
      <w:rFonts w:ascii="Times New Roman" w:hAnsi="Times New Roman"/>
      <w:b/>
      <w:sz w:val="28"/>
    </w:rPr>
  </w:style>
  <w:style w:type="character" w:customStyle="1" w:styleId="Underline">
    <w:name w:val="Underline"/>
    <w:basedOn w:val="DefaultParagraphFont"/>
    <w:qFormat/>
    <w:rsid w:val="008D54DF"/>
    <w:rPr>
      <w:u w:val="single"/>
    </w:rPr>
  </w:style>
  <w:style w:type="character" w:customStyle="1" w:styleId="BoldandItalics">
    <w:name w:val="Bold and Italics"/>
    <w:qFormat/>
    <w:rsid w:val="008D54DF"/>
    <w:rPr>
      <w:b/>
      <w:i/>
      <w:u w:val="none"/>
    </w:rPr>
  </w:style>
  <w:style w:type="paragraph" w:styleId="BalloonText">
    <w:name w:val="Balloon Text"/>
    <w:basedOn w:val="Normal"/>
    <w:link w:val="BalloonTextChar"/>
    <w:rsid w:val="008D54DF"/>
    <w:rPr>
      <w:rFonts w:ascii="Tahoma" w:hAnsi="Tahoma" w:cs="Tahoma"/>
      <w:sz w:val="16"/>
      <w:szCs w:val="16"/>
    </w:rPr>
  </w:style>
  <w:style w:type="character" w:customStyle="1" w:styleId="BalloonTextChar">
    <w:name w:val="Balloon Text Char"/>
    <w:basedOn w:val="DefaultParagraphFont"/>
    <w:link w:val="BalloonText"/>
    <w:rsid w:val="008D54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54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4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2653</Words>
  <Characters>17249</Characters>
  <Application>Microsoft Office Word</Application>
  <DocSecurity>0</DocSecurity>
  <Lines>662</Lines>
  <Paragraphs>274</Paragraphs>
  <ScaleCrop>false</ScaleCrop>
  <Company>Author-it Software Corporation Ltd.</Company>
  <LinksUpToDate>false</LinksUpToDate>
  <CharactersWithSpaces>19717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UETTDRDS40A Prepare and appraise power systems financial impact statements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