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95F" w:rsidP="0038195F">
      <w:pPr>
        <w:pStyle w:val="Title"/>
      </w:pPr>
      <w:r>
        <w:fldChar w:fldCharType="begin"/>
      </w:r>
      <w:r>
        <w:instrText xml:space="preserve"> TITLE   \* MERGEFORMAT </w:instrText>
      </w:r>
      <w:r>
        <w:fldChar w:fldCharType="separate"/>
      </w:r>
      <w:r>
        <w:t>UETTDRDS38A Design power system public lighting systems</w:t>
      </w:r>
      <w:r>
        <w:fldChar w:fldCharType="end"/>
      </w:r>
    </w:p>
    <w:p w:rsidR="0038195F" w:rsidP="0038195F">
      <w:pPr>
        <w:pStyle w:val="Version"/>
        <w:sectPr w:rsidSect="00335B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B74" w:rsidP="00335B74">
      <w:pPr>
        <w:pStyle w:val="SuperHeading"/>
      </w:pPr>
      <w:r w:rsidRPr="00335B74">
        <w:t>UETTDRDS38A Design power system public lighting systems</w:t>
      </w:r>
    </w:p>
    <w:p w:rsidR="00000000" w:rsidRPr="00335B74" w:rsidP="00335B74">
      <w:pPr>
        <w:pStyle w:val="Heading1"/>
      </w:pPr>
      <w:bookmarkStart w:id="1" w:name="O_463425"/>
      <w:bookmarkEnd w:id="1"/>
      <w:r w:rsidRPr="00335B74">
        <w:t>Modification History</w:t>
      </w:r>
    </w:p>
    <w:p w:rsidR="00000000" w:rsidRPr="00335B74" w:rsidP="00335B74">
      <w:pPr>
        <w:pStyle w:val="BodyText"/>
      </w:pPr>
      <w:r w:rsidRPr="00335B74">
        <w:t>Not applicable.</w:t>
      </w:r>
    </w:p>
    <w:p w:rsidR="00000000" w:rsidRPr="00335B74" w:rsidP="00335B74">
      <w:pPr>
        <w:pStyle w:val="AllowPageBreak"/>
      </w:pPr>
    </w:p>
    <w:p w:rsidR="00000000" w:rsidRPr="00335B74" w:rsidP="00335B74">
      <w:pPr>
        <w:pStyle w:val="Heading1"/>
      </w:pPr>
      <w:bookmarkStart w:id="2" w:name="O_463423"/>
      <w:bookmarkEnd w:id="2"/>
      <w:r w:rsidRPr="00335B74">
        <w:t>Unit Descriptor</w:t>
      </w:r>
    </w:p>
    <w:tbl>
      <w:tblPr>
        <w:tblW w:w="0" w:type="auto"/>
        <w:tblLayout w:type="fixed"/>
        <w:tblCellMar>
          <w:left w:w="62" w:type="dxa"/>
          <w:right w:w="62" w:type="dxa"/>
        </w:tblCellMar>
        <w:tblLook w:val="0000"/>
      </w:tblPr>
      <w:tblGrid>
        <w:gridCol w:w="2700"/>
        <w:gridCol w:w="5760"/>
      </w:tblGrid>
      <w:tr w:rsidTr="00381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1)</w:t>
            </w:r>
            <w:r w:rsidRPr="00335B74">
              <w:t xml:space="preserve"> </w:t>
            </w:r>
            <w:r w:rsidRPr="00335B74">
              <w:rPr>
                <w:rStyle w:val="SpecialBold"/>
              </w:rPr>
              <w:t>Scope:</w:t>
            </w:r>
          </w:p>
        </w:tc>
      </w:tr>
      <w:tr w:rsidTr="0038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35B7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1.1) Descriptor</w:t>
            </w:r>
          </w:p>
        </w:tc>
      </w:tr>
      <w:tr w:rsidTr="0038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 xml:space="preserve">This Competency Standard Unit covers the technical design of public lighting systems. This includes pedestrian and traffic route lighting to relevant Australian standards utilising appropriate software to generate design conformance. </w:t>
            </w:r>
          </w:p>
        </w:tc>
      </w:tr>
    </w:tbl>
    <w:p w:rsidR="00000000" w:rsidRPr="00335B74" w:rsidP="00335B74">
      <w:pPr>
        <w:pStyle w:val="BodyText"/>
      </w:pPr>
    </w:p>
    <w:p w:rsidR="00000000" w:rsidRPr="00335B74" w:rsidP="00335B74">
      <w:pPr>
        <w:pStyle w:val="AllowPageBreak"/>
      </w:pPr>
    </w:p>
    <w:p w:rsidR="00000000" w:rsidRPr="00335B74" w:rsidP="00335B74">
      <w:pPr>
        <w:pStyle w:val="Heading1"/>
      </w:pPr>
      <w:bookmarkStart w:id="3" w:name="O_463412"/>
      <w:bookmarkEnd w:id="3"/>
      <w:r w:rsidRPr="00335B74">
        <w:t>Ap</w:t>
      </w:r>
      <w:r w:rsidRPr="00335B74">
        <w:t>plication of the Unit</w:t>
      </w:r>
    </w:p>
    <w:tbl>
      <w:tblPr>
        <w:tblW w:w="0" w:type="auto"/>
        <w:tblLayout w:type="fixed"/>
        <w:tblCellMar>
          <w:left w:w="62" w:type="dxa"/>
          <w:right w:w="62" w:type="dxa"/>
        </w:tblCellMar>
        <w:tblLook w:val="0000"/>
      </w:tblPr>
      <w:tblGrid>
        <w:gridCol w:w="2672"/>
        <w:gridCol w:w="5699"/>
      </w:tblGrid>
      <w:tr w:rsidTr="0038195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2)</w:t>
            </w:r>
          </w:p>
        </w:tc>
      </w:tr>
      <w:tr w:rsidTr="0038195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This Competency Standard Unit is intended to augment formally acquired competencies. It is suitable for employment-based programs under an approved contract of training.</w:t>
            </w:r>
          </w:p>
        </w:tc>
      </w:tr>
    </w:tbl>
    <w:p w:rsidR="00000000" w:rsidRPr="00335B74" w:rsidP="00335B74">
      <w:pPr>
        <w:pStyle w:val="BodyText"/>
      </w:pPr>
    </w:p>
    <w:p w:rsidR="00000000" w:rsidRPr="00335B74" w:rsidP="00335B74">
      <w:pPr>
        <w:pStyle w:val="AllowPageBreak"/>
      </w:pPr>
    </w:p>
    <w:p w:rsidR="00000000" w:rsidRPr="00335B74" w:rsidP="00335B74">
      <w:pPr>
        <w:pStyle w:val="Heading1"/>
      </w:pPr>
      <w:bookmarkStart w:id="4" w:name="O_463419"/>
      <w:bookmarkEnd w:id="4"/>
      <w:r w:rsidRPr="00335B74">
        <w:t>Licensing/Regulatory Information</w:t>
      </w:r>
    </w:p>
    <w:tbl>
      <w:tblPr>
        <w:tblW w:w="0" w:type="auto"/>
        <w:tblLayout w:type="fixed"/>
        <w:tblCellMar>
          <w:left w:w="62" w:type="dxa"/>
          <w:right w:w="62" w:type="dxa"/>
        </w:tblCellMar>
        <w:tblLook w:val="0000"/>
      </w:tblPr>
      <w:tblGrid>
        <w:gridCol w:w="2700"/>
        <w:gridCol w:w="5760"/>
      </w:tblGrid>
      <w:tr w:rsidTr="00381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 xml:space="preserve">3) </w:t>
            </w:r>
          </w:p>
        </w:tc>
      </w:tr>
      <w:tr w:rsidTr="0038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The skills and knowledge described in this unit may require a licence/registration to practice in the work place subject to regulations for undertaking of electrical work. Practice in workplace and</w:t>
            </w:r>
            <w:r w:rsidRPr="00335B74">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335B74">
              <w:t xml:space="preserve">ommonwealth, State/Territory or Local Government legislation and regulations may exist that limits the age of </w:t>
            </w:r>
            <w:r w:rsidRPr="00335B74">
              <w:t>operating certain equipment.</w:t>
            </w:r>
          </w:p>
        </w:tc>
      </w:tr>
    </w:tbl>
    <w:p w:rsidR="00000000" w:rsidRPr="00335B74" w:rsidP="00335B74">
      <w:pPr>
        <w:pStyle w:val="BodyText"/>
      </w:pPr>
    </w:p>
    <w:p w:rsidR="00000000" w:rsidRPr="00335B74" w:rsidP="00335B74">
      <w:pPr>
        <w:pStyle w:val="AllowPageBreak"/>
      </w:pPr>
    </w:p>
    <w:p w:rsidR="00000000" w:rsidRPr="00335B74" w:rsidP="00335B74">
      <w:pPr>
        <w:pStyle w:val="Heading1"/>
      </w:pPr>
      <w:bookmarkStart w:id="5" w:name="O_463420"/>
      <w:bookmarkEnd w:id="5"/>
      <w:r w:rsidRPr="00335B74">
        <w:t>Pre-Requisites</w:t>
      </w:r>
    </w:p>
    <w:tbl>
      <w:tblPr>
        <w:tblW w:w="0" w:type="auto"/>
        <w:tblLayout w:type="fixed"/>
        <w:tblCellMar>
          <w:left w:w="62" w:type="dxa"/>
          <w:right w:w="62" w:type="dxa"/>
        </w:tblCellMar>
        <w:tblLook w:val="0000"/>
      </w:tblPr>
      <w:tblGrid>
        <w:gridCol w:w="2681"/>
        <w:gridCol w:w="19"/>
        <w:gridCol w:w="1980"/>
        <w:gridCol w:w="3780"/>
      </w:tblGrid>
      <w:tr w:rsidTr="0038195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 xml:space="preserve">4) </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4.1)</w:t>
            </w:r>
          </w:p>
        </w:tc>
      </w:tr>
      <w:tr w:rsidTr="0038195F">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9" w:type="dxa"/>
            <w:gridSpan w:val="3"/>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Granting of competency in this unit shall be made only after competency in the following unit(s) has/have been confirmed.</w:t>
            </w:r>
          </w:p>
          <w:p w:rsidR="00000000" w:rsidRPr="00335B74" w:rsidP="00335B74">
            <w:pPr>
              <w:pStyle w:val="BodyText"/>
            </w:pPr>
            <w:r w:rsidRPr="00335B74">
              <w:t xml:space="preserve">Where pre-requisite pathways have been identified. All competencies in the Common Unit Group must be have been completed plus all the </w:t>
            </w:r>
            <w:r w:rsidRPr="00335B74">
              <w:t>competencies in one (1) of the identified Pathway Unit Group(s):</w:t>
            </w:r>
          </w:p>
          <w:p w:rsidR="00000000" w:rsidP="00335B74">
            <w:pPr>
              <w:pStyle w:val="BodyText"/>
              <w:rPr>
                <w:lang w:val="en-NZ"/>
              </w:rPr>
            </w:pPr>
            <w:r w:rsidRPr="00335B74">
              <w:t>Common Unit Group</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Unit Code</w:t>
            </w:r>
            <w:r w:rsidRPr="00335B74">
              <w:tab/>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Unit Title</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Apply Occupational Health and Safety regulations, codes and practices in the workplace</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Fabricate, assemble and dismantle utilities industry components</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Solve problems in d.c. Circuits</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Use drawings, diagrams, schedules, standards, codes and specifications</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Provide engineering solutions for problems in c</w:t>
            </w:r>
            <w:r w:rsidRPr="00335B74">
              <w:t>omplex multiple path circuits problems</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Provide solutions to basic engineering computational problems</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Solve problems in electromagnetic devices and related circuits</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Solve problems in electromagnetic devices and related circuits</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Provide engineering solutions to problems in complex polyphase power circuits</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Apply sustainable energy and environmental procedures</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Working safely near</w:t>
            </w:r>
            <w:r w:rsidRPr="00335B74">
              <w:t xml:space="preserve"> live electrical apparatus </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Implement and monitor the power system organisational OHS policies, procedures and programs</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Implement and monitor the power system environmental and sustainable energy management policies and procedures</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Pathway Unit Group 1</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UETTDRDS39A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Prepare and manage detailed construction plans for electrical power system infrastructure</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UETTDRDS45A</w:t>
            </w:r>
          </w:p>
        </w:tc>
        <w:tc>
          <w:tcPr>
            <w:tcW w:w="37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Organise and implement ESI line and easement surveys</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Pathway Unit Group 2</w:t>
            </w:r>
          </w:p>
        </w:tc>
      </w:tr>
      <w:tr w:rsidTr="0038195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5B74">
            <w:pPr>
              <w:pStyle w:val="BodyText"/>
              <w:rPr>
                <w:lang w:val="en-NZ"/>
              </w:rPr>
            </w:pPr>
            <w:r w:rsidRPr="00335B74">
              <w:t>UETTDRDS43A</w:t>
            </w:r>
          </w:p>
        </w:tc>
        <w:tc>
          <w:tcPr>
            <w:tcW w:w="3780" w:type="dxa"/>
            <w:tcBorders>
              <w:top w:val="nil"/>
              <w:left w:val="nil"/>
              <w:bottom w:val="nil"/>
              <w:right w:val="nil"/>
            </w:tcBorders>
            <w:tcMar>
              <w:top w:w="0" w:type="dxa"/>
              <w:left w:w="62" w:type="dxa"/>
              <w:bottom w:w="0" w:type="dxa"/>
              <w:right w:w="62" w:type="dxa"/>
            </w:tcMar>
            <w:vAlign w:val="center"/>
          </w:tcPr>
          <w:p w:rsidR="00000000" w:rsidRPr="00335B74" w:rsidP="00335B74">
            <w:pPr>
              <w:pStyle w:val="BodyText"/>
            </w:pPr>
            <w:r w:rsidRPr="00335B74">
              <w:t>Develop high voltage and low voltage distribution protection systems</w:t>
            </w:r>
          </w:p>
        </w:tc>
      </w:tr>
    </w:tbl>
    <w:p w:rsidR="00000000" w:rsidRPr="00335B74" w:rsidP="00335B7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8195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 xml:space="preserve">4.2) </w:t>
            </w:r>
          </w:p>
        </w:tc>
      </w:tr>
      <w:tr w:rsidTr="0038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Participants are best equipped to achieve this unit if they have reading, writing and numeracy skills indicated by the following scales. Description of each scale is given in Volume 2, Part 3 “Literacy and Numeracy”</w:t>
            </w:r>
          </w:p>
        </w:tc>
      </w:tr>
      <w:tr w:rsidTr="0038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Reading</w:t>
            </w:r>
          </w:p>
        </w:tc>
        <w:tc>
          <w:tcPr>
            <w:tcW w:w="81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5</w:t>
            </w:r>
          </w:p>
        </w:tc>
        <w:tc>
          <w:tcPr>
            <w:tcW w:w="99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Writing</w:t>
            </w:r>
          </w:p>
        </w:tc>
        <w:tc>
          <w:tcPr>
            <w:tcW w:w="90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5</w:t>
            </w:r>
          </w:p>
        </w:tc>
        <w:tc>
          <w:tcPr>
            <w:tcW w:w="126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Numeracy</w:t>
            </w:r>
          </w:p>
        </w:tc>
        <w:tc>
          <w:tcPr>
            <w:tcW w:w="72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5</w:t>
            </w:r>
          </w:p>
        </w:tc>
      </w:tr>
    </w:tbl>
    <w:p w:rsidR="00000000" w:rsidRPr="00335B74" w:rsidP="00335B74">
      <w:pPr>
        <w:pStyle w:val="BodyText"/>
      </w:pPr>
    </w:p>
    <w:p w:rsidR="00000000" w:rsidRPr="00335B74" w:rsidP="00335B74">
      <w:pPr>
        <w:pStyle w:val="AllowPageBreak"/>
      </w:pPr>
    </w:p>
    <w:p w:rsidR="00000000" w:rsidRPr="00335B74" w:rsidP="00335B74">
      <w:pPr>
        <w:pStyle w:val="Heading1"/>
      </w:pPr>
      <w:bookmarkStart w:id="6" w:name="O_463416"/>
      <w:bookmarkEnd w:id="6"/>
      <w:r w:rsidRPr="00335B74">
        <w:t>Employability Skills Information</w:t>
      </w:r>
    </w:p>
    <w:tbl>
      <w:tblPr>
        <w:tblW w:w="0" w:type="auto"/>
        <w:tblLayout w:type="fixed"/>
        <w:tblCellMar>
          <w:left w:w="62" w:type="dxa"/>
          <w:right w:w="62" w:type="dxa"/>
        </w:tblCellMar>
        <w:tblLook w:val="0000"/>
      </w:tblPr>
      <w:tblGrid>
        <w:gridCol w:w="2700"/>
        <w:gridCol w:w="5760"/>
      </w:tblGrid>
      <w:tr w:rsidTr="00381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 xml:space="preserve">5) </w:t>
            </w:r>
          </w:p>
        </w:tc>
      </w:tr>
      <w:tr w:rsidTr="0038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The required outcomes described in this unit of competency contain applicable facets of Employability Skills. The Employability Skills Summary of the qualification in which this u</w:t>
            </w:r>
            <w:r w:rsidRPr="00335B74">
              <w:t>nit of competency is packaged will assist in identifying Employability Skill requirements.</w:t>
            </w:r>
          </w:p>
        </w:tc>
      </w:tr>
    </w:tbl>
    <w:p w:rsidR="00000000" w:rsidRPr="00335B74" w:rsidP="00335B74">
      <w:pPr>
        <w:pStyle w:val="BodyText"/>
      </w:pPr>
    </w:p>
    <w:p w:rsidR="00000000" w:rsidRPr="00335B74" w:rsidP="00335B74">
      <w:pPr>
        <w:pStyle w:val="AllowPageBreak"/>
      </w:pPr>
    </w:p>
    <w:p w:rsidR="00000000" w:rsidRPr="00335B74" w:rsidP="00335B74">
      <w:pPr>
        <w:pStyle w:val="Heading1"/>
      </w:pPr>
      <w:bookmarkStart w:id="7" w:name="O_463415"/>
      <w:bookmarkEnd w:id="7"/>
      <w:r w:rsidRPr="00335B74">
        <w:t>Elements and Performance Criteria Pre-Content</w:t>
      </w:r>
    </w:p>
    <w:tbl>
      <w:tblPr>
        <w:tblW w:w="0" w:type="auto"/>
        <w:tblLayout w:type="fixed"/>
        <w:tblCellMar>
          <w:left w:w="62" w:type="dxa"/>
          <w:right w:w="62" w:type="dxa"/>
        </w:tblCellMar>
        <w:tblLook w:val="0000"/>
      </w:tblPr>
      <w:tblGrid>
        <w:gridCol w:w="2700"/>
        <w:gridCol w:w="5760"/>
      </w:tblGrid>
      <w:tr w:rsidTr="0038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6)</w:t>
            </w:r>
            <w:r w:rsidRPr="00335B7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Performance Criteria describe the required performance needed to demonstrate achievement of the element. Assessment of performance is to be consistent with the Evidence Guide.</w:t>
            </w:r>
          </w:p>
        </w:tc>
      </w:tr>
    </w:tbl>
    <w:p w:rsidR="00000000" w:rsidRPr="00335B74" w:rsidP="00335B74">
      <w:pPr>
        <w:pStyle w:val="BodyText"/>
      </w:pPr>
    </w:p>
    <w:p w:rsidR="00000000" w:rsidRPr="00335B74" w:rsidP="00335B74">
      <w:pPr>
        <w:pStyle w:val="AllowPageBreak"/>
      </w:pPr>
    </w:p>
    <w:p w:rsidR="00000000" w:rsidRPr="00335B74" w:rsidP="00335B74">
      <w:pPr>
        <w:pStyle w:val="Heading1"/>
      </w:pPr>
      <w:bookmarkStart w:id="8" w:name="O_463414"/>
      <w:bookmarkEnd w:id="8"/>
      <w:r w:rsidRPr="00335B74">
        <w:t>Elements and Performance Criteria</w:t>
      </w:r>
    </w:p>
    <w:tbl>
      <w:tblPr>
        <w:tblW w:w="0" w:type="auto"/>
        <w:tblLayout w:type="fixed"/>
        <w:tblCellMar>
          <w:left w:w="62" w:type="dxa"/>
          <w:right w:w="62" w:type="dxa"/>
        </w:tblCellMar>
        <w:tblLook w:val="0000"/>
      </w:tblPr>
      <w:tblGrid>
        <w:gridCol w:w="407"/>
        <w:gridCol w:w="2293"/>
        <w:gridCol w:w="844"/>
        <w:gridCol w:w="4916"/>
      </w:tblGrid>
      <w:tr w:rsidTr="0038195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PERFORMANCE CRITER</w:t>
            </w:r>
            <w:r w:rsidRPr="00335B74">
              <w:rPr>
                <w:rStyle w:val="SpecialBold"/>
              </w:rPr>
              <w:t>IA</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1</w:t>
            </w:r>
          </w:p>
        </w:tc>
        <w:tc>
          <w:tcPr>
            <w:tcW w:w="2293"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Plan for and coordinate the safe design of public lighting systems</w:t>
            </w: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1.1</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OHS practices/procedures and environmental and sustainable energy procedures which may influence the design of public lighting systems are reviewed and determined.</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1.2</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Purpose of the design is established and expected outcomes of the work are confirmed with the appropriate personnel.</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1.3</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Organisational established procedures on policies and specifications for the design are obtained or established with the appropriate</w:t>
            </w:r>
            <w:r w:rsidRPr="00335B74">
              <w:t xml:space="preserve"> personnel.</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1.4</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Equipment/tools and personal protective equipment are selected and coordinated based on specified requirements and established procedures.</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1.5</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Work is prioritised and sequenced for the most efficient and effective outcome following consultation with others for completion within acceptable timeframes, to a quality standard and in accordance with established procedures.</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1.6</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Risk control measures</w:t>
            </w:r>
            <w:r w:rsidRPr="00335B74">
              <w:t xml:space="preserve"> are identified, prioritised and evaluated against the work schedule.</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1.7</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Relevant work permits are secured to coordinate the performance of work according to requirements and/or established procedures.</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1.8</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Resources including personal, equipment, tools and personnel protective equipment required for the job are identified, scheduled and coordinated and confirmed in a safe and technical working order.</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1.9</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Liaison and communication issues with other/authori</w:t>
            </w:r>
            <w:r w:rsidRPr="00335B74">
              <w:t>sed personnel, authorities, clients and land owners are resolved and activities coordinated to carry out work.</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1.10</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Site is prepared according to the work schedule and to minimise risk and damage to property, commerce, and individuals in accordance with</w:t>
            </w:r>
            <w:r w:rsidRPr="00335B74">
              <w:t xml:space="preserve"> established procedures.</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1.11</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Personnel participating in the work, including plant operators and contractors, are fully briefed and respective responsibilities coordinated and authorised where applicable in accordance with established procedures.</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2</w:t>
            </w:r>
          </w:p>
        </w:tc>
        <w:tc>
          <w:tcPr>
            <w:tcW w:w="2293" w:type="dxa"/>
            <w:vMerge w:val="restart"/>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Car</w:t>
            </w:r>
            <w:r w:rsidRPr="00335B74">
              <w:t>ry out and coordinate the design of public lighting systems</w:t>
            </w: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2.1</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Circuit/systems modelling is used to evaluate alternative proposals as per established procedures.</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2.2</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OHS and sustainable energy principles, functionality and practices to reduce the incidence of accidents and minimise waste are incorporated into the project in accordance with requirements and/or established procedures.</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2.3</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System design decisions are m</w:t>
            </w:r>
            <w:r w:rsidRPr="00335B74">
              <w:t>ade on the basis of safety and effective outcomes according to requirements and/or established procedures.</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2.4</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Mathematical models of the distribution system are used to analyse the effectiveness of the finish project as per requirement</w:t>
            </w:r>
            <w:r w:rsidRPr="00335B74">
              <w:t>s and established procedures.</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2.5</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Technical advice is given to potential hazards, safety risks and control measures so that monitoring and preventative action can be undertaken and/or appropriate authorities consulted, where necessary, in accordance wit</w:t>
            </w:r>
            <w:r w:rsidRPr="00335B74">
              <w:t>h requirements and established procedures.</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2.6</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Essential knowledge and associated skills are applied to analyse specific data and compare it with compliance specifications to ensure completion of the project within an agreed timeframe according to requi</w:t>
            </w:r>
            <w:r w:rsidRPr="00335B74">
              <w:t>rements.</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2.7</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Solutions to non-routine problems are identified and actioned using acquired essential knowledge and associated skills according to requirements.</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2.8</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Quality of work is monitored against personal performance agreement and/or established organisational and professional standards.</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3</w:t>
            </w:r>
          </w:p>
        </w:tc>
        <w:tc>
          <w:tcPr>
            <w:tcW w:w="2293"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Complete and coordinate the design of public lighting systems</w:t>
            </w: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3.1</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 xml:space="preserve">Final inspections of the design are undertaken to ensure </w:t>
            </w:r>
            <w:r w:rsidRPr="00335B74">
              <w:t>they comply with all requirements and include all specifications and documentations needed to complete the design brief.</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3.2</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Appropriate personnel are notified of completion and reports and/or completion documents are finalised.</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3.3</w:t>
            </w:r>
          </w:p>
        </w:tc>
        <w:tc>
          <w:tcPr>
            <w:tcW w:w="4916"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Reports and/or co</w:t>
            </w:r>
            <w:r w:rsidRPr="00335B74">
              <w:t>mpletion documents are submitted to relevant personnel/organisations for approval and, where applicable, statutory or regulatory approval.</w:t>
            </w:r>
          </w:p>
        </w:tc>
      </w:tr>
      <w:tr w:rsidTr="0038195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t>3.4</w:t>
            </w:r>
          </w:p>
        </w:tc>
        <w:tc>
          <w:tcPr>
            <w:tcW w:w="4916"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Approved copies of design documents are issued and records are updated in accordance with established procedur</w:t>
            </w:r>
            <w:r w:rsidRPr="00335B74">
              <w:t>es.</w:t>
            </w:r>
          </w:p>
        </w:tc>
      </w:tr>
    </w:tbl>
    <w:p w:rsidR="00000000" w:rsidRPr="00335B74" w:rsidP="00335B74">
      <w:pPr>
        <w:pStyle w:val="BodyText"/>
      </w:pPr>
    </w:p>
    <w:p w:rsidR="00000000" w:rsidRPr="00335B74" w:rsidP="00335B74">
      <w:pPr>
        <w:pStyle w:val="AllowPageBreak"/>
      </w:pPr>
    </w:p>
    <w:p w:rsidR="00000000" w:rsidRPr="00335B74" w:rsidP="00335B74">
      <w:pPr>
        <w:pStyle w:val="Heading1"/>
      </w:pPr>
      <w:bookmarkStart w:id="9" w:name="O_463422"/>
      <w:bookmarkEnd w:id="9"/>
      <w:r w:rsidRPr="00335B74">
        <w:t>Required Skills and Knowledge</w:t>
      </w:r>
    </w:p>
    <w:tbl>
      <w:tblPr>
        <w:tblW w:w="0" w:type="auto"/>
        <w:tblLayout w:type="fixed"/>
        <w:tblCellMar>
          <w:left w:w="62" w:type="dxa"/>
          <w:right w:w="62" w:type="dxa"/>
        </w:tblCellMar>
        <w:tblLook w:val="0000"/>
      </w:tblPr>
      <w:tblGrid>
        <w:gridCol w:w="8460"/>
      </w:tblGrid>
      <w:tr w:rsidTr="003819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REQUIRED SKILLS AND KNOWLEDGE</w:t>
            </w:r>
          </w:p>
        </w:tc>
      </w:tr>
      <w:tr w:rsidTr="0038195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8)</w:t>
            </w:r>
            <w:r w:rsidRPr="00335B74">
              <w:t xml:space="preserve"> Essential Knowledge and Associated Skills (EKAS): This describes the essential skills and knowledge and their level, required for this unit.</w:t>
            </w:r>
          </w:p>
          <w:p w:rsidR="00000000" w:rsidRPr="00335B74" w:rsidP="00335B74">
            <w:pPr>
              <w:pStyle w:val="BodyText"/>
            </w:pPr>
            <w:r w:rsidRPr="00335B74">
              <w:t xml:space="preserve">Evidence shall show that knowledge has been acquired of designing public lighting systems. </w:t>
            </w:r>
          </w:p>
          <w:p w:rsidR="00000000" w:rsidRPr="00335B74" w:rsidP="00335B74">
            <w:pPr>
              <w:pStyle w:val="BodyText"/>
            </w:pPr>
            <w:r w:rsidRPr="00335B74">
              <w:t>All knowledge and skills detailed in this unit should be contextualised to current industry practices and technologies.</w:t>
            </w:r>
          </w:p>
          <w:p w:rsidR="00000000" w:rsidRPr="00335B74" w:rsidP="00335B74">
            <w:pPr>
              <w:pStyle w:val="BodyText"/>
            </w:pPr>
            <w:r w:rsidRPr="00335B74">
              <w:t xml:space="preserve">KS01-TDS38A </w:t>
            </w:r>
            <w:r w:rsidRPr="00335B74">
              <w:tab/>
              <w:t>Design power system public ligh</w:t>
            </w:r>
            <w:r w:rsidRPr="00335B74">
              <w:t xml:space="preserve">ting systems </w:t>
            </w:r>
          </w:p>
          <w:p w:rsidR="00000000" w:rsidRPr="00335B74" w:rsidP="00335B74">
            <w:pPr>
              <w:pStyle w:val="BodyText"/>
            </w:pPr>
            <w:r w:rsidRPr="00335B74">
              <w:t xml:space="preserve">Evidence shall show an understanding of the designing of power system public lighting systems to an extent indicated by the following aspects: </w:t>
            </w:r>
          </w:p>
          <w:p w:rsidR="00000000" w:rsidRPr="00335B74" w:rsidP="00335B74">
            <w:pPr>
              <w:pStyle w:val="BodyText"/>
            </w:pPr>
            <w:r w:rsidRPr="00335B74">
              <w:t>T1</w:t>
            </w:r>
            <w:r w:rsidRPr="00335B74">
              <w:tab/>
              <w:t xml:space="preserve">Mathematics techniques encompassing: </w:t>
            </w:r>
          </w:p>
          <w:p w:rsidR="00000000" w:rsidRPr="00335B74" w:rsidP="00335B74">
            <w:pPr>
              <w:pStyle w:val="ListBullet"/>
            </w:pPr>
            <w:r w:rsidRPr="00335B74">
              <w:t>Calculations involving fractions, decimals, ratios, prop</w:t>
            </w:r>
            <w:r w:rsidRPr="00335B74">
              <w:t>ortions</w:t>
            </w:r>
          </w:p>
          <w:p w:rsidR="00000000" w:rsidRPr="00335B74" w:rsidP="00335B74">
            <w:pPr>
              <w:pStyle w:val="ListBullet"/>
            </w:pPr>
            <w:r w:rsidRPr="00335B74">
              <w:t>Calculations involving area, volume, mass and density</w:t>
            </w:r>
          </w:p>
          <w:p w:rsidR="00000000" w:rsidRPr="00335B74" w:rsidP="00335B74">
            <w:pPr>
              <w:pStyle w:val="ListBullet"/>
            </w:pPr>
            <w:r w:rsidRPr="00335B74">
              <w:t>Calculations involving transposition and substitution of formulae</w:t>
            </w:r>
          </w:p>
          <w:p w:rsidR="00000000" w:rsidRPr="00335B74" w:rsidP="00335B74">
            <w:pPr>
              <w:pStyle w:val="ListBullet"/>
            </w:pPr>
            <w:r w:rsidRPr="00335B74">
              <w:t>Calculations involving simple trigonometric problems.</w:t>
            </w:r>
          </w:p>
          <w:p w:rsidR="00000000" w:rsidRPr="00335B74" w:rsidP="00335B74">
            <w:pPr>
              <w:pStyle w:val="BodyText"/>
            </w:pPr>
            <w:r w:rsidRPr="00335B74">
              <w:t>T2</w:t>
            </w:r>
            <w:r w:rsidRPr="00335B74">
              <w:tab/>
              <w:t>Engineering mechanics encompassing:</w:t>
            </w:r>
          </w:p>
          <w:p w:rsidR="00000000" w:rsidRPr="00335B74" w:rsidP="00335B74">
            <w:pPr>
              <w:pStyle w:val="ListBullet"/>
            </w:pPr>
            <w:r w:rsidRPr="00335B74">
              <w:t>Identification of basic concepts, principles and applications - application of velocity, acceleration, force, density, torque, and pressure</w:t>
            </w:r>
          </w:p>
          <w:p w:rsidR="00000000" w:rsidRPr="00335B74" w:rsidP="00335B74">
            <w:pPr>
              <w:pStyle w:val="ListBullet"/>
            </w:pPr>
            <w:r w:rsidRPr="00335B74">
              <w:t>Applications of the SI units</w:t>
            </w:r>
          </w:p>
          <w:p w:rsidR="00000000" w:rsidRPr="00335B74" w:rsidP="00335B74">
            <w:pPr>
              <w:pStyle w:val="ListBullet"/>
            </w:pPr>
            <w:r w:rsidRPr="00335B74">
              <w:t>The relationship between work, power and energy</w:t>
            </w:r>
          </w:p>
          <w:p w:rsidR="00000000" w:rsidRPr="00335B74" w:rsidP="00335B74">
            <w:pPr>
              <w:pStyle w:val="ListBullet"/>
            </w:pPr>
            <w:r w:rsidRPr="00335B74">
              <w:t>Behaviour of object under force - using</w:t>
            </w:r>
            <w:r w:rsidRPr="00335B74">
              <w:t xml:space="preserve"> a block and tackle under load, concept of mechanical advantage, determination of resultant forces and determining the sag in a catenary conductor and the force applied at each end</w:t>
            </w:r>
          </w:p>
          <w:p w:rsidR="00000000" w:rsidRPr="00335B74" w:rsidP="00335B74">
            <w:pPr>
              <w:pStyle w:val="ListBullet"/>
            </w:pPr>
            <w:r w:rsidRPr="00335B74">
              <w:t>Fundamentals of the basic laws of fluid mechanics.</w:t>
            </w:r>
          </w:p>
          <w:p w:rsidR="00000000" w:rsidRPr="00335B74" w:rsidP="00335B74">
            <w:pPr>
              <w:pStyle w:val="BodyText"/>
            </w:pPr>
            <w:r w:rsidRPr="00335B74">
              <w:t>T3</w:t>
            </w:r>
            <w:r w:rsidRPr="00335B74">
              <w:tab/>
              <w:t xml:space="preserve">Materials properties </w:t>
            </w:r>
            <w:r w:rsidRPr="00335B74">
              <w:t>encompassing:</w:t>
            </w:r>
          </w:p>
          <w:p w:rsidR="00000000" w:rsidRPr="00335B74" w:rsidP="00335B74">
            <w:pPr>
              <w:pStyle w:val="ListBullet"/>
            </w:pPr>
            <w:r w:rsidRPr="00335B74">
              <w:t>Identification and classification of engineering materials material properties</w:t>
            </w:r>
          </w:p>
          <w:p w:rsidR="00000000" w:rsidRPr="00335B74" w:rsidP="00335B74">
            <w:pPr>
              <w:pStyle w:val="ListBullet"/>
            </w:pPr>
            <w:r w:rsidRPr="00335B74">
              <w:t xml:space="preserve">Types and applications - properties of tensile strength, effects of temperature on the expansion of metals, ductility, malleability, work hardening and annealing </w:t>
            </w:r>
            <w:r w:rsidRPr="00335B74">
              <w:t>and the conditions that lead to corrosion and the properties of timbers.</w:t>
            </w:r>
          </w:p>
          <w:p w:rsidR="00000000" w:rsidRPr="00335B74" w:rsidP="00335B74">
            <w:pPr>
              <w:pStyle w:val="BodyText"/>
            </w:pPr>
            <w:r w:rsidRPr="00335B74">
              <w:t>T4</w:t>
            </w:r>
            <w:r w:rsidRPr="00335B74">
              <w:tab/>
              <w:t>Evidence shall show an understanding of transmission, distribution and rail systems encompassing:</w:t>
            </w:r>
          </w:p>
          <w:p w:rsidR="00000000" w:rsidRPr="00335B74" w:rsidP="00335B74">
            <w:pPr>
              <w:pStyle w:val="ListBullet"/>
            </w:pPr>
            <w:r w:rsidRPr="00335B74">
              <w:t>Relationship between the transmission, distribution and rail/tram system within a</w:t>
            </w:r>
            <w:r w:rsidRPr="00335B74">
              <w:t>n overall power system - different organisations responsible for generation, transmission, distribution and rail/tram and, how they correlate and their functions</w:t>
            </w:r>
          </w:p>
          <w:p w:rsidR="00000000" w:rsidRPr="00335B74" w:rsidP="00335B74">
            <w:pPr>
              <w:pStyle w:val="ListBullet"/>
            </w:pPr>
            <w:r w:rsidRPr="00335B74">
              <w:t>Characteristics of a transmission, a distribution and a rail system - principal components, ty</w:t>
            </w:r>
            <w:r w:rsidRPr="00335B74">
              <w:t>pical voltage levels and methods of transmission and distribution including grid type transmission systems, radial, parallel and ring main feeders</w:t>
            </w:r>
          </w:p>
          <w:p w:rsidR="00000000" w:rsidRPr="00335B74" w:rsidP="00335B74">
            <w:pPr>
              <w:pStyle w:val="ListBullet"/>
            </w:pPr>
            <w:r w:rsidRPr="00335B74">
              <w:t>Relationship between an overhead and underground supply systems within an overall power system - advantages/d</w:t>
            </w:r>
            <w:r w:rsidRPr="00335B74">
              <w:t>isadvantages, applications and the basic steps for planning and installing an overhead and underground distribution system</w:t>
            </w:r>
          </w:p>
          <w:p w:rsidR="00000000" w:rsidRPr="00335B74" w:rsidP="00335B74">
            <w:pPr>
              <w:pStyle w:val="ListBullet"/>
            </w:pPr>
            <w:r w:rsidRPr="00335B74">
              <w:t>Single line drawings and layouts - drawings and layouts of transmission and distribution systems including, radial, parallel and ring</w:t>
            </w:r>
            <w:r w:rsidRPr="00335B74">
              <w:t xml:space="preserve"> main feeders and the HV equipment associated with substations</w:t>
            </w:r>
          </w:p>
          <w:p w:rsidR="00000000" w:rsidRPr="00335B74" w:rsidP="00335B74">
            <w:pPr>
              <w:pStyle w:val="BodyText"/>
            </w:pPr>
            <w:r w:rsidRPr="00335B74">
              <w:t>T5</w:t>
            </w:r>
            <w:r w:rsidRPr="00335B74">
              <w:tab/>
              <w:t>Procedures for installation and maintenance on public lighting structures and associated equipment encompassing:</w:t>
            </w:r>
          </w:p>
          <w:p w:rsidR="00000000" w:rsidRPr="00335B74" w:rsidP="00335B74">
            <w:pPr>
              <w:pStyle w:val="ListBullet"/>
            </w:pPr>
            <w:r w:rsidRPr="00335B74">
              <w:t>Standards, codes, legislation, supply authority regulations, local governmen</w:t>
            </w:r>
            <w:r w:rsidRPr="00335B74">
              <w:t>t and or enterprise requirements pertaining to the installation and maintenance of public lighting systems and associated equipment</w:t>
            </w:r>
          </w:p>
          <w:p w:rsidR="00000000" w:rsidRPr="00335B74" w:rsidP="00335B74">
            <w:pPr>
              <w:pStyle w:val="ListBullet"/>
            </w:pPr>
            <w:r w:rsidRPr="00335B74">
              <w:t>Safety precautions specific to working on street lighting encompassing: safe working practices and procedures, safe clearanc</w:t>
            </w:r>
            <w:r w:rsidRPr="00335B74">
              <w:t>es from LV and HV mains, working at heights, working in confined spaces, permit to work systems and isolation procedures and emergency response and rescue including First Aid etc</w:t>
            </w:r>
          </w:p>
          <w:p w:rsidR="00000000" w:rsidRPr="00335B74" w:rsidP="00335B74">
            <w:pPr>
              <w:pStyle w:val="ListBullet"/>
            </w:pPr>
            <w:r w:rsidRPr="00335B74">
              <w:t>Basic public lighting principles - electromagnetic spectrum, principles of colour, behaviour of light, factors that affect illumination</w:t>
            </w:r>
          </w:p>
          <w:p w:rsidR="00000000" w:rsidRPr="00335B74" w:rsidP="00335B74">
            <w:pPr>
              <w:pStyle w:val="ListBullet"/>
            </w:pPr>
            <w:r w:rsidRPr="00335B74">
              <w:t>Requirements for the use of enterprise construction manuals, system diagrams/plans and drawings - street lighting circui</w:t>
            </w:r>
            <w:r w:rsidRPr="00335B74">
              <w:t xml:space="preserve">ts and earthing system </w:t>
            </w:r>
          </w:p>
          <w:p w:rsidR="00000000" w:rsidRPr="00335B74" w:rsidP="00335B74">
            <w:pPr>
              <w:pStyle w:val="ListBullet"/>
            </w:pPr>
            <w:r w:rsidRPr="00335B74">
              <w:t xml:space="preserve">Types of tools and equipment used for installation and maintenance </w:t>
            </w:r>
          </w:p>
          <w:p w:rsidR="00000000" w:rsidRPr="00335B74" w:rsidP="00335B74">
            <w:pPr>
              <w:pStyle w:val="ListBullet"/>
            </w:pPr>
            <w:r w:rsidRPr="00335B74">
              <w:t>Types and function of lanterns/Luminaires/lamps, control equipment, poles and associated hardware used for street lighting - HP mercury vapour, LP and HP sodium vap</w:t>
            </w:r>
            <w:r w:rsidRPr="00335B74">
              <w:t>our, fluorescent, quartz-halogen, wood, concrete, steel, composite, choke boxes, photo-electric cells, time switches, contactor boxes</w:t>
            </w:r>
          </w:p>
          <w:p w:rsidR="00000000" w:rsidRPr="00335B74" w:rsidP="00335B74">
            <w:pPr>
              <w:pStyle w:val="ListBullet"/>
            </w:pPr>
            <w:r w:rsidRPr="00335B74">
              <w:t>Types of lighting systems - overhead and underground street lighting systems and controlling and switching of lighting sys</w:t>
            </w:r>
            <w:r w:rsidRPr="00335B74">
              <w:t>tems</w:t>
            </w:r>
          </w:p>
          <w:p w:rsidR="00000000" w:rsidRPr="00335B74" w:rsidP="00335B74">
            <w:pPr>
              <w:pStyle w:val="ListBullet"/>
            </w:pPr>
            <w:r w:rsidRPr="00335B74">
              <w:t>Techniques for the installation of street lighting systems</w:t>
            </w:r>
          </w:p>
          <w:p w:rsidR="00000000" w:rsidRPr="00335B74" w:rsidP="00335B74">
            <w:pPr>
              <w:pStyle w:val="ListBullet"/>
            </w:pPr>
            <w:r w:rsidRPr="00335B74">
              <w:t>Techniques for the maintenance of street lighting systems - diagnosing of faults, removing, repairing, replacement and cleaning of public lighting and associated hardware</w:t>
            </w:r>
          </w:p>
          <w:p w:rsidR="00000000" w:rsidRPr="00335B74" w:rsidP="00335B74">
            <w:pPr>
              <w:pStyle w:val="ListBullet"/>
            </w:pPr>
            <w:r w:rsidRPr="00335B74">
              <w:t>Application of specif</w:t>
            </w:r>
            <w:r w:rsidRPr="00335B74">
              <w:t>ic testing equipment - voltage detectors, insulation resistance testers, clamp-on ammeters, continuity testers, fault indictors</w:t>
            </w:r>
          </w:p>
          <w:p w:rsidR="00000000" w:rsidRPr="00335B74" w:rsidP="00335B74">
            <w:pPr>
              <w:pStyle w:val="ListBullet"/>
            </w:pPr>
            <w:r w:rsidRPr="00335B74">
              <w:t>Techniques for the inspection, testing and commissioning of street lighting systems</w:t>
            </w:r>
          </w:p>
          <w:p w:rsidR="00000000" w:rsidRPr="00335B74" w:rsidP="00335B74">
            <w:pPr>
              <w:pStyle w:val="BodyText"/>
            </w:pPr>
            <w:r w:rsidRPr="00335B74">
              <w:t>T6</w:t>
            </w:r>
            <w:r w:rsidRPr="00335B74">
              <w:tab/>
              <w:t>Principles of Statutory and safety consid</w:t>
            </w:r>
            <w:r w:rsidRPr="00335B74">
              <w:t>erations encompassing:</w:t>
            </w:r>
          </w:p>
          <w:p w:rsidR="00000000" w:rsidRPr="00335B74" w:rsidP="00335B74">
            <w:pPr>
              <w:pStyle w:val="ListBullet"/>
            </w:pPr>
            <w:r w:rsidRPr="00335B74">
              <w:t>Commonwealth/State/Territory legislation, standards, codes, supply authority regulations and or enterprise requirements associated with working on High Voltage</w:t>
            </w:r>
          </w:p>
          <w:p w:rsidR="00000000" w:rsidRPr="00335B74" w:rsidP="00335B74">
            <w:pPr>
              <w:pStyle w:val="ListBullet"/>
            </w:pPr>
            <w:r w:rsidRPr="00335B74">
              <w:t>Particular reference to State and Territory regulations regarding: worki</w:t>
            </w:r>
            <w:r w:rsidRPr="00335B74">
              <w:t>ng near energised conductors, electrical access, heights, confined space, testing procedures and Licensing rules</w:t>
            </w:r>
          </w:p>
          <w:p w:rsidR="00000000" w:rsidRPr="00335B74" w:rsidP="00335B74">
            <w:pPr>
              <w:pStyle w:val="BodyText"/>
            </w:pPr>
            <w:r w:rsidRPr="00335B74">
              <w:t>T7</w:t>
            </w:r>
            <w:r w:rsidRPr="00335B74">
              <w:tab/>
              <w:t>Principles to light design layout to an extent indicated by the following aspects:</w:t>
            </w:r>
          </w:p>
          <w:p w:rsidR="00000000" w:rsidRPr="00335B74" w:rsidP="00335B74">
            <w:pPr>
              <w:pStyle w:val="ListBullet"/>
            </w:pPr>
            <w:r w:rsidRPr="00335B74">
              <w:t>Commonwealth, State/Territory and local government legis</w:t>
            </w:r>
            <w:r w:rsidRPr="00335B74">
              <w:t>lation, Standards, codes, supply authority regulations and or enterprise requirements applicable to the light design principles</w:t>
            </w:r>
          </w:p>
          <w:p w:rsidR="00000000" w:rsidRPr="00335B74" w:rsidP="00335B74">
            <w:pPr>
              <w:pStyle w:val="ListBullet"/>
            </w:pPr>
            <w:r w:rsidRPr="00335B74">
              <w:t>Requirements for the use of street lighting system construction manuals, system diagrams/plans and drawings and for plans such a</w:t>
            </w:r>
            <w:r w:rsidRPr="00335B74">
              <w:t>s work method statements for the control of OHS risks</w:t>
            </w:r>
          </w:p>
          <w:p w:rsidR="00000000" w:rsidRPr="00335B74" w:rsidP="00335B74">
            <w:pPr>
              <w:pStyle w:val="ListBullet"/>
            </w:pPr>
            <w:r w:rsidRPr="00335B74">
              <w:t>Types of tariffs and charges</w:t>
            </w:r>
          </w:p>
          <w:p w:rsidR="00000000" w:rsidRPr="00335B74" w:rsidP="00335B74">
            <w:pPr>
              <w:pStyle w:val="ListBullet"/>
            </w:pPr>
            <w:r w:rsidRPr="00335B74">
              <w:t>Types of street lighting components - column types, foundations, brackets, luminaries and mounting heights</w:t>
            </w:r>
          </w:p>
          <w:p w:rsidR="00000000" w:rsidRPr="00335B74" w:rsidP="00335B74">
            <w:pPr>
              <w:pStyle w:val="ListBullet"/>
            </w:pPr>
            <w:r w:rsidRPr="00335B74">
              <w:t>Types of electrical street lighting circuits - types of supply, li</w:t>
            </w:r>
            <w:r w:rsidRPr="00335B74">
              <w:t>ghting circuit and control circuit</w:t>
            </w:r>
          </w:p>
          <w:p w:rsidR="00000000" w:rsidRPr="00335B74" w:rsidP="00335B74">
            <w:pPr>
              <w:pStyle w:val="ListBullet"/>
            </w:pPr>
            <w:r w:rsidRPr="00335B74">
              <w:t xml:space="preserve">Fundamentals of lighting production - electromagnetic spectrum, visible and non-visible radiation, spectral energy distribution, infra-red, ultra-violet, radiation-safety, incandescence and phosphorescence and reflection </w:t>
            </w:r>
            <w:r w:rsidRPr="00335B74">
              <w:t>and refraction</w:t>
            </w:r>
          </w:p>
          <w:p w:rsidR="00000000" w:rsidRPr="00335B74" w:rsidP="00335B74">
            <w:pPr>
              <w:pStyle w:val="ListBullet"/>
            </w:pPr>
            <w:r w:rsidRPr="00335B74">
              <w:t>Fundamentals of lighting concepts - terms and units and the purpose of reflectors and diffusers</w:t>
            </w:r>
          </w:p>
          <w:p w:rsidR="00000000" w:rsidRPr="00335B74" w:rsidP="00335B74">
            <w:pPr>
              <w:pStyle w:val="ListBullet"/>
            </w:pPr>
            <w:r w:rsidRPr="00335B74">
              <w:t>Factors affecting external lighting design</w:t>
            </w:r>
          </w:p>
          <w:p w:rsidR="00000000" w:rsidRPr="00335B74" w:rsidP="00335B74">
            <w:pPr>
              <w:pStyle w:val="ListBullet"/>
            </w:pPr>
            <w:r w:rsidRPr="00335B74">
              <w:t>Calculation of light output</w:t>
            </w:r>
          </w:p>
          <w:p w:rsidR="00000000" w:rsidRPr="00335B74" w:rsidP="00335B74">
            <w:pPr>
              <w:pStyle w:val="ListBullet"/>
            </w:pPr>
            <w:r w:rsidRPr="00335B74">
              <w:t>Determining illuminance - point to point and Lumen method</w:t>
            </w:r>
          </w:p>
          <w:p w:rsidR="00000000" w:rsidRPr="00335B74" w:rsidP="00335B74">
            <w:pPr>
              <w:pStyle w:val="ListBullet"/>
            </w:pPr>
            <w:r w:rsidRPr="00335B74">
              <w:t>Determining rated life of luminaries</w:t>
            </w:r>
          </w:p>
          <w:p w:rsidR="00000000" w:rsidRPr="00335B74" w:rsidP="00335B74">
            <w:pPr>
              <w:pStyle w:val="ListBullet"/>
            </w:pPr>
            <w:r w:rsidRPr="00335B74">
              <w:t>Fundamentals of street lighting design</w:t>
            </w:r>
          </w:p>
          <w:p w:rsidR="00000000" w:rsidRPr="00335B74" w:rsidP="00335B74">
            <w:pPr>
              <w:pStyle w:val="ListBullet"/>
            </w:pPr>
            <w:r w:rsidRPr="00335B74">
              <w:t>Considerations for special lighting situations - security lighting, hazardous street locations, and emergency lighting</w:t>
            </w:r>
          </w:p>
          <w:p w:rsidR="00000000" w:rsidRPr="00335B74" w:rsidP="00335B74">
            <w:pPr>
              <w:pStyle w:val="BodyText"/>
            </w:pPr>
            <w:r w:rsidRPr="00335B74">
              <w:t>T8</w:t>
            </w:r>
            <w:r w:rsidRPr="00335B74">
              <w:tab/>
              <w:t>Principles to layout and draft a street lighting system en</w:t>
            </w:r>
            <w:r w:rsidRPr="00335B74">
              <w:t>compassing:</w:t>
            </w:r>
          </w:p>
          <w:p w:rsidR="00000000" w:rsidRPr="00335B74" w:rsidP="00335B74">
            <w:pPr>
              <w:pStyle w:val="ListBullet"/>
            </w:pPr>
            <w:r w:rsidRPr="00335B74">
              <w:t>Commonwealth, State/Territory and local government legislation, Standards, codes, supply authority regulations and or enterprise requirements applicable to street lighting system layouts and drafts</w:t>
            </w:r>
          </w:p>
          <w:p w:rsidR="00000000" w:rsidRPr="00335B74" w:rsidP="00335B74">
            <w:pPr>
              <w:pStyle w:val="ListBullet"/>
            </w:pPr>
            <w:r w:rsidRPr="00335B74">
              <w:t>Requirements for the use of street lighting s</w:t>
            </w:r>
            <w:r w:rsidRPr="00335B74">
              <w:t>ystem construction manuals, system diagrams/plans and drawings and for plans such as work method statements for the control of OHS risks</w:t>
            </w:r>
          </w:p>
          <w:p w:rsidR="00000000" w:rsidRPr="00335B74" w:rsidP="00335B74">
            <w:pPr>
              <w:pStyle w:val="ListBullet"/>
            </w:pPr>
            <w:r w:rsidRPr="00335B74">
              <w:t>Methods in determining material, equipment and tool lists - components types and quantity required, spacing of componen</w:t>
            </w:r>
            <w:r w:rsidRPr="00335B74">
              <w:t>ts such as equipment, poles, cross-arms, costings of items and components.</w:t>
            </w:r>
          </w:p>
          <w:p w:rsidR="00000000" w:rsidRPr="00335B74" w:rsidP="00335B74">
            <w:pPr>
              <w:pStyle w:val="ListBullet"/>
            </w:pPr>
            <w:r w:rsidRPr="00335B74">
              <w:t>Purchasing and contractual arrangements to include a requirement to eliminate OHS hazards minimise risks and provide residual OHS risk information</w:t>
            </w:r>
          </w:p>
          <w:p w:rsidR="00000000" w:rsidRPr="00335B74" w:rsidP="00335B74">
            <w:pPr>
              <w:pStyle w:val="ListBullet"/>
            </w:pPr>
            <w:r w:rsidRPr="00335B74">
              <w:t>Determination of conductor size, t</w:t>
            </w:r>
            <w:r w:rsidRPr="00335B74">
              <w:t>ype and route length</w:t>
            </w:r>
          </w:p>
          <w:p w:rsidR="00000000" w:rsidRPr="00335B74" w:rsidP="00335B74">
            <w:pPr>
              <w:pStyle w:val="ListBullet"/>
            </w:pPr>
            <w:r w:rsidRPr="00335B74">
              <w:t>Determination of street lighting positions for optimum visibility and minimise traffic hazards</w:t>
            </w:r>
          </w:p>
          <w:p w:rsidR="00000000" w:rsidRPr="00335B74" w:rsidP="00335B74">
            <w:pPr>
              <w:pStyle w:val="ListBullet"/>
            </w:pPr>
            <w:r w:rsidRPr="00335B74">
              <w:t>Techniques in mounting and position of lights</w:t>
            </w:r>
          </w:p>
          <w:p w:rsidR="00000000" w:rsidRPr="00335B74" w:rsidP="00335B74">
            <w:pPr>
              <w:pStyle w:val="ListBullet"/>
            </w:pPr>
            <w:r w:rsidRPr="00335B74">
              <w:t>Resources needed for the installation of street lighting system</w:t>
            </w:r>
          </w:p>
          <w:p w:rsidR="00000000" w:rsidRPr="00335B74" w:rsidP="00335B74">
            <w:pPr>
              <w:pStyle w:val="ListBullet"/>
            </w:pPr>
            <w:r w:rsidRPr="00335B74">
              <w:t>Methods of pegging out of pole</w:t>
            </w:r>
            <w:r w:rsidRPr="00335B74">
              <w:t xml:space="preserve"> positions and/or underground cable positions</w:t>
            </w:r>
          </w:p>
          <w:p w:rsidR="00000000" w:rsidRPr="00335B74" w:rsidP="00335B74">
            <w:pPr>
              <w:pStyle w:val="ListBullet"/>
            </w:pPr>
            <w:r w:rsidRPr="00335B74">
              <w:t>Minimum clearances between overhead conductors and low LV/and HV structures</w:t>
            </w:r>
          </w:p>
          <w:p w:rsidR="00000000" w:rsidRPr="00335B74" w:rsidP="00335B74">
            <w:pPr>
              <w:pStyle w:val="ListBullet"/>
            </w:pPr>
            <w:r w:rsidRPr="00335B74">
              <w:t>Estimation of the duration of overhead distribution extension project</w:t>
            </w:r>
          </w:p>
        </w:tc>
      </w:tr>
    </w:tbl>
    <w:p w:rsidR="00000000" w:rsidRPr="00335B74" w:rsidP="00335B74">
      <w:pPr>
        <w:pStyle w:val="BodyText"/>
      </w:pPr>
    </w:p>
    <w:p w:rsidR="00000000" w:rsidRPr="00335B74" w:rsidP="00335B74">
      <w:pPr>
        <w:pStyle w:val="AllowPageBreak"/>
      </w:pPr>
    </w:p>
    <w:p w:rsidR="00000000" w:rsidRPr="00335B74" w:rsidP="00335B74">
      <w:pPr>
        <w:pStyle w:val="Heading1"/>
      </w:pPr>
      <w:bookmarkStart w:id="10" w:name="O_463417"/>
      <w:bookmarkEnd w:id="10"/>
      <w:r w:rsidRPr="00335B74">
        <w:t>Evidence Guide</w:t>
      </w:r>
    </w:p>
    <w:tbl>
      <w:tblPr>
        <w:tblW w:w="0" w:type="auto"/>
        <w:tblLayout w:type="fixed"/>
        <w:tblCellMar>
          <w:left w:w="62" w:type="dxa"/>
          <w:right w:w="62" w:type="dxa"/>
        </w:tblCellMar>
        <w:tblLook w:val="0000"/>
      </w:tblPr>
      <w:tblGrid>
        <w:gridCol w:w="8460"/>
      </w:tblGrid>
      <w:tr w:rsidTr="003819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EVIDENCE GUIDE</w:t>
            </w:r>
          </w:p>
        </w:tc>
      </w:tr>
      <w:tr w:rsidTr="003819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9)</w:t>
            </w:r>
            <w:r w:rsidRPr="00335B74">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335B74" w:rsidP="00335B74">
            <w:pPr>
              <w:pStyle w:val="BodyText"/>
            </w:pPr>
            <w:r w:rsidRPr="00335B74">
              <w:t>The Evidence Guide form</w:t>
            </w:r>
            <w:r w:rsidRPr="00335B74">
              <w:t>s an integral part of this Competency Standard Unit and shall be used in conjunction with all component parts of this unit and, performed in accordance with the Assessment Guidelines of this Training Package.</w:t>
            </w:r>
          </w:p>
        </w:tc>
      </w:tr>
    </w:tbl>
    <w:p w:rsidR="00000000" w:rsidRPr="00335B74" w:rsidP="00335B74">
      <w:pPr>
        <w:pStyle w:val="BodyText"/>
      </w:pPr>
    </w:p>
    <w:tbl>
      <w:tblPr>
        <w:tblW w:w="0" w:type="auto"/>
        <w:tblLayout w:type="fixed"/>
        <w:tblCellMar>
          <w:left w:w="62" w:type="dxa"/>
          <w:right w:w="62" w:type="dxa"/>
        </w:tblCellMar>
        <w:tblLook w:val="0000"/>
      </w:tblPr>
      <w:tblGrid>
        <w:gridCol w:w="1890"/>
        <w:gridCol w:w="6570"/>
      </w:tblGrid>
      <w:tr w:rsidTr="00381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9.1)</w:t>
            </w:r>
          </w:p>
        </w:tc>
      </w:tr>
      <w:tr w:rsidTr="00381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Longitudinal competency development approaches to assessment, such as Profiling, require data to be reliably gathered in a form that can be consistently interpreted over time. This approach is best utilised in Apprenticeship programs and reduces assessment</w:t>
            </w:r>
            <w:r w:rsidRPr="00335B7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35B74">
              <w:t>tency in a realistically simulated work environment. It is recognised that, in some circumstances, assessment in part or full can occur outside the workplace. However, it must be in accord with Industry and, Regulatory policy in this regard.</w:t>
            </w:r>
          </w:p>
          <w:p w:rsidR="00000000" w:rsidRPr="00335B74" w:rsidP="00335B74">
            <w:pPr>
              <w:pStyle w:val="BodyText"/>
            </w:pPr>
            <w:r w:rsidRPr="00335B74">
              <w:t>Methods chosen</w:t>
            </w:r>
            <w:r w:rsidRPr="00335B7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335B74">
              <w:t>equired and the critical nature of the competencies being assessed.</w:t>
            </w:r>
          </w:p>
          <w:p w:rsidR="00000000" w:rsidRPr="00335B74" w:rsidP="00335B74">
            <w:pPr>
              <w:pStyle w:val="BodyText"/>
            </w:pPr>
            <w:r w:rsidRPr="00335B74">
              <w:t>The critical safety nature of working with electricity, electrical equipment, gas or any other hazardous substance/material carries risk in deeming a person competent. Hence, sources of ev</w:t>
            </w:r>
            <w:r w:rsidRPr="00335B74">
              <w:t>idence need to be ‘rich’ in nature so as to minimise error in judgment.</w:t>
            </w:r>
          </w:p>
          <w:p w:rsidR="00000000" w:rsidRPr="00335B74" w:rsidP="00335B74">
            <w:pPr>
              <w:pStyle w:val="BodyText"/>
            </w:pPr>
            <w:r w:rsidRPr="00335B74">
              <w:t>Activities associated with normal every day work have a bearing on the decision as to how much and how detailed the data gathered will contribute to its ‘richness’. Some skills are mor</w:t>
            </w:r>
            <w:r w:rsidRPr="00335B74">
              <w:t>e critical to safety and operational requirements while the same skills may be more or less frequently practiced. These points are raised for the assessors to consider when choosing an assessment method and developing assessment instruments. Sample assessm</w:t>
            </w:r>
            <w:r w:rsidRPr="00335B74">
              <w:t>ent instruments are included for Assessors in the Assessment Guidelines of this Training Package.</w:t>
            </w:r>
          </w:p>
        </w:tc>
      </w:tr>
    </w:tbl>
    <w:p w:rsidR="00000000" w:rsidRPr="00335B74" w:rsidP="00335B74">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381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9.2)</w:t>
            </w:r>
          </w:p>
        </w:tc>
      </w:tr>
      <w:tr w:rsidTr="00381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Before the critical aspects of evidence are considered all prerequisi</w:t>
            </w:r>
            <w:r w:rsidRPr="00335B74">
              <w:t>tes shall be met.</w:t>
            </w:r>
          </w:p>
          <w:p w:rsidR="00000000" w:rsidRPr="00335B74" w:rsidP="00335B74">
            <w:pPr>
              <w:pStyle w:val="BodyText"/>
            </w:pPr>
            <w:r w:rsidRPr="00335B74">
              <w:t xml:space="preserve">Evidence for competence in this unit shall be considered holistically. Each element and associated Performance Criteria shall be demonstrated on at least two occasions in accordance with the “Assessment Guidelines – UET12UET12”. Evidence </w:t>
            </w:r>
            <w:r w:rsidRPr="00335B74">
              <w:t>shall also comprise:</w:t>
            </w:r>
          </w:p>
          <w:p w:rsidR="00000000" w:rsidRPr="00335B74" w:rsidP="00335B74">
            <w:pPr>
              <w:pStyle w:val="ListBullet"/>
            </w:pPr>
            <w:r w:rsidRPr="00335B74">
              <w:t>A representative body of Performance Criteria demonstrated within the timeframes typically expected of the discipline, work function and industrial environment. In particular this shall incorporate evidence that shows a candidate is a</w:t>
            </w:r>
            <w:r w:rsidRPr="00335B74">
              <w:t>ble to:</w:t>
            </w:r>
          </w:p>
          <w:p w:rsidR="00000000" w:rsidRPr="00335B74" w:rsidP="00335B74">
            <w:pPr>
              <w:pStyle w:val="ListBullet2"/>
            </w:pPr>
            <w:r w:rsidRPr="00335B74">
              <w:t>Implement Occupational Health and Safety workplace procedures and practices including the use of risk control measures as specified in the Performance Criteria and range; and</w:t>
            </w:r>
          </w:p>
          <w:p w:rsidR="00000000" w:rsidRPr="00335B74" w:rsidP="00335B74">
            <w:pPr>
              <w:pStyle w:val="ListBullet2"/>
            </w:pPr>
            <w:r w:rsidRPr="00335B74">
              <w:t>Apply sustainable energy principles and practices as specified in the Pe</w:t>
            </w:r>
            <w:r w:rsidRPr="00335B74">
              <w:t>rformance Criteria and range; and</w:t>
            </w:r>
          </w:p>
          <w:p w:rsidR="00000000" w:rsidRPr="00335B74" w:rsidP="00335B74">
            <w:pPr>
              <w:pStyle w:val="ListBullet2"/>
            </w:pPr>
            <w:r w:rsidRPr="00335B74">
              <w:t>Demonstrate an understanding of the essential knowledge and associated skills as described in this unit to such an extent that the learner’s performance outcome is reported in accordance with the preferred approach; namely</w:t>
            </w:r>
            <w:r w:rsidRPr="00335B74">
              <w:t xml:space="preserve"> a percentile graded result, where required by the regulated environment; and</w:t>
            </w:r>
          </w:p>
          <w:p w:rsidR="00000000" w:rsidRPr="00335B74" w:rsidP="00335B74">
            <w:pPr>
              <w:pStyle w:val="ListBullet2"/>
            </w:pPr>
            <w:r w:rsidRPr="00335B74">
              <w:t>Demonstrate an appropriate level of employability skills; and</w:t>
            </w:r>
          </w:p>
          <w:p w:rsidR="00000000" w:rsidRPr="00335B74" w:rsidP="00335B74">
            <w:pPr>
              <w:pStyle w:val="ListBullet"/>
            </w:pPr>
            <w:r w:rsidRPr="00335B74">
              <w:t>Conduct work observing the relevant Anti Discrimination legislation, regulations, policies and workplace procedures</w:t>
            </w:r>
            <w:r w:rsidRPr="00335B74">
              <w:t>; and</w:t>
            </w:r>
          </w:p>
          <w:p w:rsidR="00000000" w:rsidP="00335B74">
            <w:pPr>
              <w:pStyle w:val="ListBullet2"/>
              <w:rPr>
                <w:lang w:val="en-NZ"/>
              </w:rPr>
            </w:pPr>
            <w:r w:rsidRPr="00335B74">
              <w:t>Demonstrated performance across a representative range of contexts from the prescribed items below:</w:t>
            </w:r>
          </w:p>
        </w:tc>
      </w:tr>
      <w:tr w:rsidTr="00381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35B74">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74">
            <w:pPr>
              <w:pStyle w:val="BodyText"/>
              <w:rPr>
                <w:lang w:val="en-NZ"/>
              </w:rPr>
            </w:pPr>
            <w:r w:rsidRPr="00335B74">
              <w:rPr>
                <w:rStyle w:val="SpecialBold"/>
              </w:rPr>
              <w:t>Range of tools/equipment/materials/procedures/workplaces/other variables</w:t>
            </w:r>
          </w:p>
        </w:tc>
      </w:tr>
      <w:tr w:rsidTr="00381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35B7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B74" w:rsidP="00335B74">
            <w:pPr>
              <w:pStyle w:val="BodyText"/>
            </w:pPr>
            <w:r w:rsidRPr="00335B74">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B74" w:rsidP="00335B74">
            <w:pPr>
              <w:pStyle w:val="BodyText"/>
            </w:pPr>
            <w:r w:rsidRPr="00335B74">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74">
            <w:pPr>
              <w:pStyle w:val="BodyText"/>
              <w:rPr>
                <w:lang w:val="en-NZ"/>
              </w:rPr>
            </w:pPr>
            <w:r w:rsidRPr="00335B74">
              <w:rPr>
                <w:rStyle w:val="SpecialBold"/>
              </w:rPr>
              <w:t>Item List</w:t>
            </w:r>
          </w:p>
        </w:tc>
      </w:tr>
      <w:tr w:rsidTr="00381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74">
            <w:pPr>
              <w:pStyle w:val="BodyText"/>
              <w:rPr>
                <w:lang w:val="en-NZ"/>
              </w:rPr>
            </w:pPr>
            <w:r w:rsidRPr="00335B74">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74">
            <w:pPr>
              <w:pStyle w:val="BodyText"/>
              <w:rPr>
                <w:lang w:val="en-NZ"/>
              </w:rPr>
            </w:pPr>
            <w:r w:rsidRPr="00335B74">
              <w:t>Completion of six (6) technical designs of a Public Lighting systems utilising at least three of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B74" w:rsidP="00335B74">
            <w:pPr>
              <w:pStyle w:val="BodyText"/>
            </w:pPr>
            <w:r w:rsidRPr="00335B74">
              <w:t>Single light on existing assets</w:t>
            </w:r>
          </w:p>
          <w:p w:rsidR="00000000" w:rsidRPr="00335B74" w:rsidP="00335B74">
            <w:pPr>
              <w:pStyle w:val="BodyText"/>
            </w:pPr>
            <w:r w:rsidRPr="00335B74">
              <w:t>Main road/minor road schemes</w:t>
            </w:r>
          </w:p>
          <w:p w:rsidR="00000000" w:rsidRPr="00335B74" w:rsidP="00335B74">
            <w:pPr>
              <w:pStyle w:val="BodyText"/>
            </w:pPr>
            <w:r w:rsidRPr="00335B74">
              <w:t>Intersections</w:t>
            </w:r>
          </w:p>
          <w:p w:rsidR="00000000" w:rsidRPr="00335B74" w:rsidP="00335B74">
            <w:pPr>
              <w:pStyle w:val="BodyText"/>
            </w:pPr>
            <w:r w:rsidRPr="00335B74">
              <w:t>Traffic management devices</w:t>
            </w:r>
          </w:p>
          <w:p w:rsidR="00000000" w:rsidRPr="00335B74" w:rsidP="00335B74">
            <w:pPr>
              <w:pStyle w:val="BodyText"/>
            </w:pPr>
            <w:r w:rsidRPr="00335B74">
              <w:t>Alteration to existing assets</w:t>
            </w:r>
          </w:p>
          <w:p w:rsidR="00000000" w:rsidP="00335B74">
            <w:pPr>
              <w:pStyle w:val="BodyText"/>
              <w:rPr>
                <w:lang w:val="en-NZ"/>
              </w:rPr>
            </w:pPr>
            <w:r w:rsidRPr="00335B74">
              <w:t>Multi circuit systems</w:t>
            </w:r>
          </w:p>
        </w:tc>
      </w:tr>
      <w:tr w:rsidTr="00381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74">
            <w:pPr>
              <w:pStyle w:val="BodyText"/>
              <w:rPr>
                <w:lang w:val="en-NZ"/>
              </w:rPr>
            </w:pPr>
            <w:r w:rsidRPr="00335B74">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74">
            <w:pPr>
              <w:pStyle w:val="BodyText"/>
              <w:rPr>
                <w:lang w:val="en-NZ"/>
              </w:rPr>
            </w:pPr>
            <w:r w:rsidRPr="00335B74">
              <w:t>Designs should also include all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B74" w:rsidP="00335B74">
            <w:pPr>
              <w:pStyle w:val="BodyText"/>
            </w:pPr>
            <w:r w:rsidRPr="00335B74">
              <w:t>Activities that address the correction of errors in the process.</w:t>
            </w:r>
          </w:p>
          <w:p w:rsidR="00000000" w:rsidP="00335B74">
            <w:pPr>
              <w:pStyle w:val="BodyText"/>
              <w:rPr>
                <w:lang w:val="en-NZ"/>
              </w:rPr>
            </w:pPr>
            <w:r w:rsidRPr="00335B74">
              <w:t xml:space="preserve">Application of a </w:t>
            </w:r>
            <w:r w:rsidRPr="00335B74">
              <w:t>design control checklist which lists all of the required design activities to be carried out in this process.</w:t>
            </w:r>
          </w:p>
        </w:tc>
      </w:tr>
      <w:tr w:rsidTr="00381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74">
            <w:pPr>
              <w:pStyle w:val="BodyText"/>
              <w:rPr>
                <w:lang w:val="en-NZ"/>
              </w:rPr>
            </w:pPr>
            <w:r w:rsidRPr="00335B74">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74">
            <w:pPr>
              <w:pStyle w:val="BodyText"/>
              <w:rPr>
                <w:lang w:val="en-NZ"/>
              </w:rPr>
            </w:pPr>
            <w:r w:rsidRPr="00335B74">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B74" w:rsidP="00335B74">
            <w:pPr>
              <w:pStyle w:val="BodyText"/>
            </w:pPr>
            <w:r w:rsidRPr="00335B74">
              <w:t>Dealing with an unplanned event by drawing on essential knowledge and associated skills to provide appropriate solutions incorporated in the holistic assessment with the above listed items.</w:t>
            </w:r>
          </w:p>
        </w:tc>
      </w:tr>
    </w:tbl>
    <w:p w:rsidR="00000000" w:rsidRPr="00335B74" w:rsidP="00335B74">
      <w:pPr>
        <w:pStyle w:val="BodyText"/>
      </w:pPr>
    </w:p>
    <w:tbl>
      <w:tblPr>
        <w:tblW w:w="0" w:type="auto"/>
        <w:tblLayout w:type="fixed"/>
        <w:tblCellMar>
          <w:left w:w="62" w:type="dxa"/>
          <w:right w:w="62" w:type="dxa"/>
        </w:tblCellMar>
        <w:tblLook w:val="0000"/>
      </w:tblPr>
      <w:tblGrid>
        <w:gridCol w:w="1890"/>
        <w:gridCol w:w="6570"/>
      </w:tblGrid>
      <w:tr w:rsidTr="0038195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9.3)</w:t>
            </w:r>
          </w:p>
        </w:tc>
      </w:tr>
      <w:tr w:rsidTr="0038195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This uni</w:t>
            </w:r>
            <w:r w:rsidRPr="00335B74">
              <w:t>t should be assessed as it relates to normal work practice using procedures, information and resources typical of a workplace. This should include:</w:t>
            </w:r>
          </w:p>
          <w:p w:rsidR="00000000" w:rsidRPr="00335B74" w:rsidP="00335B74">
            <w:pPr>
              <w:pStyle w:val="ListBullet"/>
            </w:pPr>
            <w:r w:rsidRPr="00335B74">
              <w:t>OHS policy and work procedures and instructions.</w:t>
            </w:r>
          </w:p>
          <w:p w:rsidR="00000000" w:rsidRPr="00335B74" w:rsidP="00335B74">
            <w:pPr>
              <w:pStyle w:val="ListBullet"/>
            </w:pPr>
            <w:r w:rsidRPr="00335B74">
              <w:t>Suitable work environment, facilities, equipment and materials to undertake actual design of public lighting systems.</w:t>
            </w:r>
          </w:p>
          <w:p w:rsidR="00000000" w:rsidRPr="00335B74" w:rsidP="00335B74">
            <w:pPr>
              <w:pStyle w:val="BodyText"/>
            </w:pPr>
            <w:r w:rsidRPr="00335B74">
              <w:t>In addition to the resources listed above, in Context of and specific resources for assessment, evidence should show demonstrated competen</w:t>
            </w:r>
            <w:r w:rsidRPr="00335B74">
              <w:t xml:space="preserve">cy working realistic environment and a variety of conditions. </w:t>
            </w:r>
          </w:p>
        </w:tc>
      </w:tr>
    </w:tbl>
    <w:p w:rsidR="00000000" w:rsidRPr="00335B74" w:rsidP="00335B74">
      <w:pPr>
        <w:pStyle w:val="BodyText"/>
      </w:pPr>
    </w:p>
    <w:tbl>
      <w:tblPr>
        <w:tblW w:w="0" w:type="auto"/>
        <w:tblLayout w:type="fixed"/>
        <w:tblCellMar>
          <w:left w:w="62" w:type="dxa"/>
          <w:right w:w="62" w:type="dxa"/>
        </w:tblCellMar>
        <w:tblLook w:val="0000"/>
      </w:tblPr>
      <w:tblGrid>
        <w:gridCol w:w="1890"/>
        <w:gridCol w:w="6570"/>
      </w:tblGrid>
      <w:tr w:rsidTr="00381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9.4)</w:t>
            </w:r>
          </w:p>
        </w:tc>
      </w:tr>
      <w:tr w:rsidTr="00381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This Competency Standard Unit shall be assessed by methods given in Volume 1, Part 3 “Assessment Guidelines”.</w:t>
            </w:r>
          </w:p>
          <w:p w:rsidR="00000000" w:rsidRPr="00335B74" w:rsidP="00335B74">
            <w:pPr>
              <w:pStyle w:val="BodyText"/>
            </w:pPr>
            <w:r w:rsidRPr="00335B74">
              <w:t>Note:</w:t>
            </w:r>
          </w:p>
          <w:p w:rsidR="00000000" w:rsidRPr="00335B74" w:rsidP="00335B74">
            <w:pPr>
              <w:pStyle w:val="BodyText"/>
            </w:pPr>
            <w:r w:rsidRPr="00335B74">
              <w:t>Competent performance with inherent safe working practices is expected in the Industry to which this Competency Standard Unit applies. This requires that the specified essential knowledge and associated skills are assessed in a structured environment which</w:t>
            </w:r>
            <w:r w:rsidRPr="00335B74">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335B74" w:rsidP="00335B74">
      <w:pPr>
        <w:pStyle w:val="BodyText"/>
      </w:pPr>
    </w:p>
    <w:tbl>
      <w:tblPr>
        <w:tblW w:w="0" w:type="auto"/>
        <w:tblLayout w:type="fixed"/>
        <w:tblCellMar>
          <w:left w:w="62" w:type="dxa"/>
          <w:right w:w="62" w:type="dxa"/>
        </w:tblCellMar>
        <w:tblLook w:val="0000"/>
      </w:tblPr>
      <w:tblGrid>
        <w:gridCol w:w="1890"/>
        <w:gridCol w:w="6570"/>
      </w:tblGrid>
      <w:tr w:rsidTr="00381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Concurrent assessment and relationship wi</w:t>
            </w:r>
            <w:r w:rsidRPr="00335B74">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9.5)</w:t>
            </w:r>
          </w:p>
        </w:tc>
      </w:tr>
      <w:tr w:rsidTr="003819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There are no recommended concurrencies for this unit.</w:t>
            </w:r>
          </w:p>
        </w:tc>
      </w:tr>
    </w:tbl>
    <w:p w:rsidR="00000000" w:rsidRPr="00335B74" w:rsidP="00335B74">
      <w:pPr>
        <w:pStyle w:val="BodyText"/>
      </w:pPr>
    </w:p>
    <w:p w:rsidR="00000000" w:rsidRPr="00335B74" w:rsidP="00335B74">
      <w:pPr>
        <w:pStyle w:val="AllowPageBreak"/>
      </w:pPr>
    </w:p>
    <w:p w:rsidR="00000000" w:rsidRPr="00335B74" w:rsidP="00335B74">
      <w:pPr>
        <w:pStyle w:val="Heading1"/>
      </w:pPr>
      <w:bookmarkStart w:id="11" w:name="O_463421"/>
      <w:bookmarkEnd w:id="11"/>
      <w:r w:rsidRPr="00335B74">
        <w:t>Range Statement</w:t>
      </w:r>
    </w:p>
    <w:tbl>
      <w:tblPr>
        <w:tblW w:w="0" w:type="auto"/>
        <w:tblLayout w:type="fixed"/>
        <w:tblCellMar>
          <w:left w:w="62" w:type="dxa"/>
          <w:right w:w="62" w:type="dxa"/>
        </w:tblCellMar>
        <w:tblLook w:val="0000"/>
      </w:tblPr>
      <w:tblGrid>
        <w:gridCol w:w="8460"/>
      </w:tblGrid>
      <w:tr w:rsidTr="003819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RANGE STATEMENT</w:t>
            </w:r>
          </w:p>
        </w:tc>
      </w:tr>
      <w:tr w:rsidTr="003819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10)</w:t>
            </w:r>
            <w:r w:rsidRPr="00335B74">
              <w:t xml:space="preserve"> This relates to the unit of competency as a whole providing the range of contexts and conditions </w:t>
            </w:r>
            <w:r w:rsidRPr="00335B74">
              <w:t>to which the Performance Criteria apply. It allows for different work environments and situations that will affect performance.</w:t>
            </w:r>
          </w:p>
          <w:p w:rsidR="00000000" w:rsidRPr="00335B74" w:rsidP="00335B74">
            <w:pPr>
              <w:pStyle w:val="BodyText"/>
            </w:pPr>
            <w:r w:rsidRPr="00335B74">
              <w:t>This Competency Standard Unit shall be demonstrated in relation to the design of public lighting systems and may include the fol</w:t>
            </w:r>
            <w:r w:rsidRPr="00335B74">
              <w:t>lowing equipment:</w:t>
            </w:r>
          </w:p>
          <w:p w:rsidR="00000000" w:rsidRPr="00335B74" w:rsidP="00335B74">
            <w:pPr>
              <w:pStyle w:val="BodyText"/>
            </w:pPr>
            <w:r w:rsidRPr="00335B74">
              <w:t>Pole (including wood, concrete, steel and composite) associated hardware including conductors (underground, bare wire and aerial bundle cable), LV Switchgear, lanterns, lamps, brackets, signage, supervisory cable, cable TV, Substations, r</w:t>
            </w:r>
            <w:r w:rsidRPr="00335B74">
              <w:t>elevant protection systems and associated civil works.</w:t>
            </w:r>
          </w:p>
          <w:p w:rsidR="00000000" w:rsidRPr="00335B74" w:rsidP="00335B74">
            <w:pPr>
              <w:pStyle w:val="BodyText"/>
            </w:pPr>
            <w:r w:rsidRPr="00335B74">
              <w:t>The following constants and variables included in the element/Performance Criteria in this unit are fully described in the Definitions Section 1 of this volume and form an integral part of the Range St</w:t>
            </w:r>
            <w:r w:rsidRPr="00335B74">
              <w:t>atement of this unit:</w:t>
            </w:r>
          </w:p>
          <w:p w:rsidR="00000000" w:rsidRPr="00335B74" w:rsidP="00335B74">
            <w:pPr>
              <w:pStyle w:val="ListBullet3"/>
            </w:pPr>
            <w:r w:rsidRPr="00335B74">
              <w:t>Appropriate and relevant persons (see Personnel)</w:t>
            </w:r>
          </w:p>
          <w:p w:rsidR="00000000" w:rsidRPr="00335B74" w:rsidP="00335B74">
            <w:pPr>
              <w:pStyle w:val="ListBullet3"/>
            </w:pPr>
            <w:r w:rsidRPr="00335B74">
              <w:t>Appropriate authorities</w:t>
            </w:r>
          </w:p>
          <w:p w:rsidR="00000000" w:rsidRPr="00335B74" w:rsidP="00335B74">
            <w:pPr>
              <w:pStyle w:val="ListBullet3"/>
            </w:pPr>
            <w:r w:rsidRPr="00335B74">
              <w:t>Appropriate work platform</w:t>
            </w:r>
          </w:p>
          <w:p w:rsidR="00000000" w:rsidRPr="00335B74" w:rsidP="00335B74">
            <w:pPr>
              <w:pStyle w:val="ListBullet3"/>
            </w:pPr>
            <w:r w:rsidRPr="00335B74">
              <w:t>Assessing risk</w:t>
            </w:r>
          </w:p>
          <w:p w:rsidR="00000000" w:rsidRPr="00335B74" w:rsidP="00335B74">
            <w:pPr>
              <w:pStyle w:val="ListBullet3"/>
            </w:pPr>
            <w:r w:rsidRPr="00335B74">
              <w:t>Assessment</w:t>
            </w:r>
          </w:p>
          <w:p w:rsidR="00000000" w:rsidRPr="00335B74" w:rsidP="00335B74">
            <w:pPr>
              <w:pStyle w:val="ListBullet3"/>
            </w:pPr>
            <w:r w:rsidRPr="00335B74">
              <w:t>Authorisation</w:t>
            </w:r>
          </w:p>
          <w:p w:rsidR="00000000" w:rsidRPr="00335B74" w:rsidP="00335B74">
            <w:pPr>
              <w:pStyle w:val="ListBullet3"/>
            </w:pPr>
            <w:r w:rsidRPr="00335B74">
              <w:t>Confined space</w:t>
            </w:r>
          </w:p>
          <w:p w:rsidR="00000000" w:rsidRPr="00335B74" w:rsidP="00335B74">
            <w:pPr>
              <w:pStyle w:val="ListBullet3"/>
            </w:pPr>
            <w:r w:rsidRPr="00335B74">
              <w:t>Diagnostic, testing and restoration</w:t>
            </w:r>
          </w:p>
          <w:p w:rsidR="00000000" w:rsidRPr="00335B74" w:rsidP="00335B74">
            <w:pPr>
              <w:pStyle w:val="ListBullet3"/>
            </w:pPr>
            <w:r w:rsidRPr="00335B74">
              <w:t>Documenting detail work events, record keep</w:t>
            </w:r>
            <w:r w:rsidRPr="00335B74">
              <w:t>ing and or storage of information</w:t>
            </w:r>
          </w:p>
          <w:p w:rsidR="00000000" w:rsidRPr="00335B74" w:rsidP="00335B74">
            <w:pPr>
              <w:pStyle w:val="ListBullet3"/>
            </w:pPr>
            <w:r w:rsidRPr="00335B74">
              <w:t>Drawings and specifications</w:t>
            </w:r>
          </w:p>
          <w:p w:rsidR="00000000" w:rsidRPr="00335B74" w:rsidP="00335B74">
            <w:pPr>
              <w:pStyle w:val="ListBullet3"/>
            </w:pPr>
            <w:r w:rsidRPr="00335B74">
              <w:t>Emergency</w:t>
            </w:r>
          </w:p>
          <w:p w:rsidR="00000000" w:rsidRPr="00335B74" w:rsidP="00335B74">
            <w:pPr>
              <w:pStyle w:val="ListBullet3"/>
            </w:pPr>
            <w:r w:rsidRPr="00335B74">
              <w:t>Environmental and sustainable energy procedures</w:t>
            </w:r>
          </w:p>
          <w:p w:rsidR="00000000" w:rsidRPr="00335B74" w:rsidP="00335B74">
            <w:pPr>
              <w:pStyle w:val="ListBullet3"/>
            </w:pPr>
            <w:r w:rsidRPr="00335B74">
              <w:t>Environmental legislation</w:t>
            </w:r>
          </w:p>
          <w:p w:rsidR="00000000" w:rsidRPr="00335B74" w:rsidP="00335B74">
            <w:pPr>
              <w:pStyle w:val="ListBullet3"/>
            </w:pPr>
            <w:r w:rsidRPr="00335B74">
              <w:t>Environmental management documentation</w:t>
            </w:r>
          </w:p>
          <w:p w:rsidR="00000000" w:rsidRPr="00335B74" w:rsidP="00335B74">
            <w:pPr>
              <w:pStyle w:val="ListBullet3"/>
            </w:pPr>
            <w:r w:rsidRPr="00335B74">
              <w:t>Established procedures</w:t>
            </w:r>
          </w:p>
          <w:p w:rsidR="00000000" w:rsidRPr="00335B74" w:rsidP="00335B74">
            <w:pPr>
              <w:pStyle w:val="ListBullet3"/>
            </w:pPr>
            <w:r w:rsidRPr="00335B74">
              <w:t>Fall prevention</w:t>
            </w:r>
          </w:p>
          <w:p w:rsidR="00000000" w:rsidRPr="00335B74" w:rsidP="00335B74">
            <w:pPr>
              <w:pStyle w:val="ListBullet3"/>
            </w:pPr>
            <w:r w:rsidRPr="00335B74">
              <w:t>Hazards</w:t>
            </w:r>
          </w:p>
          <w:p w:rsidR="00000000" w:rsidRPr="00335B74" w:rsidP="00335B74">
            <w:pPr>
              <w:pStyle w:val="ListBullet3"/>
            </w:pPr>
            <w:r w:rsidRPr="00335B74">
              <w:t>Identifying hazards</w:t>
            </w:r>
          </w:p>
          <w:p w:rsidR="00000000" w:rsidRPr="00335B74" w:rsidP="00335B74">
            <w:pPr>
              <w:pStyle w:val="ListBullet3"/>
            </w:pPr>
            <w:r w:rsidRPr="00335B74">
              <w:t>Inspect</w:t>
            </w:r>
          </w:p>
          <w:p w:rsidR="00000000" w:rsidRPr="00335B74" w:rsidP="00335B74">
            <w:pPr>
              <w:pStyle w:val="ListBullet3"/>
            </w:pPr>
            <w:r w:rsidRPr="00335B74">
              <w:t>Legislation</w:t>
            </w:r>
          </w:p>
          <w:p w:rsidR="00000000" w:rsidRPr="00335B74" w:rsidP="00335B74">
            <w:pPr>
              <w:pStyle w:val="ListBullet3"/>
            </w:pPr>
            <w:r w:rsidRPr="00335B74">
              <w:t>MSDS</w:t>
            </w:r>
          </w:p>
          <w:p w:rsidR="00000000" w:rsidRPr="00335B74" w:rsidP="00335B74">
            <w:pPr>
              <w:pStyle w:val="ListBullet3"/>
            </w:pPr>
            <w:r w:rsidRPr="00335B74">
              <w:t>Notification</w:t>
            </w:r>
          </w:p>
          <w:p w:rsidR="00000000" w:rsidRPr="00335B74" w:rsidP="00335B74">
            <w:pPr>
              <w:pStyle w:val="ListBullet3"/>
            </w:pPr>
            <w:r w:rsidRPr="00335B74">
              <w:t>OHS practices</w:t>
            </w:r>
          </w:p>
          <w:p w:rsidR="00000000" w:rsidRPr="00335B74" w:rsidP="00335B74">
            <w:pPr>
              <w:pStyle w:val="ListBullet3"/>
            </w:pPr>
            <w:r w:rsidRPr="00335B74">
              <w:t>OHS issues</w:t>
            </w:r>
          </w:p>
          <w:p w:rsidR="00000000" w:rsidRPr="00335B74" w:rsidP="00335B74">
            <w:pPr>
              <w:pStyle w:val="ListBullet3"/>
            </w:pPr>
            <w:r w:rsidRPr="00335B74">
              <w:t>Permits and/or permits to work</w:t>
            </w:r>
          </w:p>
          <w:p w:rsidR="00000000" w:rsidRPr="00335B74" w:rsidP="00335B74">
            <w:pPr>
              <w:pStyle w:val="ListBullet3"/>
            </w:pPr>
            <w:r w:rsidRPr="00335B74">
              <w:t>Personnel</w:t>
            </w:r>
          </w:p>
          <w:p w:rsidR="00000000" w:rsidRPr="00335B74" w:rsidP="00335B74">
            <w:pPr>
              <w:pStyle w:val="ListBullet3"/>
            </w:pPr>
            <w:r w:rsidRPr="00335B74">
              <w:t>Quality assurance systems</w:t>
            </w:r>
          </w:p>
          <w:p w:rsidR="00000000" w:rsidRPr="00335B74" w:rsidP="00335B74">
            <w:pPr>
              <w:pStyle w:val="ListBullet3"/>
            </w:pPr>
            <w:r w:rsidRPr="00335B74">
              <w:t>Requirements</w:t>
            </w:r>
          </w:p>
          <w:p w:rsidR="00000000" w:rsidRPr="00335B74" w:rsidP="00335B74">
            <w:pPr>
              <w:pStyle w:val="ListBullet3"/>
            </w:pPr>
            <w:r w:rsidRPr="00335B74">
              <w:t>Safe design principles</w:t>
            </w:r>
          </w:p>
          <w:p w:rsidR="00000000" w:rsidRPr="00335B74" w:rsidP="00335B74">
            <w:pPr>
              <w:pStyle w:val="ListBullet3"/>
            </w:pPr>
            <w:r w:rsidRPr="00335B74">
              <w:t>Testing procedures</w:t>
            </w:r>
          </w:p>
          <w:p w:rsidR="00000000" w:rsidRPr="00335B74" w:rsidP="00335B74">
            <w:pPr>
              <w:pStyle w:val="ListBullet3"/>
            </w:pPr>
            <w:r w:rsidRPr="00335B74">
              <w:t>Work clearance systems</w:t>
            </w:r>
          </w:p>
        </w:tc>
      </w:tr>
    </w:tbl>
    <w:p w:rsidR="00000000" w:rsidRPr="00335B74" w:rsidP="00335B74">
      <w:pPr>
        <w:pStyle w:val="BodyText"/>
      </w:pPr>
    </w:p>
    <w:p w:rsidR="00000000" w:rsidRPr="00335B74" w:rsidP="00335B74">
      <w:pPr>
        <w:pStyle w:val="AllowPageBreak"/>
      </w:pPr>
    </w:p>
    <w:p w:rsidR="00000000" w:rsidRPr="00335B74" w:rsidP="00335B74">
      <w:pPr>
        <w:pStyle w:val="Heading1"/>
      </w:pPr>
      <w:bookmarkStart w:id="12" w:name="O_463424"/>
      <w:bookmarkEnd w:id="12"/>
      <w:r w:rsidRPr="00335B74">
        <w:t>Unit Sector(s)</w:t>
      </w:r>
    </w:p>
    <w:p w:rsidR="00000000" w:rsidRPr="00335B74" w:rsidP="00335B74">
      <w:pPr>
        <w:pStyle w:val="BodyText"/>
      </w:pPr>
      <w:r w:rsidRPr="00335B74">
        <w:t>Not applicable.</w:t>
      </w:r>
    </w:p>
    <w:p w:rsidR="00000000" w:rsidRPr="00335B74" w:rsidP="00335B74">
      <w:pPr>
        <w:pStyle w:val="AllowPageBreak"/>
      </w:pPr>
    </w:p>
    <w:p w:rsidR="00000000" w:rsidRPr="00335B74" w:rsidP="00335B74">
      <w:pPr>
        <w:pStyle w:val="Heading1"/>
      </w:pPr>
      <w:bookmarkStart w:id="13" w:name="O_463413"/>
      <w:bookmarkEnd w:id="13"/>
      <w:r w:rsidRPr="00335B74">
        <w:t>Competency Field</w:t>
      </w:r>
    </w:p>
    <w:tbl>
      <w:tblPr>
        <w:tblW w:w="0" w:type="auto"/>
        <w:tblLayout w:type="fixed"/>
        <w:tblCellMar>
          <w:left w:w="62" w:type="dxa"/>
          <w:right w:w="62" w:type="dxa"/>
        </w:tblCellMar>
        <w:tblLook w:val="0000"/>
      </w:tblPr>
      <w:tblGrid>
        <w:gridCol w:w="2700"/>
        <w:gridCol w:w="5760"/>
      </w:tblGrid>
      <w:tr w:rsidTr="00381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35B74">
            <w:pPr>
              <w:pStyle w:val="BodyText"/>
              <w:rPr>
                <w:lang w:val="en-NZ"/>
              </w:rPr>
            </w:pPr>
            <w:r w:rsidRPr="00335B74">
              <w:rPr>
                <w:rStyle w:val="SpecialBold"/>
              </w:rPr>
              <w:t xml:space="preserve">11) </w:t>
            </w:r>
          </w:p>
        </w:tc>
      </w:tr>
      <w:tr w:rsidTr="0038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5B74" w:rsidP="00335B74">
            <w:pPr>
              <w:pStyle w:val="BodyText"/>
            </w:pPr>
            <w:r w:rsidRPr="00335B74">
              <w:t>Design.</w:t>
            </w:r>
          </w:p>
        </w:tc>
      </w:tr>
    </w:tbl>
    <w:p w:rsidR="00000000" w:rsidRPr="00335B74" w:rsidP="00335B74">
      <w:pPr>
        <w:pStyle w:val="BodyText"/>
      </w:pPr>
    </w:p>
    <w:p w:rsidR="00000000" w:rsidRPr="00335B74" w:rsidP="00335B74"/>
    <w:sectPr w:rsidSect="00335B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95F" w:rsidP="00381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95F" w:rsidP="00335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8195F" w:rsidP="00335B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8195F" w:rsidP="00335B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95F" w:rsidP="003819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95F" w:rsidP="00335B74">
    <w:pPr>
      <w:pStyle w:val="Header"/>
      <w:framePr w:wrap="around"/>
    </w:pPr>
    <w:r>
      <w:fldChar w:fldCharType="begin"/>
    </w:r>
    <w:r>
      <w:instrText xml:space="preserve"> TITLE   \* MERGEFORMAT </w:instrText>
    </w:r>
    <w:r>
      <w:fldChar w:fldCharType="separate"/>
    </w:r>
    <w:r>
      <w:t>UETTDRDS38A Design power system public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195F" w:rsidP="00335B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36E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BEFD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DA6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B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5B74"/>
    <w:pPr>
      <w:spacing w:before="360" w:after="60"/>
      <w:outlineLvl w:val="0"/>
    </w:pPr>
    <w:rPr>
      <w:sz w:val="32"/>
    </w:rPr>
  </w:style>
  <w:style w:type="paragraph" w:styleId="Heading2">
    <w:name w:val="heading 2"/>
    <w:basedOn w:val="HeadingBase"/>
    <w:next w:val="BodyText"/>
    <w:link w:val="Heading2Char"/>
    <w:qFormat/>
    <w:rsid w:val="00335B74"/>
    <w:pPr>
      <w:keepLines/>
      <w:spacing w:before="240" w:after="120"/>
      <w:outlineLvl w:val="1"/>
    </w:pPr>
    <w:rPr>
      <w:sz w:val="28"/>
      <w:szCs w:val="40"/>
    </w:rPr>
  </w:style>
  <w:style w:type="paragraph" w:styleId="Heading3">
    <w:name w:val="heading 3"/>
    <w:basedOn w:val="HeadingBase"/>
    <w:next w:val="BodyText"/>
    <w:link w:val="Heading3Char"/>
    <w:qFormat/>
    <w:rsid w:val="00335B74"/>
    <w:pPr>
      <w:spacing w:before="180" w:after="120"/>
      <w:outlineLvl w:val="2"/>
    </w:pPr>
    <w:rPr>
      <w:spacing w:val="-10"/>
      <w:kern w:val="32"/>
    </w:rPr>
  </w:style>
  <w:style w:type="paragraph" w:styleId="Heading4">
    <w:name w:val="heading 4"/>
    <w:basedOn w:val="HeadingBase"/>
    <w:next w:val="BodyText"/>
    <w:link w:val="Heading4Char"/>
    <w:qFormat/>
    <w:rsid w:val="00335B74"/>
    <w:pPr>
      <w:spacing w:before="160" w:after="120"/>
      <w:outlineLvl w:val="3"/>
    </w:pPr>
    <w:rPr>
      <w:sz w:val="22"/>
    </w:rPr>
  </w:style>
  <w:style w:type="paragraph" w:styleId="Heading5">
    <w:name w:val="heading 5"/>
    <w:basedOn w:val="HeadingBase"/>
    <w:next w:val="Normal"/>
    <w:link w:val="Heading5Char"/>
    <w:qFormat/>
    <w:rsid w:val="00335B74"/>
    <w:pPr>
      <w:spacing w:before="80"/>
      <w:outlineLvl w:val="4"/>
    </w:pPr>
    <w:rPr>
      <w:color w:val="918585"/>
      <w:sz w:val="20"/>
    </w:rPr>
  </w:style>
  <w:style w:type="paragraph" w:styleId="Heading6">
    <w:name w:val="heading 6"/>
    <w:basedOn w:val="HeadingBase"/>
    <w:next w:val="Normal"/>
    <w:link w:val="Heading6Char"/>
    <w:qFormat/>
    <w:rsid w:val="00335B74"/>
    <w:pPr>
      <w:spacing w:before="60"/>
      <w:outlineLvl w:val="5"/>
    </w:pPr>
    <w:rPr>
      <w:color w:val="918585"/>
      <w:sz w:val="20"/>
    </w:rPr>
  </w:style>
  <w:style w:type="paragraph" w:styleId="Heading7">
    <w:name w:val="heading 7"/>
    <w:basedOn w:val="Normal"/>
    <w:next w:val="Normal"/>
    <w:link w:val="Heading7Char"/>
    <w:qFormat/>
    <w:rsid w:val="00335B74"/>
    <w:pPr>
      <w:ind w:left="720"/>
      <w:outlineLvl w:val="6"/>
    </w:pPr>
    <w:rPr>
      <w:i/>
    </w:rPr>
  </w:style>
  <w:style w:type="paragraph" w:styleId="Heading8">
    <w:name w:val="heading 8"/>
    <w:basedOn w:val="Normal"/>
    <w:next w:val="Normal"/>
    <w:link w:val="Heading8Char"/>
    <w:qFormat/>
    <w:rsid w:val="00335B74"/>
    <w:pPr>
      <w:ind w:left="720"/>
      <w:outlineLvl w:val="7"/>
    </w:pPr>
    <w:rPr>
      <w:i/>
    </w:rPr>
  </w:style>
  <w:style w:type="paragraph" w:styleId="Heading9">
    <w:name w:val="heading 9"/>
    <w:basedOn w:val="Normal"/>
    <w:next w:val="Normal"/>
    <w:link w:val="Heading9Char"/>
    <w:qFormat/>
    <w:rsid w:val="00335B74"/>
    <w:pPr>
      <w:ind w:left="720"/>
      <w:outlineLvl w:val="8"/>
    </w:pPr>
    <w:rPr>
      <w:i/>
    </w:rPr>
  </w:style>
  <w:style w:type="character" w:default="1" w:styleId="DefaultParagraphFont">
    <w:name w:val="Default Paragraph Font"/>
    <w:uiPriority w:val="1"/>
    <w:unhideWhenUsed/>
    <w:rsid w:val="00335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B74"/>
  </w:style>
  <w:style w:type="character" w:customStyle="1" w:styleId="Heading1Char">
    <w:name w:val="Heading 1 Char"/>
    <w:link w:val="Heading1"/>
    <w:rsid w:val="00335B74"/>
    <w:rPr>
      <w:rFonts w:ascii="Times New Roman" w:eastAsia="Times New Roman" w:hAnsi="Times New Roman" w:cs="Times New Roman"/>
      <w:b/>
      <w:sz w:val="32"/>
      <w:szCs w:val="20"/>
      <w:lang w:eastAsia="en-US"/>
    </w:rPr>
  </w:style>
  <w:style w:type="paragraph" w:styleId="BodyText">
    <w:name w:val="Body Text"/>
    <w:basedOn w:val="Normal"/>
    <w:link w:val="BodyTextChar"/>
    <w:rsid w:val="00335B74"/>
    <w:pPr>
      <w:spacing w:before="120" w:after="120"/>
      <w:contextualSpacing/>
    </w:pPr>
    <w:rPr>
      <w:rFonts w:ascii="Times New Roman" w:hAnsi="Times New Roman"/>
      <w:sz w:val="24"/>
      <w:szCs w:val="22"/>
    </w:rPr>
  </w:style>
  <w:style w:type="character" w:customStyle="1" w:styleId="BodyTextChar">
    <w:name w:val="Body Text Char"/>
    <w:link w:val="BodyText"/>
    <w:rsid w:val="00335B74"/>
    <w:rPr>
      <w:rFonts w:ascii="Times New Roman" w:eastAsia="Times New Roman" w:hAnsi="Times New Roman" w:cs="Times New Roman"/>
      <w:sz w:val="24"/>
      <w:lang w:val="en-US" w:eastAsia="en-US"/>
    </w:rPr>
  </w:style>
  <w:style w:type="paragraph" w:styleId="Footer">
    <w:name w:val="footer"/>
    <w:basedOn w:val="Normal"/>
    <w:link w:val="FooterChar"/>
    <w:rsid w:val="00335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5B74"/>
    <w:rPr>
      <w:rFonts w:ascii="Times New Roman" w:eastAsia="Times New Roman" w:hAnsi="Times New Roman" w:cs="Times New Roman"/>
      <w:sz w:val="16"/>
      <w:lang w:val="en-US" w:eastAsia="en-US"/>
    </w:rPr>
  </w:style>
  <w:style w:type="paragraph" w:styleId="ListBullet">
    <w:name w:val="List Bullet"/>
    <w:basedOn w:val="List"/>
    <w:rsid w:val="00335B74"/>
    <w:pPr>
      <w:numPr>
        <w:numId w:val="14"/>
      </w:numPr>
      <w:tabs>
        <w:tab w:val="clear" w:pos="340"/>
      </w:tabs>
      <w:spacing w:before="40" w:after="40"/>
    </w:pPr>
  </w:style>
  <w:style w:type="character" w:customStyle="1" w:styleId="SpecialBold">
    <w:name w:val="Special Bold"/>
    <w:rsid w:val="00335B74"/>
    <w:rPr>
      <w:b/>
      <w:spacing w:val="0"/>
    </w:rPr>
  </w:style>
  <w:style w:type="paragraph" w:styleId="ListBullet2">
    <w:name w:val="List Bullet 2"/>
    <w:basedOn w:val="List2"/>
    <w:rsid w:val="00335B74"/>
    <w:pPr>
      <w:numPr>
        <w:numId w:val="15"/>
      </w:numPr>
      <w:tabs>
        <w:tab w:val="clear" w:pos="680"/>
      </w:tabs>
    </w:pPr>
  </w:style>
  <w:style w:type="paragraph" w:styleId="Header">
    <w:name w:val="header"/>
    <w:basedOn w:val="Normal"/>
    <w:link w:val="HeaderChar"/>
    <w:rsid w:val="00335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5B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5B74"/>
    <w:pPr>
      <w:spacing w:before="240" w:after="120"/>
      <w:outlineLvl w:val="0"/>
    </w:pPr>
    <w:rPr>
      <w:rFonts w:ascii="Times New Roman" w:hAnsi="Times New Roman"/>
      <w:b/>
      <w:sz w:val="28"/>
    </w:rPr>
  </w:style>
  <w:style w:type="paragraph" w:customStyle="1" w:styleId="AllowPageBreak">
    <w:name w:val="AllowPageBreak"/>
    <w:rsid w:val="00335B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5B74"/>
    <w:pPr>
      <w:numPr>
        <w:numId w:val="3"/>
      </w:numPr>
      <w:tabs>
        <w:tab w:val="clear" w:pos="1021"/>
      </w:tabs>
      <w:ind w:left="1037" w:hanging="357"/>
    </w:pPr>
  </w:style>
  <w:style w:type="character" w:customStyle="1" w:styleId="Heading2Char">
    <w:name w:val="Heading 2 Char"/>
    <w:link w:val="Heading2"/>
    <w:rsid w:val="00335B74"/>
    <w:rPr>
      <w:rFonts w:ascii="Times New Roman" w:eastAsia="Times New Roman" w:hAnsi="Times New Roman" w:cs="Times New Roman"/>
      <w:b/>
      <w:sz w:val="28"/>
      <w:szCs w:val="40"/>
      <w:lang w:eastAsia="en-US"/>
    </w:rPr>
  </w:style>
  <w:style w:type="character" w:customStyle="1" w:styleId="Heading3Char">
    <w:name w:val="Heading 3 Char"/>
    <w:link w:val="Heading3"/>
    <w:rsid w:val="00335B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5B74"/>
    <w:rPr>
      <w:rFonts w:ascii="Times New Roman" w:eastAsia="Times New Roman" w:hAnsi="Times New Roman" w:cs="Times New Roman"/>
      <w:b/>
      <w:szCs w:val="20"/>
      <w:lang w:eastAsia="en-US"/>
    </w:rPr>
  </w:style>
  <w:style w:type="character" w:customStyle="1" w:styleId="Heading5Char">
    <w:name w:val="Heading 5 Char"/>
    <w:link w:val="Heading5"/>
    <w:rsid w:val="00335B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5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B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5B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5B74"/>
    <w:rPr>
      <w:rFonts w:ascii="Courier New" w:eastAsia="Times New Roman" w:hAnsi="Courier New" w:cs="Times New Roman"/>
      <w:i/>
      <w:szCs w:val="20"/>
      <w:lang w:val="en-US" w:eastAsia="en-US"/>
    </w:rPr>
  </w:style>
  <w:style w:type="paragraph" w:customStyle="1" w:styleId="HeadingBase">
    <w:name w:val="Heading Base"/>
    <w:rsid w:val="00335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B74"/>
    <w:pPr>
      <w:tabs>
        <w:tab w:val="right" w:leader="dot" w:pos="9072"/>
      </w:tabs>
      <w:ind w:left="567"/>
    </w:pPr>
    <w:rPr>
      <w:szCs w:val="22"/>
    </w:rPr>
  </w:style>
  <w:style w:type="paragraph" w:customStyle="1" w:styleId="TOCBase">
    <w:name w:val="TOC Base"/>
    <w:rsid w:val="00335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B74"/>
    <w:pPr>
      <w:tabs>
        <w:tab w:val="right" w:leader="dot" w:pos="9072"/>
      </w:tabs>
      <w:spacing w:before="40" w:after="40"/>
      <w:ind w:left="284"/>
    </w:pPr>
    <w:rPr>
      <w:rFonts w:ascii="Times New Roman" w:hAnsi="Times New Roman"/>
    </w:rPr>
  </w:style>
  <w:style w:type="paragraph" w:styleId="TOC1">
    <w:name w:val="toc 1"/>
    <w:basedOn w:val="TOCBase"/>
    <w:next w:val="Normal"/>
    <w:rsid w:val="00335B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5B74"/>
    <w:pPr>
      <w:spacing w:before="5040"/>
      <w:jc w:val="center"/>
    </w:pPr>
    <w:rPr>
      <w:sz w:val="48"/>
      <w:szCs w:val="72"/>
      <w:lang w:val="en-US"/>
    </w:rPr>
  </w:style>
  <w:style w:type="character" w:customStyle="1" w:styleId="TitleChar">
    <w:name w:val="Title Char"/>
    <w:link w:val="Title"/>
    <w:rsid w:val="00335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B74"/>
    <w:pPr>
      <w:tabs>
        <w:tab w:val="left" w:pos="3600"/>
        <w:tab w:val="left" w:pos="3958"/>
      </w:tabs>
    </w:pPr>
  </w:style>
  <w:style w:type="paragraph" w:styleId="List">
    <w:name w:val="List"/>
    <w:basedOn w:val="BodyText"/>
    <w:next w:val="BodyText"/>
    <w:rsid w:val="00335B74"/>
    <w:pPr>
      <w:tabs>
        <w:tab w:val="left" w:pos="340"/>
      </w:tabs>
      <w:spacing w:before="60" w:after="60"/>
      <w:ind w:left="340" w:hanging="340"/>
    </w:pPr>
  </w:style>
  <w:style w:type="paragraph" w:customStyle="1" w:styleId="Note">
    <w:name w:val="Note"/>
    <w:basedOn w:val="BodyText"/>
    <w:rsid w:val="00335B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B74"/>
    <w:pPr>
      <w:framePr w:wrap="auto" w:hAnchor="text" w:y="6049"/>
    </w:pPr>
    <w:rPr>
      <w:color w:val="000000"/>
      <w:sz w:val="40"/>
    </w:rPr>
  </w:style>
  <w:style w:type="paragraph" w:customStyle="1" w:styleId="TOCTitle">
    <w:name w:val="TOCTitle"/>
    <w:basedOn w:val="Heading1"/>
    <w:rsid w:val="00335B74"/>
    <w:pPr>
      <w:spacing w:after="240"/>
      <w:jc w:val="center"/>
      <w:outlineLvl w:val="9"/>
    </w:pPr>
    <w:rPr>
      <w:caps/>
    </w:rPr>
  </w:style>
  <w:style w:type="paragraph" w:customStyle="1" w:styleId="Version">
    <w:name w:val="Version"/>
    <w:rsid w:val="00335B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B74"/>
    <w:pPr>
      <w:keepNext w:val="0"/>
      <w:tabs>
        <w:tab w:val="right" w:pos="4176"/>
      </w:tabs>
      <w:ind w:left="198" w:hanging="198"/>
    </w:pPr>
    <w:rPr>
      <w:rFonts w:ascii="Garamond" w:hAnsi="Garamond"/>
    </w:rPr>
  </w:style>
  <w:style w:type="paragraph" w:styleId="IndexHeading">
    <w:name w:val="index heading"/>
    <w:basedOn w:val="Normal"/>
    <w:next w:val="Index1"/>
    <w:semiHidden/>
    <w:rsid w:val="00335B74"/>
    <w:pPr>
      <w:spacing w:before="120" w:after="120"/>
    </w:pPr>
    <w:rPr>
      <w:rFonts w:ascii="Arial" w:hAnsi="Arial"/>
      <w:b/>
      <w:color w:val="918585"/>
      <w:sz w:val="24"/>
    </w:rPr>
  </w:style>
  <w:style w:type="paragraph" w:customStyle="1" w:styleId="Chapter">
    <w:name w:val="Chapter"/>
    <w:basedOn w:val="Normal"/>
    <w:rsid w:val="00335B74"/>
    <w:pPr>
      <w:spacing w:before="240"/>
    </w:pPr>
    <w:rPr>
      <w:rFonts w:ascii="Times New Roman" w:hAnsi="Times New Roman"/>
      <w:smallCaps/>
      <w:spacing w:val="80"/>
      <w:sz w:val="28"/>
    </w:rPr>
  </w:style>
  <w:style w:type="paragraph" w:customStyle="1" w:styleId="InChapter">
    <w:name w:val="InChapter"/>
    <w:basedOn w:val="Heading3"/>
    <w:rsid w:val="00335B74"/>
    <w:pPr>
      <w:spacing w:after="240"/>
      <w:outlineLvl w:val="9"/>
    </w:pPr>
    <w:rPr>
      <w:noProof/>
    </w:rPr>
  </w:style>
  <w:style w:type="paragraph" w:styleId="Index2">
    <w:name w:val="index 2"/>
    <w:basedOn w:val="Normal"/>
    <w:next w:val="Normal"/>
    <w:semiHidden/>
    <w:rsid w:val="00335B74"/>
    <w:pPr>
      <w:tabs>
        <w:tab w:val="right" w:pos="4176"/>
      </w:tabs>
      <w:ind w:left="568" w:hanging="284"/>
    </w:pPr>
    <w:rPr>
      <w:rFonts w:ascii="Garamond" w:hAnsi="Garamond"/>
    </w:rPr>
  </w:style>
  <w:style w:type="paragraph" w:customStyle="1" w:styleId="Byline">
    <w:name w:val="Byline"/>
    <w:rsid w:val="00335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B74"/>
    <w:pPr>
      <w:tabs>
        <w:tab w:val="clear" w:pos="3600"/>
        <w:tab w:val="clear" w:pos="3958"/>
      </w:tabs>
      <w:jc w:val="right"/>
    </w:pPr>
  </w:style>
  <w:style w:type="character" w:styleId="Emphasis">
    <w:name w:val="Emphasis"/>
    <w:qFormat/>
    <w:rsid w:val="00335B74"/>
    <w:rPr>
      <w:i/>
    </w:rPr>
  </w:style>
  <w:style w:type="paragraph" w:styleId="Caption">
    <w:name w:val="caption"/>
    <w:basedOn w:val="BodyText"/>
    <w:next w:val="Normal"/>
    <w:qFormat/>
    <w:rsid w:val="00335B74"/>
    <w:pPr>
      <w:framePr w:w="2268" w:hSpace="181" w:vSpace="181" w:wrap="around" w:vAnchor="text" w:hAnchor="page" w:x="1135" w:y="285" w:anchorLock="1"/>
    </w:pPr>
    <w:rPr>
      <w:i/>
    </w:rPr>
  </w:style>
  <w:style w:type="paragraph" w:customStyle="1" w:styleId="MiniTOCTitle">
    <w:name w:val="MiniTOCTitle"/>
    <w:basedOn w:val="Heading4"/>
    <w:rsid w:val="00335B74"/>
    <w:pPr>
      <w:spacing w:before="240"/>
      <w:outlineLvl w:val="9"/>
    </w:pPr>
    <w:rPr>
      <w:noProof/>
      <w:sz w:val="24"/>
    </w:rPr>
  </w:style>
  <w:style w:type="paragraph" w:customStyle="1" w:styleId="MiniTOCItem">
    <w:name w:val="MiniTOCItem"/>
    <w:basedOn w:val="ListBullet"/>
    <w:rsid w:val="00335B74"/>
    <w:pPr>
      <w:numPr>
        <w:numId w:val="0"/>
      </w:numPr>
      <w:tabs>
        <w:tab w:val="right" w:leader="dot" w:pos="6521"/>
      </w:tabs>
      <w:spacing w:before="0" w:after="0"/>
    </w:pPr>
  </w:style>
  <w:style w:type="paragraph" w:customStyle="1" w:styleId="TOFTitle">
    <w:name w:val="TOFTitle"/>
    <w:basedOn w:val="TOCTitle"/>
    <w:rsid w:val="00335B74"/>
  </w:style>
  <w:style w:type="paragraph" w:styleId="TableofFigures">
    <w:name w:val="table of figures"/>
    <w:basedOn w:val="Normal"/>
    <w:next w:val="Normal"/>
    <w:semiHidden/>
    <w:rsid w:val="00335B74"/>
    <w:pPr>
      <w:tabs>
        <w:tab w:val="right" w:leader="dot" w:pos="9072"/>
      </w:tabs>
      <w:ind w:left="970" w:hanging="403"/>
    </w:pPr>
    <w:rPr>
      <w:rFonts w:ascii="Times New Roman" w:hAnsi="Times New Roman"/>
      <w:b/>
    </w:rPr>
  </w:style>
  <w:style w:type="paragraph" w:styleId="ListNumber">
    <w:name w:val="List Number"/>
    <w:basedOn w:val="List"/>
    <w:rsid w:val="00335B74"/>
    <w:pPr>
      <w:numPr>
        <w:numId w:val="12"/>
      </w:numPr>
    </w:pPr>
  </w:style>
  <w:style w:type="character" w:customStyle="1" w:styleId="WingdingSymbols">
    <w:name w:val="Wingding Symbols"/>
    <w:rsid w:val="00335B74"/>
    <w:rPr>
      <w:rFonts w:ascii="Wingdings" w:hAnsi="Wingdings"/>
    </w:rPr>
  </w:style>
  <w:style w:type="paragraph" w:customStyle="1" w:styleId="TableHeading">
    <w:name w:val="Table Heading"/>
    <w:basedOn w:val="HeadingBase"/>
    <w:rsid w:val="00335B74"/>
    <w:pPr>
      <w:keepLines/>
      <w:pBdr>
        <w:bottom w:val="single" w:sz="6" w:space="1" w:color="918585"/>
      </w:pBdr>
      <w:spacing w:before="240"/>
    </w:pPr>
  </w:style>
  <w:style w:type="character" w:customStyle="1" w:styleId="HotSpot">
    <w:name w:val="HotSpot"/>
    <w:rsid w:val="00335B74"/>
    <w:rPr>
      <w:color w:val="0033CC"/>
      <w:u w:val="none"/>
    </w:rPr>
  </w:style>
  <w:style w:type="paragraph" w:customStyle="1" w:styleId="BodyTextRight">
    <w:name w:val="Body Text Right"/>
    <w:basedOn w:val="BodyText"/>
    <w:rsid w:val="00335B74"/>
    <w:pPr>
      <w:spacing w:before="0" w:after="0"/>
      <w:jc w:val="right"/>
    </w:pPr>
  </w:style>
  <w:style w:type="paragraph" w:styleId="Index3">
    <w:name w:val="index 3"/>
    <w:basedOn w:val="ListNumber2"/>
    <w:next w:val="Normal"/>
    <w:semiHidden/>
    <w:rsid w:val="00335B74"/>
    <w:pPr>
      <w:numPr>
        <w:numId w:val="0"/>
      </w:numPr>
      <w:tabs>
        <w:tab w:val="right" w:leader="dot" w:pos="4176"/>
      </w:tabs>
    </w:pPr>
  </w:style>
  <w:style w:type="paragraph" w:styleId="ListNumber2">
    <w:name w:val="List Number 2"/>
    <w:basedOn w:val="List2"/>
    <w:rsid w:val="00335B74"/>
    <w:pPr>
      <w:numPr>
        <w:numId w:val="11"/>
      </w:numPr>
      <w:tabs>
        <w:tab w:val="clear" w:pos="1060"/>
      </w:tabs>
    </w:pPr>
  </w:style>
  <w:style w:type="paragraph" w:customStyle="1" w:styleId="MarginNote">
    <w:name w:val="Margin Note"/>
    <w:basedOn w:val="BodyText"/>
    <w:rsid w:val="00335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5B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5B74"/>
    <w:rPr>
      <w:sz w:val="32"/>
    </w:rPr>
  </w:style>
  <w:style w:type="paragraph" w:customStyle="1" w:styleId="HeadingProcedure">
    <w:name w:val="Heading Procedure"/>
    <w:basedOn w:val="HeadingBase"/>
    <w:next w:val="Normal"/>
    <w:rsid w:val="00335B74"/>
    <w:pPr>
      <w:tabs>
        <w:tab w:val="left" w:pos="0"/>
      </w:tabs>
      <w:spacing w:before="120" w:after="60"/>
    </w:pPr>
    <w:rPr>
      <w:i/>
      <w:color w:val="918585"/>
      <w:sz w:val="22"/>
    </w:rPr>
  </w:style>
  <w:style w:type="paragraph" w:customStyle="1" w:styleId="TableBodyText">
    <w:name w:val="Table Body Text"/>
    <w:basedOn w:val="BodyText"/>
    <w:rsid w:val="00335B74"/>
    <w:pPr>
      <w:spacing w:before="60" w:after="60"/>
    </w:pPr>
  </w:style>
  <w:style w:type="paragraph" w:styleId="ListContinue">
    <w:name w:val="List Continue"/>
    <w:basedOn w:val="List"/>
    <w:rsid w:val="00335B74"/>
    <w:pPr>
      <w:ind w:firstLine="0"/>
    </w:pPr>
  </w:style>
  <w:style w:type="paragraph" w:customStyle="1" w:styleId="ListNote">
    <w:name w:val="List Note"/>
    <w:basedOn w:val="List"/>
    <w:rsid w:val="00335B74"/>
    <w:pPr>
      <w:pBdr>
        <w:top w:val="single" w:sz="6" w:space="2" w:color="918585"/>
        <w:bottom w:val="single" w:sz="6" w:space="2" w:color="918585"/>
      </w:pBdr>
      <w:tabs>
        <w:tab w:val="left" w:pos="1021"/>
      </w:tabs>
      <w:ind w:firstLine="0"/>
    </w:pPr>
  </w:style>
  <w:style w:type="paragraph" w:customStyle="1" w:styleId="Warning">
    <w:name w:val="Warning"/>
    <w:basedOn w:val="BodyText"/>
    <w:rsid w:val="00335B74"/>
    <w:pPr>
      <w:shd w:val="clear" w:color="auto" w:fill="D9D9D9"/>
      <w:tabs>
        <w:tab w:val="left" w:pos="992"/>
      </w:tabs>
      <w:ind w:left="119" w:right="119"/>
    </w:pPr>
    <w:rPr>
      <w:sz w:val="20"/>
    </w:rPr>
  </w:style>
  <w:style w:type="paragraph" w:customStyle="1" w:styleId="MarginIcons">
    <w:name w:val="Margin Icons"/>
    <w:basedOn w:val="BodyText"/>
    <w:rsid w:val="00335B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5B74"/>
    <w:rPr>
      <w:rFonts w:ascii="Courier New" w:hAnsi="Courier New"/>
    </w:rPr>
  </w:style>
  <w:style w:type="paragraph" w:customStyle="1" w:styleId="NoteBullet">
    <w:name w:val="Note Bullet"/>
    <w:basedOn w:val="Note"/>
    <w:rsid w:val="00335B74"/>
    <w:pPr>
      <w:tabs>
        <w:tab w:val="clear" w:pos="680"/>
      </w:tabs>
      <w:spacing w:before="60" w:after="60"/>
    </w:pPr>
  </w:style>
  <w:style w:type="paragraph" w:customStyle="1" w:styleId="SubHeading2">
    <w:name w:val="SubHeading2"/>
    <w:basedOn w:val="HeadingBase"/>
    <w:rsid w:val="00335B74"/>
    <w:pPr>
      <w:spacing w:before="240" w:after="60"/>
    </w:pPr>
    <w:rPr>
      <w:sz w:val="20"/>
    </w:rPr>
  </w:style>
  <w:style w:type="paragraph" w:customStyle="1" w:styleId="SubHeading1">
    <w:name w:val="SubHeading1"/>
    <w:basedOn w:val="HeadingBase"/>
    <w:rsid w:val="00335B74"/>
    <w:pPr>
      <w:spacing w:before="240" w:after="60"/>
    </w:pPr>
    <w:rPr>
      <w:color w:val="918585"/>
      <w:sz w:val="22"/>
    </w:rPr>
  </w:style>
  <w:style w:type="paragraph" w:customStyle="1" w:styleId="SideHeading">
    <w:name w:val="Side Heading"/>
    <w:basedOn w:val="HeadingBase"/>
    <w:rsid w:val="00335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B74"/>
    <w:pPr>
      <w:numPr>
        <w:numId w:val="13"/>
      </w:numPr>
    </w:pPr>
  </w:style>
  <w:style w:type="paragraph" w:styleId="PlainText">
    <w:name w:val="Plain Text"/>
    <w:basedOn w:val="Normal"/>
    <w:link w:val="PlainTextChar"/>
    <w:rsid w:val="00335B74"/>
    <w:rPr>
      <w:sz w:val="20"/>
    </w:rPr>
  </w:style>
  <w:style w:type="character" w:customStyle="1" w:styleId="PlainTextChar">
    <w:name w:val="Plain Text Char"/>
    <w:basedOn w:val="DefaultParagraphFont"/>
    <w:link w:val="PlainText"/>
    <w:rsid w:val="00335B74"/>
    <w:rPr>
      <w:rFonts w:ascii="Courier New" w:eastAsia="Times New Roman" w:hAnsi="Courier New" w:cs="Times New Roman"/>
      <w:sz w:val="20"/>
      <w:szCs w:val="20"/>
      <w:lang w:val="en-US" w:eastAsia="en-US"/>
    </w:rPr>
  </w:style>
  <w:style w:type="character" w:customStyle="1" w:styleId="MenuOption">
    <w:name w:val="Menu Option"/>
    <w:rsid w:val="00335B74"/>
    <w:rPr>
      <w:b/>
      <w:smallCaps/>
    </w:rPr>
  </w:style>
  <w:style w:type="paragraph" w:customStyle="1" w:styleId="TableListNumber">
    <w:name w:val="Table List Number"/>
    <w:basedOn w:val="ListNumber"/>
    <w:rsid w:val="00335B74"/>
    <w:pPr>
      <w:numPr>
        <w:numId w:val="0"/>
      </w:numPr>
    </w:pPr>
  </w:style>
  <w:style w:type="paragraph" w:styleId="TOC4">
    <w:name w:val="toc 4"/>
    <w:basedOn w:val="TOCBase"/>
    <w:next w:val="Normal"/>
    <w:semiHidden/>
    <w:rsid w:val="00335B74"/>
    <w:pPr>
      <w:tabs>
        <w:tab w:val="right" w:leader="dot" w:pos="9071"/>
      </w:tabs>
      <w:ind w:left="1701"/>
    </w:pPr>
  </w:style>
  <w:style w:type="paragraph" w:customStyle="1" w:styleId="ListAlpha">
    <w:name w:val="List Alpha"/>
    <w:basedOn w:val="List"/>
    <w:rsid w:val="00335B74"/>
    <w:pPr>
      <w:numPr>
        <w:numId w:val="10"/>
      </w:numPr>
    </w:pPr>
  </w:style>
  <w:style w:type="paragraph" w:customStyle="1" w:styleId="ListAlpha2">
    <w:name w:val="List Alpha 2"/>
    <w:basedOn w:val="List2"/>
    <w:rsid w:val="00335B74"/>
    <w:pPr>
      <w:numPr>
        <w:numId w:val="9"/>
      </w:numPr>
    </w:pPr>
  </w:style>
  <w:style w:type="paragraph" w:styleId="List2">
    <w:name w:val="List 2"/>
    <w:basedOn w:val="BodyText"/>
    <w:rsid w:val="00335B74"/>
    <w:pPr>
      <w:tabs>
        <w:tab w:val="left" w:pos="680"/>
      </w:tabs>
      <w:spacing w:before="60" w:after="60"/>
      <w:ind w:left="680" w:hanging="340"/>
    </w:pPr>
  </w:style>
  <w:style w:type="paragraph" w:styleId="List3">
    <w:name w:val="List 3"/>
    <w:basedOn w:val="BodyText"/>
    <w:rsid w:val="00335B74"/>
    <w:pPr>
      <w:tabs>
        <w:tab w:val="left" w:pos="1021"/>
      </w:tabs>
      <w:spacing w:before="60" w:after="60"/>
      <w:ind w:left="1020" w:hanging="340"/>
    </w:pPr>
  </w:style>
  <w:style w:type="paragraph" w:styleId="List4">
    <w:name w:val="List 4"/>
    <w:basedOn w:val="BodyText"/>
    <w:rsid w:val="00335B74"/>
    <w:pPr>
      <w:tabs>
        <w:tab w:val="left" w:pos="1361"/>
      </w:tabs>
      <w:spacing w:before="60" w:after="60"/>
      <w:ind w:left="1361" w:hanging="340"/>
    </w:pPr>
  </w:style>
  <w:style w:type="paragraph" w:styleId="List5">
    <w:name w:val="List 5"/>
    <w:basedOn w:val="BodyText"/>
    <w:rsid w:val="00335B74"/>
    <w:pPr>
      <w:tabs>
        <w:tab w:val="left" w:pos="1701"/>
      </w:tabs>
      <w:spacing w:before="60" w:after="60"/>
      <w:ind w:left="1701" w:hanging="340"/>
    </w:pPr>
  </w:style>
  <w:style w:type="paragraph" w:styleId="ListBullet4">
    <w:name w:val="List Bullet 4"/>
    <w:basedOn w:val="List4"/>
    <w:rsid w:val="00335B74"/>
    <w:pPr>
      <w:numPr>
        <w:numId w:val="4"/>
      </w:numPr>
    </w:pPr>
  </w:style>
  <w:style w:type="paragraph" w:styleId="ListBullet5">
    <w:name w:val="List Bullet 5"/>
    <w:basedOn w:val="List5"/>
    <w:rsid w:val="00335B74"/>
    <w:pPr>
      <w:numPr>
        <w:numId w:val="5"/>
      </w:numPr>
    </w:pPr>
  </w:style>
  <w:style w:type="paragraph" w:styleId="ListContinue2">
    <w:name w:val="List Continue 2"/>
    <w:basedOn w:val="List2"/>
    <w:rsid w:val="00335B74"/>
    <w:pPr>
      <w:ind w:firstLine="0"/>
    </w:pPr>
  </w:style>
  <w:style w:type="paragraph" w:styleId="ListContinue3">
    <w:name w:val="List Continue 3"/>
    <w:basedOn w:val="List3"/>
    <w:rsid w:val="00335B74"/>
    <w:pPr>
      <w:ind w:left="1021" w:firstLine="0"/>
    </w:pPr>
  </w:style>
  <w:style w:type="paragraph" w:styleId="ListContinue4">
    <w:name w:val="List Continue 4"/>
    <w:basedOn w:val="List4"/>
    <w:rsid w:val="00335B74"/>
    <w:pPr>
      <w:ind w:firstLine="0"/>
    </w:pPr>
  </w:style>
  <w:style w:type="paragraph" w:styleId="ListContinue5">
    <w:name w:val="List Continue 5"/>
    <w:basedOn w:val="List5"/>
    <w:rsid w:val="00335B74"/>
    <w:pPr>
      <w:ind w:firstLine="0"/>
    </w:pPr>
  </w:style>
  <w:style w:type="paragraph" w:styleId="ListNumber3">
    <w:name w:val="List Number 3"/>
    <w:basedOn w:val="List3"/>
    <w:rsid w:val="00335B74"/>
    <w:pPr>
      <w:numPr>
        <w:numId w:val="6"/>
      </w:numPr>
    </w:pPr>
  </w:style>
  <w:style w:type="paragraph" w:styleId="ListNumber4">
    <w:name w:val="List Number 4"/>
    <w:basedOn w:val="List4"/>
    <w:rsid w:val="00335B74"/>
    <w:pPr>
      <w:numPr>
        <w:numId w:val="7"/>
      </w:numPr>
    </w:pPr>
  </w:style>
  <w:style w:type="paragraph" w:styleId="ListNumber5">
    <w:name w:val="List Number 5"/>
    <w:basedOn w:val="List5"/>
    <w:rsid w:val="00335B74"/>
    <w:pPr>
      <w:numPr>
        <w:numId w:val="8"/>
      </w:numPr>
    </w:pPr>
  </w:style>
  <w:style w:type="paragraph" w:styleId="BlockText">
    <w:name w:val="Block Text"/>
    <w:basedOn w:val="Normal"/>
    <w:rsid w:val="00335B74"/>
    <w:pPr>
      <w:spacing w:after="120"/>
      <w:ind w:left="1440" w:right="1440"/>
    </w:pPr>
  </w:style>
  <w:style w:type="character" w:customStyle="1" w:styleId="Subscript">
    <w:name w:val="Subscript"/>
    <w:rsid w:val="00335B74"/>
    <w:rPr>
      <w:sz w:val="16"/>
      <w:vertAlign w:val="subscript"/>
    </w:rPr>
  </w:style>
  <w:style w:type="character" w:customStyle="1" w:styleId="Superscript">
    <w:name w:val="Superscript"/>
    <w:rsid w:val="00335B74"/>
    <w:rPr>
      <w:sz w:val="16"/>
      <w:vertAlign w:val="superscript"/>
    </w:rPr>
  </w:style>
  <w:style w:type="character" w:customStyle="1" w:styleId="Symbols">
    <w:name w:val="Symbols"/>
    <w:rsid w:val="00335B74"/>
    <w:rPr>
      <w:rFonts w:ascii="Symbol" w:hAnsi="Symbol"/>
    </w:rPr>
  </w:style>
  <w:style w:type="character" w:customStyle="1" w:styleId="MenuOptions">
    <w:name w:val="Menu Options"/>
    <w:rsid w:val="00335B74"/>
    <w:rPr>
      <w:rFonts w:ascii="Arial Narrow" w:hAnsi="Arial Narrow"/>
      <w:smallCaps/>
    </w:rPr>
  </w:style>
  <w:style w:type="character" w:customStyle="1" w:styleId="Buttons">
    <w:name w:val="Buttons"/>
    <w:rsid w:val="00335B74"/>
    <w:rPr>
      <w:b/>
    </w:rPr>
  </w:style>
  <w:style w:type="character" w:customStyle="1" w:styleId="Underlined">
    <w:name w:val="Underlined"/>
    <w:rsid w:val="00335B74"/>
    <w:rPr>
      <w:u w:val="single"/>
    </w:rPr>
  </w:style>
  <w:style w:type="paragraph" w:customStyle="1" w:styleId="TableBodyTextRight">
    <w:name w:val="Table Body Text Right"/>
    <w:basedOn w:val="TableBodyText"/>
    <w:rsid w:val="00335B74"/>
    <w:pPr>
      <w:widowControl w:val="0"/>
      <w:autoSpaceDE w:val="0"/>
      <w:autoSpaceDN w:val="0"/>
      <w:adjustRightInd w:val="0"/>
      <w:jc w:val="right"/>
    </w:pPr>
    <w:rPr>
      <w:rFonts w:cs="Arial"/>
      <w:szCs w:val="18"/>
    </w:rPr>
  </w:style>
  <w:style w:type="paragraph" w:customStyle="1" w:styleId="CopyrightText">
    <w:name w:val="Copyright Text"/>
    <w:basedOn w:val="BodyText"/>
    <w:rsid w:val="00335B74"/>
    <w:rPr>
      <w:sz w:val="18"/>
    </w:rPr>
  </w:style>
  <w:style w:type="paragraph" w:customStyle="1" w:styleId="BodySmallRight">
    <w:name w:val="Body Small Right"/>
    <w:basedOn w:val="BodyTextRight"/>
    <w:rsid w:val="00335B74"/>
    <w:rPr>
      <w:sz w:val="18"/>
      <w:szCs w:val="18"/>
    </w:rPr>
  </w:style>
  <w:style w:type="paragraph" w:customStyle="1" w:styleId="MarginEdition">
    <w:name w:val="Margin Edition"/>
    <w:basedOn w:val="MarginNote"/>
    <w:rsid w:val="00335B74"/>
    <w:pPr>
      <w:spacing w:before="0" w:after="0"/>
    </w:pPr>
    <w:rPr>
      <w:rFonts w:ascii="Times New Roman" w:hAnsi="Times New Roman"/>
      <w:color w:val="999999"/>
    </w:rPr>
  </w:style>
  <w:style w:type="paragraph" w:customStyle="1" w:styleId="Spacer">
    <w:name w:val="Spacer"/>
    <w:basedOn w:val="Normal"/>
    <w:rsid w:val="00335B74"/>
    <w:rPr>
      <w:sz w:val="2"/>
      <w:szCs w:val="2"/>
    </w:rPr>
  </w:style>
  <w:style w:type="character" w:customStyle="1" w:styleId="Small">
    <w:name w:val="Small"/>
    <w:rsid w:val="00335B74"/>
    <w:rPr>
      <w:sz w:val="16"/>
    </w:rPr>
  </w:style>
  <w:style w:type="paragraph" w:customStyle="1" w:styleId="WideTable">
    <w:name w:val="Wide Table"/>
    <w:basedOn w:val="Normal"/>
    <w:rsid w:val="00335B74"/>
    <w:pPr>
      <w:ind w:left="-1418"/>
    </w:pPr>
    <w:rPr>
      <w:sz w:val="2"/>
      <w:szCs w:val="2"/>
    </w:rPr>
  </w:style>
  <w:style w:type="character" w:styleId="PageNumber">
    <w:name w:val="page number"/>
    <w:rsid w:val="00335B74"/>
  </w:style>
  <w:style w:type="paragraph" w:styleId="Quote">
    <w:name w:val="Quote"/>
    <w:basedOn w:val="Heading1"/>
    <w:link w:val="QuoteChar"/>
    <w:qFormat/>
    <w:rsid w:val="00335B74"/>
    <w:rPr>
      <w:b w:val="0"/>
      <w:sz w:val="72"/>
      <w:szCs w:val="72"/>
      <w:lang w:val="en-NZ"/>
    </w:rPr>
  </w:style>
  <w:style w:type="character" w:customStyle="1" w:styleId="QuoteChar">
    <w:name w:val="Quote Char"/>
    <w:link w:val="Quote"/>
    <w:rsid w:val="00335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B74"/>
    <w:pPr>
      <w:pageBreakBefore/>
    </w:pPr>
  </w:style>
  <w:style w:type="paragraph" w:customStyle="1" w:styleId="Border">
    <w:name w:val="Border"/>
    <w:basedOn w:val="Normal"/>
    <w:qFormat/>
    <w:rsid w:val="00335B74"/>
    <w:pPr>
      <w:pBdr>
        <w:top w:val="single" w:sz="18" w:space="1" w:color="auto"/>
      </w:pBdr>
    </w:pPr>
    <w:rPr>
      <w:rFonts w:ascii="Times New Roman" w:hAnsi="Times New Roman"/>
      <w:color w:val="FFFFFF"/>
      <w:sz w:val="2"/>
    </w:rPr>
  </w:style>
  <w:style w:type="character" w:styleId="IntenseEmphasis">
    <w:name w:val="Intense Emphasis"/>
    <w:uiPriority w:val="21"/>
    <w:qFormat/>
    <w:rsid w:val="00335B74"/>
    <w:rPr>
      <w:b/>
      <w:bCs/>
      <w:i/>
      <w:iCs/>
      <w:color w:val="auto"/>
    </w:rPr>
  </w:style>
  <w:style w:type="paragraph" w:styleId="IntenseQuote">
    <w:name w:val="Intense Quote"/>
    <w:basedOn w:val="Normal"/>
    <w:next w:val="Normal"/>
    <w:link w:val="IntenseQuoteChar"/>
    <w:uiPriority w:val="30"/>
    <w:qFormat/>
    <w:rsid w:val="00335B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5B74"/>
    <w:rPr>
      <w:rFonts w:ascii="Courier New" w:eastAsia="Times New Roman" w:hAnsi="Courier New" w:cs="Times New Roman"/>
      <w:b/>
      <w:bCs/>
      <w:i/>
      <w:iCs/>
      <w:szCs w:val="20"/>
      <w:lang w:val="en-US" w:eastAsia="en-US"/>
    </w:rPr>
  </w:style>
  <w:style w:type="character" w:styleId="SubtleReference">
    <w:name w:val="Subtle Reference"/>
    <w:uiPriority w:val="31"/>
    <w:qFormat/>
    <w:rsid w:val="00335B74"/>
    <w:rPr>
      <w:smallCaps/>
      <w:color w:val="auto"/>
      <w:u w:val="single"/>
    </w:rPr>
  </w:style>
  <w:style w:type="character" w:styleId="IntenseReference">
    <w:name w:val="Intense Reference"/>
    <w:uiPriority w:val="32"/>
    <w:qFormat/>
    <w:rsid w:val="00335B74"/>
    <w:rPr>
      <w:b/>
      <w:bCs/>
      <w:smallCaps/>
      <w:color w:val="auto"/>
      <w:spacing w:val="5"/>
      <w:u w:val="single"/>
    </w:rPr>
  </w:style>
  <w:style w:type="paragraph" w:customStyle="1" w:styleId="2ColumnHeading">
    <w:name w:val="2Column Heading"/>
    <w:basedOn w:val="BodyText"/>
    <w:qFormat/>
    <w:rsid w:val="00335B74"/>
    <w:pPr>
      <w:spacing w:after="60"/>
      <w:ind w:left="-2268"/>
    </w:pPr>
    <w:rPr>
      <w:b/>
    </w:rPr>
  </w:style>
  <w:style w:type="paragraph" w:customStyle="1" w:styleId="Heading1TOC">
    <w:name w:val="Heading1 TOC"/>
    <w:basedOn w:val="Normal"/>
    <w:qFormat/>
    <w:rsid w:val="00335B74"/>
    <w:pPr>
      <w:spacing w:before="240" w:after="120"/>
    </w:pPr>
    <w:rPr>
      <w:rFonts w:ascii="Times New Roman" w:hAnsi="Times New Roman"/>
      <w:b/>
      <w:sz w:val="32"/>
    </w:rPr>
  </w:style>
  <w:style w:type="paragraph" w:customStyle="1" w:styleId="Heading2TOC">
    <w:name w:val="Heading2 TOC"/>
    <w:basedOn w:val="Normal"/>
    <w:qFormat/>
    <w:rsid w:val="00335B74"/>
    <w:pPr>
      <w:spacing w:before="240" w:after="60"/>
    </w:pPr>
    <w:rPr>
      <w:rFonts w:ascii="Times New Roman" w:hAnsi="Times New Roman"/>
      <w:b/>
      <w:sz w:val="28"/>
    </w:rPr>
  </w:style>
  <w:style w:type="character" w:customStyle="1" w:styleId="Underline">
    <w:name w:val="Underline"/>
    <w:qFormat/>
    <w:rsid w:val="00335B74"/>
    <w:rPr>
      <w:u w:val="single"/>
    </w:rPr>
  </w:style>
  <w:style w:type="character" w:customStyle="1" w:styleId="BoldandItalics">
    <w:name w:val="Bold and Italics"/>
    <w:qFormat/>
    <w:rsid w:val="00335B74"/>
    <w:rPr>
      <w:b/>
      <w:i/>
      <w:u w:val="none"/>
    </w:rPr>
  </w:style>
  <w:style w:type="paragraph" w:styleId="BalloonText">
    <w:name w:val="Balloon Text"/>
    <w:basedOn w:val="Normal"/>
    <w:link w:val="BalloonTextChar"/>
    <w:rsid w:val="00335B74"/>
    <w:rPr>
      <w:rFonts w:ascii="Tahoma" w:hAnsi="Tahoma" w:cs="Tahoma"/>
      <w:sz w:val="16"/>
      <w:szCs w:val="16"/>
    </w:rPr>
  </w:style>
  <w:style w:type="character" w:customStyle="1" w:styleId="BalloonTextChar">
    <w:name w:val="Balloon Text Char"/>
    <w:link w:val="BalloonText"/>
    <w:rsid w:val="00335B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5B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5B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3211</Words>
  <Characters>20415</Characters>
  <Application>Microsoft Office Word</Application>
  <DocSecurity>0</DocSecurity>
  <Lines>722</Lines>
  <Paragraphs>297</Paragraphs>
  <ScaleCrop>false</ScaleCrop>
  <Company>Author-it Software Corporation Ltd.</Company>
  <LinksUpToDate>false</LinksUpToDate>
  <CharactersWithSpaces>23437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UETTDRDS38A Design power system public lighting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2012-05-26T12:07:00Z</dcterms:created>
  <dcterms:modified xsi:type="dcterms:W3CDTF">2012-05-26T12:07:00Z</dcterms:modified>
</cp:coreProperties>
</file>