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054" w:rsidP="007B7054">
      <w:pPr>
        <w:pStyle w:val="Title"/>
      </w:pPr>
      <w:r>
        <w:fldChar w:fldCharType="begin"/>
      </w:r>
      <w:r>
        <w:instrText xml:space="preserve"> TITLE   \* MERGEFORMAT </w:instrText>
      </w:r>
      <w:r>
        <w:fldChar w:fldCharType="separate"/>
      </w:r>
      <w:r>
        <w:t>UETTDRDS35A Design overhead distribution power systems</w:t>
      </w:r>
      <w:r>
        <w:fldChar w:fldCharType="end"/>
      </w:r>
    </w:p>
    <w:p w:rsidR="007B7054" w:rsidP="007B7054">
      <w:pPr>
        <w:pStyle w:val="Version"/>
        <w:sectPr w:rsidSect="00C62E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E69" w:rsidP="00C62E69">
      <w:pPr>
        <w:pStyle w:val="SuperHeading"/>
      </w:pPr>
      <w:r w:rsidRPr="00C62E69">
        <w:t>UETTDRDS35A Design overhead distribution power systems</w:t>
      </w:r>
    </w:p>
    <w:p w:rsidR="00000000" w:rsidRPr="00C62E69" w:rsidP="00C62E69">
      <w:pPr>
        <w:pStyle w:val="Heading1"/>
      </w:pPr>
      <w:bookmarkStart w:id="1" w:name="O_463362"/>
      <w:bookmarkEnd w:id="1"/>
      <w:r w:rsidRPr="00C62E69">
        <w:t>Modification History</w:t>
      </w:r>
    </w:p>
    <w:p w:rsidR="00000000" w:rsidRPr="00C62E69" w:rsidP="00C62E69">
      <w:pPr>
        <w:pStyle w:val="BodyText"/>
      </w:pPr>
      <w:r w:rsidRPr="00C62E69">
        <w:t>Not applicable.</w:t>
      </w:r>
    </w:p>
    <w:p w:rsidR="00000000" w:rsidRPr="00C62E69" w:rsidP="00C62E69">
      <w:pPr>
        <w:pStyle w:val="AllowPageBreak"/>
      </w:pPr>
    </w:p>
    <w:p w:rsidR="00000000" w:rsidRPr="00C62E69" w:rsidP="00C62E69">
      <w:pPr>
        <w:pStyle w:val="Heading1"/>
      </w:pPr>
      <w:bookmarkStart w:id="2" w:name="O_463360"/>
      <w:bookmarkEnd w:id="2"/>
      <w:r w:rsidRPr="00C62E69">
        <w:t>Unit Descriptor</w:t>
      </w:r>
    </w:p>
    <w:tbl>
      <w:tblPr>
        <w:tblW w:w="0" w:type="auto"/>
        <w:tblLayout w:type="fixed"/>
        <w:tblCellMar>
          <w:left w:w="62" w:type="dxa"/>
          <w:right w:w="62" w:type="dxa"/>
        </w:tblCellMar>
        <w:tblLook w:val="0000"/>
      </w:tblPr>
      <w:tblGrid>
        <w:gridCol w:w="2700"/>
        <w:gridCol w:w="5760"/>
      </w:tblGrid>
      <w:tr w:rsidTr="007B7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1)</w:t>
            </w:r>
            <w:r w:rsidRPr="00C62E69">
              <w:t xml:space="preserve"> </w:t>
            </w:r>
            <w:r w:rsidRPr="00C62E69">
              <w:rPr>
                <w:rStyle w:val="SpecialBold"/>
              </w:rPr>
              <w:t>Scope:</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2E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1.1) Descriptor</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This Competency Standard Unit covers the technical design of overhead distribution and sub transmission networks to relevant standards, including electrical clearances, electrical and mechanical loadings, earthing, environmental considerations, minor civil</w:t>
            </w:r>
            <w:r w:rsidRPr="00C62E69">
              <w:t xml:space="preserve"> aspects and the handling of waterway, railway and other crossings. It also includes the necessary established procedures to ensure the line design conforms to specific organisational technical standards, operational and system planning requirements and in</w:t>
            </w:r>
            <w:r w:rsidRPr="00C62E69">
              <w:t>corporates the principles of safe design.</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3" w:name="O_463349"/>
      <w:bookmarkEnd w:id="3"/>
      <w:r w:rsidRPr="00C62E69">
        <w:t>Application of the Unit</w:t>
      </w:r>
    </w:p>
    <w:tbl>
      <w:tblPr>
        <w:tblW w:w="0" w:type="auto"/>
        <w:tblLayout w:type="fixed"/>
        <w:tblCellMar>
          <w:left w:w="62" w:type="dxa"/>
          <w:right w:w="62" w:type="dxa"/>
        </w:tblCellMar>
        <w:tblLook w:val="0000"/>
      </w:tblPr>
      <w:tblGrid>
        <w:gridCol w:w="2672"/>
        <w:gridCol w:w="5699"/>
      </w:tblGrid>
      <w:tr w:rsidTr="007B70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2)</w:t>
            </w:r>
          </w:p>
        </w:tc>
      </w:tr>
      <w:tr w:rsidTr="007B70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 xml:space="preserve">This Competency Standard Unit is intended to augment formally acquired competencies. It is suitable for employment-based programs under an </w:t>
            </w:r>
            <w:r w:rsidRPr="00C62E69">
              <w:t>approved contract of training.</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4" w:name="O_463356"/>
      <w:bookmarkEnd w:id="4"/>
      <w:r w:rsidRPr="00C62E69">
        <w:t>Licensing/Regulatory Information</w:t>
      </w:r>
    </w:p>
    <w:tbl>
      <w:tblPr>
        <w:tblW w:w="0" w:type="auto"/>
        <w:tblLayout w:type="fixed"/>
        <w:tblCellMar>
          <w:left w:w="62" w:type="dxa"/>
          <w:right w:w="62" w:type="dxa"/>
        </w:tblCellMar>
        <w:tblLook w:val="0000"/>
      </w:tblPr>
      <w:tblGrid>
        <w:gridCol w:w="2700"/>
        <w:gridCol w:w="5760"/>
      </w:tblGrid>
      <w:tr w:rsidTr="007B7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 xml:space="preserve">3) </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The skills and knowledge described in this unit may require a licence/registration to practice in the work place subject to regulations for underta</w:t>
            </w:r>
            <w:r w:rsidRPr="00C62E69">
              <w:t xml:space="preserve">king of electrical work. Practice in workplace and during training is also subject to </w:t>
            </w:r>
            <w:r w:rsidRPr="00C62E69">
              <w:t>regulations directly related to Occupational Health and Safety, electricity/telecommunications/gas/water industry safety and compliance, industrial relations, environment</w:t>
            </w:r>
            <w:r w:rsidRPr="00C62E69">
              <w:t>al protection, anti discrimination and training. Commonwealth, State/Territory or Local Government legislation and regulations may exist that limits the age of operating certain equipment.</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5" w:name="O_463357"/>
      <w:bookmarkEnd w:id="5"/>
      <w:r w:rsidRPr="00C62E69">
        <w:t>Pre-Requisites</w:t>
      </w:r>
    </w:p>
    <w:tbl>
      <w:tblPr>
        <w:tblW w:w="0" w:type="auto"/>
        <w:tblLayout w:type="fixed"/>
        <w:tblCellMar>
          <w:left w:w="62" w:type="dxa"/>
          <w:right w:w="62" w:type="dxa"/>
        </w:tblCellMar>
        <w:tblLook w:val="0000"/>
      </w:tblPr>
      <w:tblGrid>
        <w:gridCol w:w="2700"/>
        <w:gridCol w:w="1980"/>
        <w:gridCol w:w="1018"/>
        <w:gridCol w:w="2762"/>
      </w:tblGrid>
      <w:tr w:rsidTr="007B7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 xml:space="preserve">4) </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4.1)</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Granting of competency in this unit shall be made only after competency in the following unit(s) has/have been confirmed.</w:t>
            </w:r>
          </w:p>
          <w:p w:rsidR="00000000" w:rsidRPr="00C62E69" w:rsidP="00C62E69">
            <w:pPr>
              <w:pStyle w:val="BodyText"/>
            </w:pPr>
            <w:r w:rsidRPr="00C62E69">
              <w:t>Where pre-requisite pathways have been identified. All competencies in the Common Unit Group must be have been completed plus all the competencies in one (1) of the identified Pathway Unit Group(s):</w:t>
            </w:r>
          </w:p>
          <w:p w:rsidR="00000000" w:rsidP="00C62E69">
            <w:pPr>
              <w:pStyle w:val="BodyText"/>
              <w:rPr>
                <w:lang w:val="en-NZ"/>
              </w:rPr>
            </w:pPr>
            <w:r w:rsidRPr="00C62E69">
              <w:t>Common Unit Group</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Unit Code</w:t>
            </w:r>
            <w:r w:rsidRPr="00C62E69">
              <w:tab/>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Unit Title</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UEENEEE101A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Apply Occupational Health and Safety regulations, codes and practices in the workplace</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UEENEEE102A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Fabricate, assemble and dismantle utilities industry components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UEENEEE104A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Solve problems in d.c. Circuits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UEENEEE107A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Use drawings, di</w:t>
            </w:r>
            <w:r w:rsidRPr="00C62E69">
              <w:t>agrams, schedules, standards, codes and specifications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UEENEEE125A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Provide engineering solutions for problems in complex multiple path circuits problems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UEENEEE126A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Provide solutions to basic engineering computational problems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UEENEEG101A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Solve problems in electromagnetic devices and related circuits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UEENEEG102A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Solve problems in electromagnetic devices and related circuits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UEENEEG149A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Provide engineering solutions to problems in complex polyphase power circuits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UETTDREL11A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Apply sustainable energy and environmental procedures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UETTDREL16A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 xml:space="preserve">Working safely near live electrical apparatus </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UETTDRIS62A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Implement and monitor the power system organisational OHS policies, procedures and programs</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UETTDRIS63A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Implement and moni</w:t>
            </w:r>
            <w:r w:rsidRPr="00C62E69">
              <w:t>tor the power system environmental and sustainable energy management policies and procedures</w:t>
            </w:r>
          </w:p>
        </w:tc>
      </w:tr>
      <w:tr w:rsidTr="007B7054">
        <w:tblPrEx>
          <w:tblW w:w="0" w:type="auto"/>
          <w:tblLayout w:type="fixed"/>
          <w:tblCellMar>
            <w:left w:w="62" w:type="dxa"/>
            <w:right w:w="62" w:type="dxa"/>
          </w:tblCellMar>
          <w:tblLook w:val="0000"/>
        </w:tblPrEx>
        <w:tc>
          <w:tcPr>
            <w:tcW w:w="569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62"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Pathway Unit Group 1</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UETTDRDS39A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Prepare and manage detailed construction plans for electrical power system infrastructure</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UETTDRDS45A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Organise and implement ESI line and easement surveys</w:t>
            </w:r>
          </w:p>
        </w:tc>
      </w:tr>
      <w:tr w:rsidTr="007B7054">
        <w:tblPrEx>
          <w:tblW w:w="0" w:type="auto"/>
          <w:tblLayout w:type="fixed"/>
          <w:tblCellMar>
            <w:left w:w="62" w:type="dxa"/>
            <w:right w:w="62" w:type="dxa"/>
          </w:tblCellMar>
          <w:tblLook w:val="0000"/>
        </w:tblPrEx>
        <w:tc>
          <w:tcPr>
            <w:tcW w:w="569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62"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Pathway Unit Group 2</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62E69">
            <w:pPr>
              <w:pStyle w:val="BodyText"/>
              <w:rPr>
                <w:lang w:val="en-NZ"/>
              </w:rPr>
            </w:pPr>
            <w:r w:rsidRPr="00C62E69">
              <w:t>UETTDRDS43A</w:t>
            </w:r>
          </w:p>
        </w:tc>
        <w:tc>
          <w:tcPr>
            <w:tcW w:w="3780" w:type="dxa"/>
            <w:gridSpan w:val="2"/>
            <w:tcBorders>
              <w:top w:val="nil"/>
              <w:left w:val="nil"/>
              <w:bottom w:val="nil"/>
              <w:right w:val="nil"/>
            </w:tcBorders>
            <w:tcMar>
              <w:top w:w="0" w:type="dxa"/>
              <w:left w:w="62" w:type="dxa"/>
              <w:bottom w:w="0" w:type="dxa"/>
              <w:right w:w="62" w:type="dxa"/>
            </w:tcMar>
            <w:vAlign w:val="center"/>
          </w:tcPr>
          <w:p w:rsidR="00000000" w:rsidRPr="00C62E69" w:rsidP="00C62E69">
            <w:pPr>
              <w:pStyle w:val="BodyText"/>
            </w:pPr>
            <w:r w:rsidRPr="00C62E69">
              <w:t>Develop high voltage and low voltage distribution protection systems</w:t>
            </w:r>
          </w:p>
        </w:tc>
      </w:tr>
    </w:tbl>
    <w:p w:rsidR="00000000" w:rsidRPr="00C62E69" w:rsidP="00C62E6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B705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 xml:space="preserve">4.2) </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Participants are best equipped to achieve this unit if they have reading, writing and numeracy skills indicated by the following scales. Description of each scale is given in Volume 2, Part 3 “Literacy and Numeracy”</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Reading</w:t>
            </w:r>
          </w:p>
        </w:tc>
        <w:tc>
          <w:tcPr>
            <w:tcW w:w="81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5</w:t>
            </w:r>
          </w:p>
        </w:tc>
        <w:tc>
          <w:tcPr>
            <w:tcW w:w="99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Writing</w:t>
            </w:r>
          </w:p>
        </w:tc>
        <w:tc>
          <w:tcPr>
            <w:tcW w:w="90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5</w:t>
            </w:r>
          </w:p>
        </w:tc>
        <w:tc>
          <w:tcPr>
            <w:tcW w:w="12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Numeracy</w:t>
            </w:r>
          </w:p>
        </w:tc>
        <w:tc>
          <w:tcPr>
            <w:tcW w:w="72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5</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6" w:name="O_463353"/>
      <w:bookmarkEnd w:id="6"/>
      <w:r w:rsidRPr="00C62E69">
        <w:t>Employability Skills Information</w:t>
      </w:r>
    </w:p>
    <w:tbl>
      <w:tblPr>
        <w:tblW w:w="0" w:type="auto"/>
        <w:tblLayout w:type="fixed"/>
        <w:tblCellMar>
          <w:left w:w="62" w:type="dxa"/>
          <w:right w:w="62" w:type="dxa"/>
        </w:tblCellMar>
        <w:tblLook w:val="0000"/>
      </w:tblPr>
      <w:tblGrid>
        <w:gridCol w:w="2700"/>
        <w:gridCol w:w="5760"/>
      </w:tblGrid>
      <w:tr w:rsidTr="007B7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 xml:space="preserve">5) </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The required outcomes described in this unit of competency contain applicable facets of Employability Skills. The Employability Skills Summary of the qualification in which this u</w:t>
            </w:r>
            <w:r w:rsidRPr="00C62E69">
              <w:t>nit of competency is packaged will assist in identifying Employability Skill requirements.</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7" w:name="O_463352"/>
      <w:bookmarkEnd w:id="7"/>
      <w:r w:rsidRPr="00C62E69">
        <w:t>Elements and Performance Criteria Pre-Content</w:t>
      </w:r>
    </w:p>
    <w:tbl>
      <w:tblPr>
        <w:tblW w:w="0" w:type="auto"/>
        <w:tblLayout w:type="fixed"/>
        <w:tblCellMar>
          <w:left w:w="62" w:type="dxa"/>
          <w:right w:w="62" w:type="dxa"/>
        </w:tblCellMar>
        <w:tblLook w:val="0000"/>
      </w:tblPr>
      <w:tblGrid>
        <w:gridCol w:w="2700"/>
        <w:gridCol w:w="5760"/>
      </w:tblGrid>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6)</w:t>
            </w:r>
            <w:r w:rsidRPr="00C62E6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Performance Criteria describe the required performance needed to demonstrate achievement of the element. Assessment of performance is to be consistent with the Evidence Guide.</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8" w:name="O_463351"/>
      <w:bookmarkEnd w:id="8"/>
      <w:r w:rsidRPr="00C62E69">
        <w:t>Elements and Performance Criteria</w:t>
      </w:r>
    </w:p>
    <w:tbl>
      <w:tblPr>
        <w:tblW w:w="0" w:type="auto"/>
        <w:tblLayout w:type="fixed"/>
        <w:tblCellMar>
          <w:left w:w="62" w:type="dxa"/>
          <w:right w:w="62" w:type="dxa"/>
        </w:tblCellMar>
        <w:tblLook w:val="0000"/>
      </w:tblPr>
      <w:tblGrid>
        <w:gridCol w:w="389"/>
        <w:gridCol w:w="2311"/>
        <w:gridCol w:w="976"/>
        <w:gridCol w:w="4773"/>
        <w:gridCol w:w="15"/>
      </w:tblGrid>
      <w:tr w:rsidTr="007B70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PERFORMANCE CRITER</w:t>
            </w:r>
            <w:r w:rsidRPr="00C62E69">
              <w:rPr>
                <w:rStyle w:val="SpecialBold"/>
              </w:rPr>
              <w:t>IA</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w:t>
            </w:r>
          </w:p>
        </w:tc>
        <w:tc>
          <w:tcPr>
            <w:tcW w:w="2311"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Plan for and coordinate the safe design of overhead distribution systems</w:t>
            </w: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1.1</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OHS practices/procedures and environmental and sustainable energy procedures, which may influence the design of overhead distribution systems, are reviewed and determined.</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1.2</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Purpose of the design is established and expected outcomes of the work are confirmed with the appropriate personnel.</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1.3</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Organisational established procedures, policies and specifications for the design are obtained or established with the approp</w:t>
            </w:r>
            <w:r w:rsidRPr="00C62E69">
              <w:t>riate personnel.</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1.4</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Equipment/tools and personal protective equipment are selected and coordinated based on specified requirements and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1.5</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Work is prioritised and sequenced for the most efficient and effective outcome following consultation with others for completion within acceptable timeframes, to a quality standard and in accordance with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1.6</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Risk control measures</w:t>
            </w:r>
            <w:r w:rsidRPr="00C62E69">
              <w:t xml:space="preserve"> are identified, prioritised and evaluated against the work schedule.</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1.7</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Relevant work permits are secured to coordinate the performance of work according to requirements and/or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1.8</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Resources including personnel, equipment, tools and personal protective equipment required for the job are identified, scheduled and coordinated and confirmed in a safe and technical working order.</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1.9</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Liaison and communication issues with other/authori</w:t>
            </w:r>
            <w:r w:rsidRPr="00C62E69">
              <w:t>sed personnel, authorities, clients and land owners are resolved and activities coordinated to carry out work.</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1.10</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Site is prepared according to the work schedule and to minimise risk and damage to property, commerce, and individuals in accordance with</w:t>
            </w:r>
            <w:r w:rsidRPr="00C62E69">
              <w:t xml:space="preserve">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w:t>
            </w:r>
          </w:p>
        </w:tc>
        <w:tc>
          <w:tcPr>
            <w:tcW w:w="2311" w:type="dxa"/>
            <w:vMerge w:val="restart"/>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Carry out and coordinate the safe design of overhead distribution systems</w:t>
            </w: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2.1</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Circuit/systems modelling is used to evaluate alternative proposals as per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2.2</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OHS and sustainable energy principles, functionality and practices to reduce the incidence of accidents and minimise waste are incorporated into the project in accordance with requirements and/or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2.3</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System design decisions are m</w:t>
            </w:r>
            <w:r w:rsidRPr="00C62E69">
              <w:t>ade on the basis of safety and effective outcomes according to requirements and/or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2.4</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Mathematical models of the distribution system are used to analyse the effectiveness of the finished project as per requirements and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2.5</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 xml:space="preserve">Technical advice is given regarding potential hazards, safety risks and control measures so </w:t>
            </w:r>
            <w:r w:rsidRPr="00C62E69">
              <w:t>that monitoring and preventative action can be undertaken and/or appropriate authorities consulted, where necessary, in accordance with requirements and established procedures.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2.6</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Essential knowledge and associated skills are applied to analyse specifi</w:t>
            </w:r>
            <w:r w:rsidRPr="00C62E69">
              <w:t>c data and compare it with compliance specifications to ensure completion of the project within an agreed timeframe according to requirements.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2.7</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Solutions to non-routine problems are identified and actioned using acquired essential knowledge and assoc</w:t>
            </w:r>
            <w:r w:rsidRPr="00C62E69">
              <w:t>iated skills according to requirements.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2.8</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Quality of work is monitored against personal performance agreement and/or established organisational and professional standards.</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3</w:t>
            </w:r>
          </w:p>
        </w:tc>
        <w:tc>
          <w:tcPr>
            <w:tcW w:w="2311"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Complete and coordinate the safe design of overhead distribution systems</w:t>
            </w: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3.1</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Final inspections of the design are undertaken to ensure they comply with all requirements and include all specifications and documentation needed to complete the design brief.</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3.2</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Appropriate personnel are notified of completion and reports and/or com</w:t>
            </w:r>
            <w:r w:rsidRPr="00C62E69">
              <w:t>pletion documents are finalised.</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3.3</w:t>
            </w:r>
          </w:p>
        </w:tc>
        <w:tc>
          <w:tcPr>
            <w:tcW w:w="4773"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Reports and/or completion documents are submitted to relevant personnel/organisations for approval and, where applicable, statutory or regulatory approval.</w:t>
            </w:r>
          </w:p>
        </w:tc>
      </w:tr>
      <w:tr w:rsidTr="007B7054">
        <w:tblPrEx>
          <w:tblW w:w="0" w:type="auto"/>
          <w:tblLayout w:type="fixed"/>
          <w:tblCellMar>
            <w:left w:w="62" w:type="dxa"/>
            <w:right w:w="62" w:type="dxa"/>
          </w:tblCellMar>
          <w:tblLook w:val="0000"/>
        </w:tblPrEx>
        <w:trPr>
          <w:gridAfter w:val="1"/>
          <w:wAfter w:w="15" w:type="dxa"/>
        </w:trPr>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t>3.4</w:t>
            </w:r>
          </w:p>
        </w:tc>
        <w:tc>
          <w:tcPr>
            <w:tcW w:w="4773"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Approved copies of design documents are issued and re</w:t>
            </w:r>
            <w:r w:rsidRPr="00C62E69">
              <w:t>cords are updated in accordance with established procedures.</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9" w:name="O_463359"/>
      <w:bookmarkEnd w:id="9"/>
      <w:r w:rsidRPr="00C62E69">
        <w:t>Required Skills and Knowledge</w:t>
      </w:r>
    </w:p>
    <w:tbl>
      <w:tblPr>
        <w:tblW w:w="0" w:type="auto"/>
        <w:tblLayout w:type="fixed"/>
        <w:tblCellMar>
          <w:left w:w="62" w:type="dxa"/>
          <w:right w:w="62" w:type="dxa"/>
        </w:tblCellMar>
        <w:tblLook w:val="0000"/>
      </w:tblPr>
      <w:tblGrid>
        <w:gridCol w:w="8460"/>
      </w:tblGrid>
      <w:tr w:rsidTr="007B7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REQUIRED SKILLS AND KNOWLEDGE</w:t>
            </w:r>
          </w:p>
        </w:tc>
      </w:tr>
      <w:tr w:rsidTr="007B705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8)</w:t>
            </w:r>
            <w:r w:rsidRPr="00C62E69">
              <w:t xml:space="preserve"> Essential Knowledge and Associated Skills (EKAS): This describes the essential skills and knowledge </w:t>
            </w:r>
            <w:r w:rsidRPr="00C62E69">
              <w:t>and their level, required for this unit.</w:t>
            </w:r>
          </w:p>
          <w:p w:rsidR="00000000" w:rsidRPr="00C62E69" w:rsidP="00C62E69">
            <w:pPr>
              <w:pStyle w:val="BodyText"/>
            </w:pPr>
            <w:r w:rsidRPr="00C62E69">
              <w:t xml:space="preserve">Evidence shall show that knowledge has been acquired of designing overhead distribution systems. </w:t>
            </w:r>
          </w:p>
          <w:p w:rsidR="00000000" w:rsidRPr="00C62E69" w:rsidP="00C62E69">
            <w:pPr>
              <w:pStyle w:val="BodyText"/>
            </w:pPr>
            <w:r w:rsidRPr="00C62E69">
              <w:t>All knowledge and skills detailed in this unit should be contextualised to current industry practices and technologie</w:t>
            </w:r>
            <w:r w:rsidRPr="00C62E69">
              <w:t>s.</w:t>
            </w:r>
          </w:p>
          <w:p w:rsidR="00000000" w:rsidRPr="00C62E69" w:rsidP="00C62E69">
            <w:pPr>
              <w:pStyle w:val="BodyText"/>
            </w:pPr>
            <w:r w:rsidRPr="00C62E69">
              <w:t xml:space="preserve">KS01-TDS35A </w:t>
            </w:r>
            <w:r w:rsidRPr="00C62E69">
              <w:tab/>
              <w:t>Power system overhead distribution - design</w:t>
            </w:r>
          </w:p>
          <w:p w:rsidR="00000000" w:rsidRPr="00C62E69" w:rsidP="00C62E69">
            <w:pPr>
              <w:pStyle w:val="BodyText"/>
            </w:pPr>
            <w:r w:rsidRPr="00C62E69">
              <w:t xml:space="preserve">Evidence shall show an understanding of the designing of overhead distribution power systems to an extent indicated by the following aspects: </w:t>
            </w:r>
          </w:p>
          <w:p w:rsidR="00000000" w:rsidRPr="00C62E69" w:rsidP="00C62E69">
            <w:pPr>
              <w:pStyle w:val="BodyText"/>
            </w:pPr>
            <w:r w:rsidRPr="00C62E69">
              <w:t>T1</w:t>
            </w:r>
            <w:r w:rsidRPr="00C62E69">
              <w:tab/>
              <w:t xml:space="preserve">Mathematics techniques encompassing: </w:t>
            </w:r>
          </w:p>
          <w:p w:rsidR="00000000" w:rsidRPr="00C62E69" w:rsidP="00C62E69">
            <w:pPr>
              <w:pStyle w:val="ListBullet"/>
            </w:pPr>
            <w:r w:rsidRPr="00C62E69">
              <w:t>Calculation</w:t>
            </w:r>
            <w:r w:rsidRPr="00C62E69">
              <w:t>s involving fractions, decimals, ratios, proportions</w:t>
            </w:r>
          </w:p>
          <w:p w:rsidR="00000000" w:rsidRPr="00C62E69" w:rsidP="00C62E69">
            <w:pPr>
              <w:pStyle w:val="ListBullet"/>
            </w:pPr>
            <w:r w:rsidRPr="00C62E69">
              <w:t>Calculations involving area, volume, mass and density</w:t>
            </w:r>
          </w:p>
          <w:p w:rsidR="00000000" w:rsidRPr="00C62E69" w:rsidP="00C62E69">
            <w:pPr>
              <w:pStyle w:val="ListBullet"/>
            </w:pPr>
            <w:r w:rsidRPr="00C62E69">
              <w:t>Calculations involving transposition and substitution of formulae</w:t>
            </w:r>
          </w:p>
          <w:p w:rsidR="00000000" w:rsidRPr="00C62E69" w:rsidP="00C62E69">
            <w:pPr>
              <w:pStyle w:val="ListBullet"/>
            </w:pPr>
            <w:r w:rsidRPr="00C62E69">
              <w:t>Calculations involving simple trigonometric problems.</w:t>
            </w:r>
          </w:p>
          <w:p w:rsidR="00000000" w:rsidRPr="00C62E69" w:rsidP="00C62E69">
            <w:pPr>
              <w:pStyle w:val="BodyText"/>
            </w:pPr>
            <w:r w:rsidRPr="00C62E69">
              <w:t>T2</w:t>
            </w:r>
            <w:r w:rsidRPr="00C62E69">
              <w:tab/>
            </w:r>
            <w:r w:rsidRPr="00C62E69">
              <w:t>Engineering mechanics encompassing:</w:t>
            </w:r>
          </w:p>
          <w:p w:rsidR="00000000" w:rsidRPr="00C62E69" w:rsidP="00C62E69">
            <w:pPr>
              <w:pStyle w:val="ListBullet"/>
            </w:pPr>
            <w:r w:rsidRPr="00C62E69">
              <w:t>Identification of basic concepts, principles and applications - Application of velocity, acceleration, force, density, torque, and pressure</w:t>
            </w:r>
          </w:p>
          <w:p w:rsidR="00000000" w:rsidRPr="00C62E69" w:rsidP="00C62E69">
            <w:pPr>
              <w:pStyle w:val="ListBullet"/>
            </w:pPr>
            <w:r w:rsidRPr="00C62E69">
              <w:t>Applications of the SI units</w:t>
            </w:r>
          </w:p>
          <w:p w:rsidR="00000000" w:rsidRPr="00C62E69" w:rsidP="00C62E69">
            <w:pPr>
              <w:pStyle w:val="ListBullet"/>
            </w:pPr>
            <w:r w:rsidRPr="00C62E69">
              <w:t>The relationship between work, power and energy</w:t>
            </w:r>
          </w:p>
          <w:p w:rsidR="00000000" w:rsidRPr="00C62E69" w:rsidP="00C62E69">
            <w:pPr>
              <w:pStyle w:val="ListBullet"/>
            </w:pPr>
            <w:r w:rsidRPr="00C62E69">
              <w:t>Be</w:t>
            </w:r>
            <w:r w:rsidRPr="00C62E69">
              <w:t>havior of object under force - using a block and tackle under load, concept of mechanical advantage, determination of resultant forces and determining the sag in a catenary conductor and the force applied at each end</w:t>
            </w:r>
          </w:p>
          <w:p w:rsidR="00000000" w:rsidRPr="00C62E69" w:rsidP="00C62E69">
            <w:pPr>
              <w:pStyle w:val="ListBullet"/>
            </w:pPr>
            <w:r w:rsidRPr="00C62E69">
              <w:t>Fundamentals of the basic laws of fluid</w:t>
            </w:r>
            <w:r w:rsidRPr="00C62E69">
              <w:t xml:space="preserve"> mechanics.</w:t>
            </w:r>
          </w:p>
          <w:p w:rsidR="00000000" w:rsidRPr="00C62E69" w:rsidP="00C62E69">
            <w:pPr>
              <w:pStyle w:val="BodyText"/>
            </w:pPr>
            <w:r w:rsidRPr="00C62E69">
              <w:t>T3</w:t>
            </w:r>
            <w:r w:rsidRPr="00C62E69">
              <w:tab/>
              <w:t>Materials properties encompassing:</w:t>
            </w:r>
          </w:p>
          <w:p w:rsidR="00000000" w:rsidRPr="00C62E69" w:rsidP="00C62E69">
            <w:pPr>
              <w:pStyle w:val="ListBullet"/>
            </w:pPr>
            <w:r w:rsidRPr="00C62E69">
              <w:t>Identification and classification of engineering materials material properties</w:t>
            </w:r>
          </w:p>
          <w:p w:rsidR="00000000" w:rsidRPr="00C62E69" w:rsidP="00C62E69">
            <w:pPr>
              <w:pStyle w:val="ListBullet"/>
            </w:pPr>
            <w:r w:rsidRPr="00C62E69">
              <w:t>Types and applications - properties of tensile strength, effects of temperature on the expansion of metals, ductibility, malle</w:t>
            </w:r>
            <w:r w:rsidRPr="00C62E69">
              <w:t>ability, work hardening and annealing and the conditions that lead to corrosion and the properties of timbers.</w:t>
            </w:r>
          </w:p>
          <w:p w:rsidR="00000000" w:rsidRPr="00C62E69" w:rsidP="00C62E69">
            <w:pPr>
              <w:pStyle w:val="BodyText"/>
            </w:pPr>
            <w:r w:rsidRPr="00C62E69">
              <w:t>T4</w:t>
            </w:r>
            <w:r w:rsidRPr="00C62E69">
              <w:tab/>
              <w:t>Installation of overhead distribution conductors encompassing:</w:t>
            </w:r>
          </w:p>
          <w:p w:rsidR="00000000" w:rsidRPr="00C62E69" w:rsidP="00C62E69">
            <w:pPr>
              <w:pStyle w:val="ListBullet"/>
            </w:pPr>
            <w:r w:rsidRPr="00C62E69">
              <w:t xml:space="preserve">Standards, codes, legislation, supply authority regulations and or enterprise </w:t>
            </w:r>
            <w:r w:rsidRPr="00C62E69">
              <w:t>requirements applicable to installing conductors and associated equipment</w:t>
            </w:r>
          </w:p>
          <w:p w:rsidR="00000000" w:rsidRPr="00C62E69" w:rsidP="00C62E69">
            <w:pPr>
              <w:pStyle w:val="ListBullet"/>
            </w:pPr>
            <w:r w:rsidRPr="00C62E69">
              <w:t>Requirements for the use of overhead line construction manuals, system diagrams/plans and drawings - material lists, conductor size, type and route length.</w:t>
            </w:r>
          </w:p>
          <w:p w:rsidR="00000000" w:rsidRPr="00C62E69" w:rsidP="00C62E69">
            <w:pPr>
              <w:pStyle w:val="ListBullet"/>
            </w:pPr>
            <w:r w:rsidRPr="00C62E69">
              <w:t>Constructions types and st</w:t>
            </w:r>
            <w:r w:rsidRPr="00C62E69">
              <w:t>ructures for distribution and sub transmission lines</w:t>
            </w:r>
          </w:p>
          <w:p w:rsidR="00000000" w:rsidRPr="00C62E69" w:rsidP="00C62E69">
            <w:pPr>
              <w:pStyle w:val="ListBullet"/>
            </w:pPr>
            <w:r w:rsidRPr="00C62E69">
              <w:t>Types, sizes and characterises of overhead conductors</w:t>
            </w:r>
          </w:p>
          <w:p w:rsidR="00000000" w:rsidRPr="00C62E69" w:rsidP="00C62E69">
            <w:pPr>
              <w:pStyle w:val="ListBullet"/>
            </w:pPr>
            <w:r w:rsidRPr="00C62E69">
              <w:t>Resources for the stringing and maintenance of conductors - types of low and high voltage overhead electrical conductor connections, causes and effec</w:t>
            </w:r>
            <w:r w:rsidRPr="00C62E69">
              <w:t>ts of poor electrical connections, reasons for and methods used to maintain standard phase sequencing, removing, repairing and replacing of damage conductors, minimum clearances between overhead conductors and low and high voltage structures.</w:t>
            </w:r>
          </w:p>
          <w:p w:rsidR="00000000" w:rsidRPr="00C62E69" w:rsidP="00C62E69">
            <w:pPr>
              <w:pStyle w:val="ListBullet"/>
            </w:pPr>
            <w:r w:rsidRPr="00C62E69">
              <w:t>Techniques fo</w:t>
            </w:r>
            <w:r w:rsidRPr="00C62E69">
              <w:t>r conductor installation - types and application of tools, equipment and hardware, methods of stringing, tensioning and termination of low and high voltage conductors.</w:t>
            </w:r>
          </w:p>
          <w:p w:rsidR="00000000" w:rsidRPr="00C62E69" w:rsidP="00C62E69">
            <w:pPr>
              <w:pStyle w:val="BodyText"/>
            </w:pPr>
            <w:r w:rsidRPr="00C62E69">
              <w:t>T5</w:t>
            </w:r>
            <w:r w:rsidRPr="00C62E69">
              <w:tab/>
              <w:t>Installation of poles and or structures and hardware encompassing:</w:t>
            </w:r>
          </w:p>
          <w:p w:rsidR="00000000" w:rsidRPr="00C62E69" w:rsidP="00C62E69">
            <w:pPr>
              <w:pStyle w:val="ListBullet"/>
            </w:pPr>
            <w:r w:rsidRPr="00C62E69">
              <w:t>Standards, codes, legislation, supply authority regulations and or enterprise requirements applicable to installing poles and associated hardware</w:t>
            </w:r>
          </w:p>
          <w:p w:rsidR="00000000" w:rsidRPr="00C62E69" w:rsidP="00C62E69">
            <w:pPr>
              <w:pStyle w:val="ListBullet"/>
            </w:pPr>
            <w:r w:rsidRPr="00C62E69">
              <w:t>Requirements for the use of enterprise construction manuals, system diagrams/plans and drawings - characterist</w:t>
            </w:r>
            <w:r w:rsidRPr="00C62E69">
              <w:t>ics and applications of different types of poles and associated hardware</w:t>
            </w:r>
          </w:p>
          <w:p w:rsidR="00000000" w:rsidRPr="00C62E69" w:rsidP="00C62E69">
            <w:pPr>
              <w:pStyle w:val="ListBullet"/>
            </w:pPr>
            <w:r w:rsidRPr="00C62E69">
              <w:t>Techniques for installing poles and associated hardware - types of installation equipment/tools, excavation methods, types of footings/foundations, types of attachments, earthing syst</w:t>
            </w:r>
            <w:r w:rsidRPr="00C62E69">
              <w:t>ems, clearances between conductors, safe methods of erecting and stabling poles and or structures and cross arms.</w:t>
            </w:r>
          </w:p>
          <w:p w:rsidR="00000000" w:rsidRPr="00C62E69" w:rsidP="00C62E69">
            <w:pPr>
              <w:pStyle w:val="ListBullet"/>
            </w:pPr>
            <w:r w:rsidRPr="00C62E69">
              <w:t>Techniques for maintenance of poles and associated hardware - stabilisation techniques for unstable poles, methods of strengthen poles, mainte</w:t>
            </w:r>
            <w:r w:rsidRPr="00C62E69">
              <w:t>nance and replacement of high voltage insulators and cross arms.</w:t>
            </w:r>
          </w:p>
          <w:p w:rsidR="00000000" w:rsidRPr="00C62E69" w:rsidP="00C62E69">
            <w:pPr>
              <w:pStyle w:val="BodyText"/>
            </w:pPr>
            <w:r w:rsidRPr="00C62E69">
              <w:t>T6</w:t>
            </w:r>
            <w:r w:rsidRPr="00C62E69">
              <w:tab/>
              <w:t>Installation of metering and control equipment encompassing:</w:t>
            </w:r>
          </w:p>
          <w:p w:rsidR="00000000" w:rsidRPr="00C62E69" w:rsidP="00C62E69">
            <w:pPr>
              <w:pStyle w:val="ListBullet"/>
            </w:pPr>
            <w:r w:rsidRPr="00C62E69">
              <w:t xml:space="preserve">Standards, codes, legislation, supply authority regulations and or enterprise requirements pertaining to the installation and </w:t>
            </w:r>
            <w:r w:rsidRPr="00C62E69">
              <w:t>maintenance of energy meters and associated equipment</w:t>
            </w:r>
          </w:p>
          <w:p w:rsidR="00000000" w:rsidRPr="00C62E69" w:rsidP="00C62E69">
            <w:pPr>
              <w:pStyle w:val="ListBullet"/>
            </w:pPr>
            <w:r w:rsidRPr="00C62E69">
              <w:t>Types of meters - kilowatt-hour meters single and polyphase, demand meters, recording meters and electronic recording metering systems summators</w:t>
            </w:r>
          </w:p>
          <w:p w:rsidR="00000000" w:rsidRPr="00C62E69" w:rsidP="00C62E69">
            <w:pPr>
              <w:pStyle w:val="ListBullet"/>
            </w:pPr>
            <w:r w:rsidRPr="00C62E69">
              <w:t xml:space="preserve">Installation and removal methods - direct connection and </w:t>
            </w:r>
            <w:r w:rsidRPr="00C62E69">
              <w:t>plug in method, enterprise specific</w:t>
            </w:r>
          </w:p>
          <w:p w:rsidR="00000000" w:rsidRPr="00C62E69" w:rsidP="00C62E69">
            <w:pPr>
              <w:pStyle w:val="ListBullet"/>
            </w:pPr>
            <w:r w:rsidRPr="00C62E69">
              <w:t>Types of associated equipment and accessories - meter boards, service fuse, links, contactors, time switch, audio frequency injection relay</w:t>
            </w:r>
          </w:p>
          <w:p w:rsidR="00000000" w:rsidRPr="00C62E69" w:rsidP="00C62E69">
            <w:pPr>
              <w:pStyle w:val="ListBullet"/>
            </w:pPr>
            <w:r w:rsidRPr="00C62E69">
              <w:t>Testing procedures - safety testing, polarity testing</w:t>
            </w:r>
          </w:p>
          <w:p w:rsidR="00000000" w:rsidRPr="00C62E69" w:rsidP="00C62E69">
            <w:pPr>
              <w:pStyle w:val="BodyText"/>
            </w:pPr>
            <w:r w:rsidRPr="00C62E69">
              <w:t>T7</w:t>
            </w:r>
            <w:r w:rsidRPr="00C62E69">
              <w:tab/>
              <w:t>Different types and fun</w:t>
            </w:r>
            <w:r w:rsidRPr="00C62E69">
              <w:t>ction of distribution components encompassing:</w:t>
            </w:r>
          </w:p>
          <w:p w:rsidR="00000000" w:rsidRPr="00C62E69" w:rsidP="00C62E69">
            <w:pPr>
              <w:pStyle w:val="ListBullet"/>
            </w:pPr>
            <w:r w:rsidRPr="00C62E69">
              <w:t>Commonwealth/State/Territory and local government legislation, Standards, codes, Commonwealth, State/Territory and local government legislation, supply authority regulations and or enterprise requirements app</w:t>
            </w:r>
            <w:r w:rsidRPr="00C62E69">
              <w:t>licable to the use and application of distribution components</w:t>
            </w:r>
          </w:p>
          <w:p w:rsidR="00000000" w:rsidRPr="00C62E69" w:rsidP="00C62E69">
            <w:pPr>
              <w:pStyle w:val="ListBullet"/>
            </w:pPr>
            <w:r w:rsidRPr="00C62E69">
              <w:t>Requirements for the use of overhead line construction manuals, system diagrams/plans and drawings</w:t>
            </w:r>
          </w:p>
          <w:p w:rsidR="00000000" w:rsidRPr="00C62E69" w:rsidP="00C62E69">
            <w:pPr>
              <w:pStyle w:val="ListBullet"/>
            </w:pPr>
            <w:r w:rsidRPr="00C62E69">
              <w:t>Types, function and characteristics of distribution components</w:t>
            </w:r>
          </w:p>
          <w:p w:rsidR="00000000" w:rsidRPr="00C62E69" w:rsidP="00C62E69">
            <w:pPr>
              <w:pStyle w:val="ListBullet"/>
            </w:pPr>
            <w:r w:rsidRPr="00C62E69">
              <w:t>Safety policies and procedures p</w:t>
            </w:r>
            <w:r w:rsidRPr="00C62E69">
              <w:t>recautions related to the handling and installing distribution components</w:t>
            </w:r>
          </w:p>
          <w:p w:rsidR="00000000" w:rsidRPr="00C62E69" w:rsidP="00C62E69">
            <w:pPr>
              <w:pStyle w:val="BodyText"/>
            </w:pPr>
            <w:r w:rsidRPr="00C62E69">
              <w:t>T8</w:t>
            </w:r>
            <w:r w:rsidRPr="00C62E69">
              <w:tab/>
              <w:t>Principles of Statutory and safety considerations encompassing:</w:t>
            </w:r>
          </w:p>
          <w:p w:rsidR="00000000" w:rsidRPr="00C62E69" w:rsidP="00C62E69">
            <w:pPr>
              <w:pStyle w:val="ListBullet"/>
            </w:pPr>
            <w:r w:rsidRPr="00C62E69">
              <w:t>Commonwealth/State/Territory legislation, standards, codes, supply authority regulations and or enterprise require</w:t>
            </w:r>
            <w:r w:rsidRPr="00C62E69">
              <w:t>ments associated with working on High Voltage</w:t>
            </w:r>
          </w:p>
          <w:p w:rsidR="00000000" w:rsidRPr="00C62E69" w:rsidP="00C62E69">
            <w:pPr>
              <w:pStyle w:val="ListBullet"/>
            </w:pPr>
            <w:r w:rsidRPr="00C62E69">
              <w:t>Particular reference to State and Territory regulations regarding - working near energised conductors, electrical access, heights, confined space, testing procedures, licensing rules.</w:t>
            </w:r>
          </w:p>
          <w:p w:rsidR="00000000" w:rsidRPr="00C62E69" w:rsidP="00C62E69">
            <w:pPr>
              <w:pStyle w:val="BodyText"/>
            </w:pPr>
            <w:r w:rsidRPr="00C62E69">
              <w:t>T9</w:t>
            </w:r>
            <w:r w:rsidRPr="00C62E69">
              <w:tab/>
              <w:t>High voltage SWER syste</w:t>
            </w:r>
            <w:r w:rsidRPr="00C62E69">
              <w:t>m encompassing:</w:t>
            </w:r>
          </w:p>
          <w:p w:rsidR="00000000" w:rsidRPr="00C62E69" w:rsidP="00C62E69">
            <w:pPr>
              <w:pStyle w:val="ListBullet"/>
            </w:pPr>
            <w:r w:rsidRPr="00C62E69">
              <w:t>Application and function of SWER system components</w:t>
            </w:r>
          </w:p>
          <w:p w:rsidR="00000000" w:rsidRPr="00C62E69" w:rsidP="00C62E69">
            <w:pPr>
              <w:pStyle w:val="ListBullet"/>
            </w:pPr>
            <w:r w:rsidRPr="00C62E69">
              <w:t>Circuit arrangement</w:t>
            </w:r>
          </w:p>
          <w:p w:rsidR="00000000" w:rsidRPr="00C62E69" w:rsidP="00C62E69">
            <w:pPr>
              <w:pStyle w:val="ListBullet"/>
            </w:pPr>
            <w:r w:rsidRPr="00C62E69">
              <w:t>Principle of operation</w:t>
            </w:r>
          </w:p>
          <w:p w:rsidR="00000000" w:rsidRPr="00C62E69" w:rsidP="00C62E69">
            <w:pPr>
              <w:pStyle w:val="ListBullet"/>
            </w:pPr>
            <w:r w:rsidRPr="00C62E69">
              <w:t>Hazards and procedures associated with faulty SWER earth systems</w:t>
            </w:r>
          </w:p>
          <w:p w:rsidR="00000000" w:rsidRPr="00C62E69" w:rsidP="00C62E69">
            <w:pPr>
              <w:pStyle w:val="ListBullet"/>
            </w:pPr>
            <w:r w:rsidRPr="00C62E69">
              <w:t>Procedure to isolate, energise and commission SWER substations</w:t>
            </w:r>
          </w:p>
          <w:p w:rsidR="00000000" w:rsidRPr="00C62E69" w:rsidP="00C62E69">
            <w:pPr>
              <w:pStyle w:val="BodyText"/>
            </w:pPr>
            <w:r w:rsidRPr="00C62E69">
              <w:t>T10</w:t>
            </w:r>
            <w:r w:rsidRPr="00C62E69">
              <w:tab/>
            </w:r>
            <w:r w:rsidRPr="00C62E69">
              <w:t>Power distribution network documentation encompassing:</w:t>
            </w:r>
          </w:p>
          <w:p w:rsidR="00000000" w:rsidRPr="00C62E69" w:rsidP="00C62E69">
            <w:pPr>
              <w:pStyle w:val="ListBullet"/>
            </w:pPr>
            <w:r w:rsidRPr="00C62E69">
              <w:t>Requirements for the use of manuals, system diagrams/plans and drawings and for plans such as work method statements for the control of OHS risks</w:t>
            </w:r>
          </w:p>
          <w:p w:rsidR="00000000" w:rsidRPr="00C62E69" w:rsidP="00C62E69">
            <w:pPr>
              <w:pStyle w:val="ListBullet"/>
            </w:pPr>
            <w:r w:rsidRPr="00C62E69">
              <w:t>Types and application of power distribution network do</w:t>
            </w:r>
            <w:r w:rsidRPr="00C62E69">
              <w:t>cumentation drawings and documents - wiring and schematic diagrams, drawings and switching symbols, mechanical drawings dealing with the power distribution network, project charts, schedules, graphs, technical manuals and catalogues, instruction/worksheets</w:t>
            </w:r>
            <w:r w:rsidRPr="00C62E69">
              <w:t xml:space="preserve"> sheets.</w:t>
            </w:r>
          </w:p>
          <w:p w:rsidR="00000000" w:rsidRPr="00C62E69" w:rsidP="00C62E69">
            <w:pPr>
              <w:pStyle w:val="ListBullet"/>
            </w:pPr>
            <w:r w:rsidRPr="00C62E69">
              <w:t>Interpretation of different diagrams and documentation on LV and HV systems - overhead distribution extensions, underground distribution extensions, distribution substation, street lighting system.</w:t>
            </w:r>
          </w:p>
          <w:p w:rsidR="00000000" w:rsidRPr="00C62E69" w:rsidP="00C62E69">
            <w:pPr>
              <w:pStyle w:val="BodyText"/>
            </w:pPr>
            <w:r w:rsidRPr="00C62E69">
              <w:t>T11</w:t>
            </w:r>
            <w:r w:rsidRPr="00C62E69">
              <w:tab/>
              <w:t>Layout principles for overhead distribution e</w:t>
            </w:r>
            <w:r w:rsidRPr="00C62E69">
              <w:t>ncompassing:</w:t>
            </w:r>
          </w:p>
          <w:p w:rsidR="00000000" w:rsidRPr="00C62E69" w:rsidP="00C62E69">
            <w:pPr>
              <w:pStyle w:val="ListBullet"/>
            </w:pPr>
            <w:r w:rsidRPr="00C62E69">
              <w:t>Commonwealth, State/Territory and local government legislation, Standards, codes, supply authority regulations and or enterprise requirements applicable to overhead distribution layout</w:t>
            </w:r>
          </w:p>
          <w:p w:rsidR="00000000" w:rsidRPr="00C62E69" w:rsidP="00C62E69">
            <w:pPr>
              <w:pStyle w:val="ListBullet"/>
            </w:pPr>
            <w:r w:rsidRPr="00C62E69">
              <w:t>Requirements for the use of overhead line construction ma</w:t>
            </w:r>
            <w:r w:rsidRPr="00C62E69">
              <w:t>nuals, system diagrams/plans and drawings and for plans such as work method statements for the control of OHS risks</w:t>
            </w:r>
          </w:p>
          <w:p w:rsidR="00000000" w:rsidRPr="00C62E69" w:rsidP="00C62E69">
            <w:pPr>
              <w:pStyle w:val="ListBullet"/>
            </w:pPr>
            <w:r w:rsidRPr="00C62E69">
              <w:t>Methods in determining material, equipment and tool lists - components types and quantity required, spacing of components such as equipment,</w:t>
            </w:r>
            <w:r w:rsidRPr="00C62E69">
              <w:t xml:space="preserve"> poles, cross-arms, costings of items and components.</w:t>
            </w:r>
          </w:p>
          <w:p w:rsidR="00000000" w:rsidRPr="00C62E69" w:rsidP="00C62E69">
            <w:pPr>
              <w:pStyle w:val="ListBullet"/>
            </w:pPr>
            <w:r w:rsidRPr="00C62E69">
              <w:t>Purchasing and contractual arrangements to include a requirement to eliminate OHS hazards, minimise risks and provide residual OHS risk information</w:t>
            </w:r>
          </w:p>
          <w:p w:rsidR="00000000" w:rsidRPr="00C62E69" w:rsidP="00C62E69">
            <w:pPr>
              <w:pStyle w:val="ListBullet"/>
            </w:pPr>
            <w:r w:rsidRPr="00C62E69">
              <w:t>Determination of conductor size, type and route length</w:t>
            </w:r>
            <w:r w:rsidRPr="00C62E69">
              <w:t xml:space="preserve"> -</w:t>
            </w:r>
          </w:p>
          <w:p w:rsidR="00000000" w:rsidRPr="00C62E69" w:rsidP="00C62E69">
            <w:pPr>
              <w:pStyle w:val="ListBullet"/>
            </w:pPr>
            <w:r w:rsidRPr="00C62E69">
              <w:t>Resources needed for the stringing and maintenance of conductors</w:t>
            </w:r>
          </w:p>
          <w:p w:rsidR="00000000" w:rsidRPr="00C62E69" w:rsidP="00C62E69">
            <w:pPr>
              <w:pStyle w:val="ListBullet"/>
            </w:pPr>
            <w:r w:rsidRPr="00C62E69">
              <w:t>Types of low LV and HV overhead electrical conductor connections</w:t>
            </w:r>
          </w:p>
          <w:p w:rsidR="00000000" w:rsidRPr="00C62E69" w:rsidP="00C62E69">
            <w:pPr>
              <w:pStyle w:val="ListBullet"/>
            </w:pPr>
            <w:r w:rsidRPr="00C62E69">
              <w:t>Minimum clearances between overhead conductors and low LV and/HV structures</w:t>
            </w:r>
          </w:p>
          <w:p w:rsidR="00000000" w:rsidRPr="00C62E69" w:rsidP="00C62E69">
            <w:pPr>
              <w:pStyle w:val="ListBullet"/>
            </w:pPr>
            <w:r w:rsidRPr="00C62E69">
              <w:t>Estimation of the duration of overhead distribu</w:t>
            </w:r>
            <w:r w:rsidRPr="00C62E69">
              <w:t>tion extension project</w:t>
            </w:r>
          </w:p>
          <w:p w:rsidR="00000000" w:rsidRPr="00C62E69" w:rsidP="00C62E69">
            <w:pPr>
              <w:pStyle w:val="BodyText"/>
            </w:pPr>
            <w:r w:rsidRPr="00C62E69">
              <w:t>T12</w:t>
            </w:r>
            <w:r w:rsidRPr="00C62E69">
              <w:tab/>
              <w:t>System components and layouts encompassing:</w:t>
            </w:r>
          </w:p>
          <w:p w:rsidR="00000000" w:rsidRPr="00C62E69" w:rsidP="00C62E69">
            <w:pPr>
              <w:pStyle w:val="ListBullet"/>
            </w:pPr>
            <w:r w:rsidRPr="00C62E69">
              <w:t xml:space="preserve">Distribution system layouts - overhead/underground, urban/rural, HV customers, high rise building systems, three phase lines, single phase lines, SWER systems, spur, parallel and ring </w:t>
            </w:r>
            <w:r w:rsidRPr="00C62E69">
              <w:t>systems, typical substation types.</w:t>
            </w:r>
          </w:p>
          <w:p w:rsidR="00000000" w:rsidRPr="00C62E69" w:rsidP="00C62E69">
            <w:pPr>
              <w:pStyle w:val="ListBullet"/>
            </w:pPr>
            <w:r w:rsidRPr="00C62E69">
              <w:t>Transmission system layouts - lines, buses, transformers and cables, line/bus layouts including single, double, ring and breaker and half systems, HV crossing methods.</w:t>
            </w:r>
          </w:p>
          <w:p w:rsidR="00000000" w:rsidRPr="00C62E69" w:rsidP="00C62E69">
            <w:pPr>
              <w:pStyle w:val="BodyText"/>
            </w:pPr>
            <w:r w:rsidRPr="00C62E69">
              <w:t>T13</w:t>
            </w:r>
            <w:r w:rsidRPr="00C62E69">
              <w:tab/>
              <w:t>AC transmission system components encompassing:</w:t>
            </w:r>
          </w:p>
          <w:p w:rsidR="00000000" w:rsidRPr="00C62E69" w:rsidP="00C62E69">
            <w:pPr>
              <w:pStyle w:val="ListBullet"/>
            </w:pPr>
            <w:r w:rsidRPr="00C62E69">
              <w:t>Support structures and reasons for selection</w:t>
            </w:r>
          </w:p>
          <w:p w:rsidR="00000000" w:rsidRPr="00C62E69" w:rsidP="00C62E69">
            <w:pPr>
              <w:pStyle w:val="ListBullet"/>
            </w:pPr>
            <w:r w:rsidRPr="00C62E69">
              <w:t>Insulators and reasons for selection</w:t>
            </w:r>
          </w:p>
          <w:p w:rsidR="00000000" w:rsidRPr="00C62E69" w:rsidP="00C62E69">
            <w:pPr>
              <w:pStyle w:val="ListBullet"/>
            </w:pPr>
            <w:r w:rsidRPr="00C62E69">
              <w:t>Conductors and reasons for selection</w:t>
            </w:r>
          </w:p>
          <w:p w:rsidR="00000000" w:rsidRPr="00C62E69" w:rsidP="00C62E69">
            <w:pPr>
              <w:pStyle w:val="ListBullet"/>
            </w:pPr>
            <w:r w:rsidRPr="00C62E69">
              <w:t>Vibration management systems and principles</w:t>
            </w:r>
          </w:p>
          <w:p w:rsidR="00000000" w:rsidRPr="00C62E69" w:rsidP="00C62E69">
            <w:pPr>
              <w:pStyle w:val="ListBullet"/>
            </w:pPr>
            <w:r w:rsidRPr="00C62E69">
              <w:t>Line ratings based on voltage, span, tension and temperature</w:t>
            </w:r>
          </w:p>
          <w:p w:rsidR="00000000" w:rsidRPr="00C62E69" w:rsidP="00C62E69">
            <w:pPr>
              <w:pStyle w:val="BodyText"/>
            </w:pPr>
            <w:r w:rsidRPr="00C62E69">
              <w:t>T14</w:t>
            </w:r>
            <w:r w:rsidRPr="00C62E69">
              <w:tab/>
              <w:t>AC transmission line electri</w:t>
            </w:r>
            <w:r w:rsidRPr="00C62E69">
              <w:t>cal parameters encompassing:</w:t>
            </w:r>
          </w:p>
          <w:p w:rsidR="00000000" w:rsidRPr="00C62E69" w:rsidP="00C62E69">
            <w:pPr>
              <w:pStyle w:val="ListBullet"/>
            </w:pPr>
            <w:r w:rsidRPr="00C62E69">
              <w:t>Typical arrangements</w:t>
            </w:r>
          </w:p>
          <w:p w:rsidR="00000000" w:rsidRPr="00C62E69" w:rsidP="00C62E69">
            <w:pPr>
              <w:pStyle w:val="ListBullet"/>
            </w:pPr>
            <w:r w:rsidRPr="00C62E69">
              <w:t>Parameters of significance</w:t>
            </w:r>
          </w:p>
          <w:p w:rsidR="00000000" w:rsidRPr="00C62E69" w:rsidP="00C62E69">
            <w:pPr>
              <w:pStyle w:val="ListBullet"/>
            </w:pPr>
            <w:r w:rsidRPr="00C62E69">
              <w:t>Calculation of line parameters - Calculation of resistive, inductive and capacitive values assuming regular transposition and solid conductors</w:t>
            </w:r>
          </w:p>
          <w:p w:rsidR="00000000" w:rsidRPr="00C62E69" w:rsidP="00C62E69">
            <w:pPr>
              <w:pStyle w:val="ListBullet"/>
            </w:pPr>
            <w:r w:rsidRPr="00C62E69">
              <w:t>Comparison with actual values</w:t>
            </w:r>
          </w:p>
          <w:p w:rsidR="00000000" w:rsidRPr="00C62E69" w:rsidP="00C62E69">
            <w:pPr>
              <w:pStyle w:val="ListBullet"/>
            </w:pPr>
            <w:r w:rsidRPr="00C62E69">
              <w:t>Typic</w:t>
            </w:r>
            <w:r w:rsidRPr="00C62E69">
              <w:t>al parameter values and ratios for different voltage level lines.</w:t>
            </w:r>
          </w:p>
          <w:p w:rsidR="00000000" w:rsidRPr="00C62E69" w:rsidP="00C62E69">
            <w:pPr>
              <w:pStyle w:val="BodyText"/>
            </w:pPr>
            <w:r w:rsidRPr="00C62E69">
              <w:t>T15</w:t>
            </w:r>
            <w:r w:rsidRPr="00C62E69">
              <w:tab/>
              <w:t>AC transmission line models encompassing:</w:t>
            </w:r>
          </w:p>
          <w:p w:rsidR="00000000" w:rsidRPr="00C62E69" w:rsidP="00C62E69">
            <w:pPr>
              <w:pStyle w:val="ListBullet"/>
            </w:pPr>
            <w:r w:rsidRPr="00C62E69">
              <w:t>Types of transmission line models based on line length</w:t>
            </w:r>
          </w:p>
          <w:p w:rsidR="00000000" w:rsidRPr="00C62E69" w:rsidP="00C62E69">
            <w:pPr>
              <w:pStyle w:val="ListBullet"/>
            </w:pPr>
            <w:r w:rsidRPr="00C62E69">
              <w:t>Calculation of voltage drop, line regulation, and transmission efficiency</w:t>
            </w:r>
          </w:p>
          <w:p w:rsidR="00000000" w:rsidRPr="00C62E69" w:rsidP="00C62E69">
            <w:pPr>
              <w:pStyle w:val="ListBullet"/>
            </w:pPr>
            <w:r w:rsidRPr="00C62E69">
              <w:t>Load sharing b</w:t>
            </w:r>
            <w:r w:rsidRPr="00C62E69">
              <w:t>etween lines.</w:t>
            </w:r>
          </w:p>
          <w:p w:rsidR="00000000" w:rsidRPr="00C62E69" w:rsidP="00C62E69">
            <w:pPr>
              <w:pStyle w:val="BodyText"/>
            </w:pPr>
            <w:r w:rsidRPr="00C62E69">
              <w:t>T16</w:t>
            </w:r>
            <w:r w:rsidRPr="00C62E69">
              <w:tab/>
              <w:t>Basic design features and characteristics of poles/structures and associated equipment and or components encompassing:</w:t>
            </w:r>
          </w:p>
          <w:p w:rsidR="00000000" w:rsidRPr="00C62E69" w:rsidP="00C62E69">
            <w:pPr>
              <w:pStyle w:val="ListBullet"/>
            </w:pPr>
            <w:r w:rsidRPr="00C62E69">
              <w:t>Standards, codes, legislation, supply authority regulations and or enterprise requirements applicable to installing of</w:t>
            </w:r>
            <w:r w:rsidRPr="00C62E69">
              <w:t xml:space="preserve"> poles/structures and associated equipment and or components</w:t>
            </w:r>
          </w:p>
          <w:p w:rsidR="00000000" w:rsidRPr="00C62E69" w:rsidP="00C62E69">
            <w:pPr>
              <w:pStyle w:val="ListBullet"/>
            </w:pPr>
            <w:r w:rsidRPr="00C62E69">
              <w:t xml:space="preserve">Distribution systems principles – terminologies, primary and secondary, voltage levels, supply quality, load curve profiles (residential/industrial/commercial), types of feeders, urban and rural </w:t>
            </w:r>
            <w:r w:rsidRPr="00C62E69">
              <w:t>single-phase systems, SWER</w:t>
            </w:r>
          </w:p>
          <w:p w:rsidR="00000000" w:rsidRPr="00C62E69" w:rsidP="00C62E69">
            <w:pPr>
              <w:pStyle w:val="ListBullet"/>
            </w:pPr>
            <w:r w:rsidRPr="00C62E69">
              <w:t>Characteristics of poles - types of poles (wood, concrete and steel), installation methods of poles (tooling, rake, life, labelling, sinking), maintenance techniques of poles - above and below ground pole strength and loads.</w:t>
            </w:r>
          </w:p>
          <w:p w:rsidR="00000000" w:rsidRPr="00C62E69" w:rsidP="00C62E69">
            <w:pPr>
              <w:pStyle w:val="ListBullet"/>
            </w:pPr>
            <w:r w:rsidRPr="00C62E69">
              <w:t>Characteristics of associated equipment used on poles and structures - crossarms (types and standard sizes), insulators.</w:t>
            </w:r>
          </w:p>
          <w:p w:rsidR="00000000" w:rsidRPr="00C62E69" w:rsidP="00C62E69">
            <w:pPr>
              <w:pStyle w:val="BodyText"/>
            </w:pPr>
            <w:r w:rsidRPr="00C62E69">
              <w:t>T17</w:t>
            </w:r>
            <w:r w:rsidRPr="00C62E69">
              <w:tab/>
              <w:t>Basic design features and characteristics of underground cables, lines, poles/structures and associated equipment and or components</w:t>
            </w:r>
            <w:r w:rsidRPr="00C62E69">
              <w:t xml:space="preserve"> encompassing:</w:t>
            </w:r>
          </w:p>
          <w:p w:rsidR="00000000" w:rsidRPr="00C62E69" w:rsidP="00C62E69">
            <w:pPr>
              <w:pStyle w:val="ListBullet"/>
            </w:pPr>
            <w:r w:rsidRPr="00C62E69">
              <w:t>Standards, codes, legislation, supply authority regulations and or enterprise requirements applicable to installing conductors and associated equipment</w:t>
            </w:r>
          </w:p>
          <w:p w:rsidR="00000000" w:rsidRPr="00C62E69" w:rsidP="00C62E69">
            <w:pPr>
              <w:pStyle w:val="ListBullet"/>
            </w:pPr>
            <w:r w:rsidRPr="00C62E69">
              <w:t>Overhead lines characteristics - type of components, characteristics of conductor materi</w:t>
            </w:r>
            <w:r w:rsidRPr="00C62E69">
              <w:t>al, mechanical limitations and physical dimensions of lines, current rating factors (heating, voltage drops, power losses) of conductors, aerial bundled cables (HV and LV), covered conductors.</w:t>
            </w:r>
          </w:p>
          <w:p w:rsidR="00000000" w:rsidRPr="00C62E69" w:rsidP="00C62E69">
            <w:pPr>
              <w:pStyle w:val="ListBullet"/>
            </w:pPr>
            <w:r w:rsidRPr="00C62E69">
              <w:t>Characteristics and constructional features of poles and struct</w:t>
            </w:r>
            <w:r w:rsidRPr="00C62E69">
              <w:t>ures - types of poles and structures, characteristics of poles/structure materials, mechanical limitations of poles/structures, footings and additional support techniques.</w:t>
            </w:r>
          </w:p>
          <w:p w:rsidR="00000000" w:rsidRPr="00C62E69" w:rsidP="00C62E69">
            <w:pPr>
              <w:pStyle w:val="ListBullet"/>
            </w:pPr>
            <w:r w:rsidRPr="00C62E69">
              <w:t>Characteristics and constructional features of underground cables - underground cabl</w:t>
            </w:r>
            <w:r w:rsidRPr="00C62E69">
              <w:t>es constructional features, insulation materials and abbreviations, cable dielectrics, electric stress, cable voltage drop.</w:t>
            </w:r>
          </w:p>
          <w:p w:rsidR="00000000" w:rsidRPr="00C62E69" w:rsidP="00C62E69">
            <w:pPr>
              <w:pStyle w:val="ListBullet"/>
            </w:pPr>
            <w:r w:rsidRPr="00C62E69">
              <w:t>Calculation of cable volt drop in relation to length of cable run</w:t>
            </w:r>
          </w:p>
          <w:p w:rsidR="00000000" w:rsidRPr="00C62E69" w:rsidP="00C62E69">
            <w:pPr>
              <w:pStyle w:val="ListBullet"/>
            </w:pPr>
            <w:r w:rsidRPr="00C62E69">
              <w:t>Techniques in reducing electrical stress on cables</w:t>
            </w:r>
          </w:p>
          <w:p w:rsidR="00000000" w:rsidRPr="00C62E69" w:rsidP="00C62E69">
            <w:pPr>
              <w:pStyle w:val="ListBullet"/>
            </w:pPr>
            <w:r w:rsidRPr="00C62E69">
              <w:t>Cable rating fa</w:t>
            </w:r>
            <w:r w:rsidRPr="00C62E69">
              <w:t>ctors</w:t>
            </w:r>
          </w:p>
          <w:p w:rsidR="00000000" w:rsidRPr="00C62E69" w:rsidP="00C62E69">
            <w:pPr>
              <w:pStyle w:val="ListBullet"/>
            </w:pPr>
            <w:r w:rsidRPr="00C62E69">
              <w:t>Methods of joining and terminating cables</w:t>
            </w:r>
          </w:p>
          <w:p w:rsidR="00000000" w:rsidRPr="00C62E69" w:rsidP="00C62E69">
            <w:pPr>
              <w:pStyle w:val="ListBullet"/>
            </w:pPr>
            <w:r w:rsidRPr="00C62E69">
              <w:t>Techniques in the installation of cables above and below ground</w:t>
            </w:r>
          </w:p>
          <w:p w:rsidR="00000000" w:rsidRPr="00C62E69" w:rsidP="00C62E69">
            <w:pPr>
              <w:pStyle w:val="ListBullet"/>
            </w:pPr>
            <w:r w:rsidRPr="00C62E69">
              <w:t>Techniques in cable testing and the location of cable faults</w:t>
            </w:r>
          </w:p>
          <w:p w:rsidR="00000000" w:rsidRPr="00C62E69" w:rsidP="00C62E69">
            <w:pPr>
              <w:pStyle w:val="ListBullet"/>
            </w:pPr>
            <w:r w:rsidRPr="00C62E69">
              <w:t>Techniques in cable drawing.</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10" w:name="O_463354"/>
      <w:bookmarkEnd w:id="10"/>
      <w:r w:rsidRPr="00C62E69">
        <w:t>Evidence Guide</w:t>
      </w:r>
    </w:p>
    <w:tbl>
      <w:tblPr>
        <w:tblW w:w="0" w:type="auto"/>
        <w:tblLayout w:type="fixed"/>
        <w:tblCellMar>
          <w:left w:w="62" w:type="dxa"/>
          <w:right w:w="62" w:type="dxa"/>
        </w:tblCellMar>
        <w:tblLook w:val="0000"/>
      </w:tblPr>
      <w:tblGrid>
        <w:gridCol w:w="8460"/>
      </w:tblGrid>
      <w:tr w:rsidTr="007B7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EVIDENCE GUIDE</w:t>
            </w:r>
          </w:p>
        </w:tc>
      </w:tr>
      <w:tr w:rsidTr="007B70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9)</w:t>
            </w:r>
            <w:r w:rsidRPr="00C62E69">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62E69" w:rsidP="00C62E69">
            <w:pPr>
              <w:pStyle w:val="BodyText"/>
            </w:pPr>
            <w:r w:rsidRPr="00C62E69">
              <w:t>The Evidence Guide form</w:t>
            </w:r>
            <w:r w:rsidRPr="00C62E69">
              <w:t>s an integral part of this Competency Standard Unit and shall be used in conjunction with all component parts of this unit and, performed in accordance with the Assessment Guidelines of this Training Package.</w:t>
            </w:r>
          </w:p>
        </w:tc>
      </w:tr>
    </w:tbl>
    <w:p w:rsidR="00000000" w:rsidRPr="00C62E69" w:rsidP="00C62E69">
      <w:pPr>
        <w:pStyle w:val="BodyText"/>
      </w:pPr>
    </w:p>
    <w:tbl>
      <w:tblPr>
        <w:tblW w:w="0" w:type="auto"/>
        <w:tblLayout w:type="fixed"/>
        <w:tblCellMar>
          <w:left w:w="62" w:type="dxa"/>
          <w:right w:w="62" w:type="dxa"/>
        </w:tblCellMar>
        <w:tblLook w:val="0000"/>
      </w:tblPr>
      <w:tblGrid>
        <w:gridCol w:w="1890"/>
        <w:gridCol w:w="6570"/>
      </w:tblGrid>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9.1)</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Longitudinal competency development approaches to assessment, such as Profiling, require data to be reliably gathered in a form that can be consistently interpreted over time. This approach is best utilised in Apprenticeship programs and reduces assessment</w:t>
            </w:r>
            <w:r w:rsidRPr="00C62E6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62E69">
              <w:t>tency in a realistically simulated work environment. It is recognised that, in some circumstances, assessment in part or full can occur outside the workplace. However, it must be in accord with Industry and, Regulatory policy in this regard.</w:t>
            </w:r>
          </w:p>
          <w:p w:rsidR="00000000" w:rsidRPr="00C62E69" w:rsidP="00C62E69">
            <w:pPr>
              <w:pStyle w:val="BodyText"/>
            </w:pPr>
            <w:r w:rsidRPr="00C62E69">
              <w:t>Methods chosen</w:t>
            </w:r>
            <w:r w:rsidRPr="00C62E6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62E69">
              <w:t>equired and the critical nature of the competencies being assessed.</w:t>
            </w:r>
          </w:p>
          <w:p w:rsidR="00000000" w:rsidRPr="00C62E69" w:rsidP="00C62E69">
            <w:pPr>
              <w:pStyle w:val="BodyText"/>
            </w:pPr>
            <w:r w:rsidRPr="00C62E69">
              <w:t>The critical safety nature of working with electricity, electrical equipment, gas or any other hazardous substance/material carries risk in deeming a person competent. Hence, sources of ev</w:t>
            </w:r>
            <w:r w:rsidRPr="00C62E69">
              <w:t>idence need to be ‘rich’ in nature so as to minimise error in judgment.</w:t>
            </w:r>
          </w:p>
          <w:p w:rsidR="00000000" w:rsidRPr="00C62E69" w:rsidP="00C62E69">
            <w:pPr>
              <w:pStyle w:val="BodyText"/>
            </w:pPr>
            <w:r w:rsidRPr="00C62E69">
              <w:t>Activities associated with normal every day work have a bearing on the decision as to how much and how detailed the data gathered will contribute to its ‘richness’. Some skills are mor</w:t>
            </w:r>
            <w:r w:rsidRPr="00C62E69">
              <w:t>e critical to safety and operational requirements while the same skills may be more or less frequently practiced. These points are raised for the assessors to consider when choosing an assessment method and developing assessment instruments. Sample assessm</w:t>
            </w:r>
            <w:r w:rsidRPr="00C62E69">
              <w:t>ent instruments are included for Assessors in the Assessment Guidelines of this Training Package.</w:t>
            </w:r>
          </w:p>
        </w:tc>
      </w:tr>
    </w:tbl>
    <w:p w:rsidR="00000000" w:rsidRPr="00C62E69" w:rsidP="00C62E6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9.2)</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Before the critical aspects of evidence are considered all prerequisi</w:t>
            </w:r>
            <w:r w:rsidRPr="00C62E69">
              <w:t>tes shall be met.</w:t>
            </w:r>
          </w:p>
          <w:p w:rsidR="00000000" w:rsidRPr="00C62E69" w:rsidP="00C62E69">
            <w:pPr>
              <w:pStyle w:val="BodyText"/>
            </w:pPr>
            <w:r w:rsidRPr="00C62E69">
              <w:t xml:space="preserve">Evidence for competence in this unit shall be considered holistically. Each element and associated Performance Criteria shall be demonstrated on at least two occasions in accordance with the “Assessment Guidelines – UET12UET12”. Evidence </w:t>
            </w:r>
            <w:r w:rsidRPr="00C62E69">
              <w:t>shall also comprise:</w:t>
            </w:r>
          </w:p>
          <w:p w:rsidR="00000000" w:rsidRPr="00C62E69" w:rsidP="00C62E69">
            <w:pPr>
              <w:pStyle w:val="ListBullet"/>
            </w:pPr>
            <w:r w:rsidRPr="00C62E69">
              <w:t>A representative body of Performance Criteria demonstrated within the timeframes typically expected of the discipline, work function and industrial environment. In particular this shall incorporate evidence that shows a candidate is a</w:t>
            </w:r>
            <w:r w:rsidRPr="00C62E69">
              <w:t>ble to:</w:t>
            </w:r>
          </w:p>
          <w:p w:rsidR="00000000" w:rsidRPr="00C62E69" w:rsidP="00C62E69">
            <w:pPr>
              <w:pStyle w:val="ListBullet2"/>
            </w:pPr>
            <w:r w:rsidRPr="00C62E69">
              <w:t>Implement Occupational Health and Safety workplace procedures and practices including the use of risk control measures as specified in the Performance Criteria and range; and</w:t>
            </w:r>
          </w:p>
          <w:p w:rsidR="00000000" w:rsidRPr="00C62E69" w:rsidP="00C62E69">
            <w:pPr>
              <w:pStyle w:val="ListBullet2"/>
            </w:pPr>
            <w:r w:rsidRPr="00C62E69">
              <w:t>Apply sustainable energy principles and practices as specified in the Pe</w:t>
            </w:r>
            <w:r w:rsidRPr="00C62E69">
              <w:t>rformance Criteria and range; and</w:t>
            </w:r>
          </w:p>
          <w:p w:rsidR="00000000" w:rsidRPr="00C62E69" w:rsidP="00C62E69">
            <w:pPr>
              <w:pStyle w:val="ListBullet2"/>
            </w:pPr>
            <w:r w:rsidRPr="00C62E69">
              <w:t>Demonstrate an understanding of the essential knowledge and associated skills as described in this unit to such an extent that the learner’s performance outcome is reported in accordance with the preferred approach; namely</w:t>
            </w:r>
            <w:r w:rsidRPr="00C62E69">
              <w:t xml:space="preserve"> a percentile graded result, where required by the regulated environment; and</w:t>
            </w:r>
          </w:p>
          <w:p w:rsidR="00000000" w:rsidRPr="00C62E69" w:rsidP="00C62E69">
            <w:pPr>
              <w:pStyle w:val="ListBullet2"/>
            </w:pPr>
            <w:r w:rsidRPr="00C62E69">
              <w:t>Demonstrate an appropriate level of employability skills; and</w:t>
            </w:r>
          </w:p>
          <w:p w:rsidR="00000000" w:rsidRPr="00C62E69" w:rsidP="00C62E69">
            <w:pPr>
              <w:pStyle w:val="ListBullet"/>
            </w:pPr>
            <w:r w:rsidRPr="00C62E69">
              <w:t>Conduct work observing the relevant Anti Discrimination legislation, regulations, policies and workplace procedures</w:t>
            </w:r>
            <w:r w:rsidRPr="00C62E69">
              <w:t>; and</w:t>
            </w:r>
          </w:p>
          <w:p w:rsidR="00000000" w:rsidP="00C62E69">
            <w:pPr>
              <w:pStyle w:val="ListBullet2"/>
              <w:rPr>
                <w:lang w:val="en-NZ"/>
              </w:rPr>
            </w:pPr>
            <w:r w:rsidRPr="00C62E69">
              <w:t>Demonstrated performance across a representative range of contexts from the prescribed items below:</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62E6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rPr>
                <w:rStyle w:val="SpecialBold"/>
              </w:rPr>
              <w:t>Range of tools/equipment/materials/procedures/workplaces/other variables</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62E6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E69" w:rsidP="00C62E69">
            <w:pPr>
              <w:pStyle w:val="BodyText"/>
            </w:pPr>
            <w:r w:rsidRPr="00C62E6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E69" w:rsidP="00C62E69">
            <w:pPr>
              <w:pStyle w:val="BodyText"/>
            </w:pPr>
            <w:r w:rsidRPr="00C62E6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rPr>
                <w:rStyle w:val="SpecialBold"/>
              </w:rPr>
              <w:t>Item List</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t>Completion of six (6) compliant technical designs of an overhead distribution or sub transmission system with at least one relating to each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E69" w:rsidP="00C62E69">
            <w:pPr>
              <w:pStyle w:val="BodyText"/>
            </w:pPr>
            <w:r w:rsidRPr="00C62E69">
              <w:t>Multi-pole extensions</w:t>
            </w:r>
          </w:p>
          <w:p w:rsidR="00000000" w:rsidRPr="00C62E69" w:rsidP="00C62E69">
            <w:pPr>
              <w:pStyle w:val="BodyText"/>
            </w:pPr>
            <w:r w:rsidRPr="00C62E69">
              <w:t>In-line pole relocations</w:t>
            </w:r>
          </w:p>
          <w:p w:rsidR="00000000" w:rsidP="00C62E69">
            <w:pPr>
              <w:pStyle w:val="BodyText"/>
              <w:rPr>
                <w:lang w:val="en-NZ"/>
              </w:rPr>
            </w:pPr>
            <w:r w:rsidRPr="00C62E69">
              <w:t>Multi-circuit overhead lines</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t>Designs should also include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E69" w:rsidP="00C62E69">
            <w:pPr>
              <w:pStyle w:val="BodyText"/>
            </w:pPr>
            <w:r w:rsidRPr="00C62E69">
              <w:t xml:space="preserve">Activities that address the correction of errors in the process. </w:t>
            </w:r>
          </w:p>
          <w:p w:rsidR="00000000" w:rsidP="00C62E69">
            <w:pPr>
              <w:pStyle w:val="BodyText"/>
              <w:rPr>
                <w:lang w:val="en-NZ"/>
              </w:rPr>
            </w:pPr>
            <w:r w:rsidRPr="00C62E69">
              <w:t>Application of a design control checklist which lists all o</w:t>
            </w:r>
            <w:r w:rsidRPr="00C62E69">
              <w:t>f the required design activities to be carried out in this process.</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E69">
            <w:pPr>
              <w:pStyle w:val="BodyText"/>
              <w:rPr>
                <w:lang w:val="en-NZ"/>
              </w:rPr>
            </w:pPr>
            <w:r w:rsidRPr="00C62E6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E69" w:rsidP="00C62E69">
            <w:pPr>
              <w:pStyle w:val="BodyText"/>
            </w:pPr>
            <w:r w:rsidRPr="00C62E69">
              <w:t xml:space="preserve">Dealing with an unplanned event by drawing on essential </w:t>
            </w:r>
            <w:r w:rsidRPr="00C62E69">
              <w:t xml:space="preserve">knowledge and associated skills to provide appropriate solutions incorporated in the </w:t>
            </w:r>
            <w:r w:rsidRPr="00C62E69">
              <w:t>holistic assessment with the above listed items.</w:t>
            </w:r>
          </w:p>
        </w:tc>
      </w:tr>
    </w:tbl>
    <w:p w:rsidR="00000000" w:rsidRPr="00C62E69" w:rsidP="00C62E69">
      <w:pPr>
        <w:pStyle w:val="BodyText"/>
      </w:pPr>
    </w:p>
    <w:tbl>
      <w:tblPr>
        <w:tblW w:w="0" w:type="auto"/>
        <w:tblLayout w:type="fixed"/>
        <w:tblCellMar>
          <w:left w:w="62" w:type="dxa"/>
          <w:right w:w="62" w:type="dxa"/>
        </w:tblCellMar>
        <w:tblLook w:val="0000"/>
      </w:tblPr>
      <w:tblGrid>
        <w:gridCol w:w="1890"/>
        <w:gridCol w:w="6570"/>
      </w:tblGrid>
      <w:tr w:rsidTr="007B705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9.3)</w:t>
            </w:r>
          </w:p>
        </w:tc>
      </w:tr>
      <w:tr w:rsidTr="007B705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This unit should be assessed as it relates to normal work practice using procedures, information and resources typical of a workplace. This should in</w:t>
            </w:r>
            <w:r w:rsidRPr="00C62E69">
              <w:t>clude:</w:t>
            </w:r>
          </w:p>
          <w:p w:rsidR="00000000" w:rsidRPr="00C62E69" w:rsidP="00C62E69">
            <w:pPr>
              <w:pStyle w:val="ListBullet"/>
            </w:pPr>
            <w:r w:rsidRPr="00C62E69">
              <w:t>OHS policy and work procedures and instructions.</w:t>
            </w:r>
          </w:p>
          <w:p w:rsidR="00000000" w:rsidRPr="00C62E69" w:rsidP="00C62E69">
            <w:pPr>
              <w:pStyle w:val="ListBullet"/>
            </w:pPr>
            <w:r w:rsidRPr="00C62E69">
              <w:t>Suitable work environment, facilities, equipment and materials to undertake actual safe design of overhead distribution systems.</w:t>
            </w:r>
          </w:p>
          <w:p w:rsidR="00000000" w:rsidRPr="00C62E69" w:rsidP="00C62E69">
            <w:pPr>
              <w:pStyle w:val="BodyText"/>
            </w:pPr>
            <w:r w:rsidRPr="00C62E69">
              <w:t xml:space="preserve">In addition to the resources listed above, in Context of and specific resources for assessment, evidence should show demonstrated competency working in realistic environment and a variety of conditions </w:t>
            </w:r>
          </w:p>
        </w:tc>
      </w:tr>
    </w:tbl>
    <w:p w:rsidR="00000000" w:rsidRPr="00C62E69" w:rsidP="00C62E69">
      <w:pPr>
        <w:pStyle w:val="BodyText"/>
      </w:pPr>
    </w:p>
    <w:tbl>
      <w:tblPr>
        <w:tblW w:w="0" w:type="auto"/>
        <w:tblLayout w:type="fixed"/>
        <w:tblCellMar>
          <w:left w:w="62" w:type="dxa"/>
          <w:right w:w="62" w:type="dxa"/>
        </w:tblCellMar>
        <w:tblLook w:val="0000"/>
      </w:tblPr>
      <w:tblGrid>
        <w:gridCol w:w="1890"/>
        <w:gridCol w:w="6570"/>
      </w:tblGrid>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9.4)</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This Competency Standard Unit shall be assessed by methods given in Volume 1, Part 3 “Assessment Guidelines”.</w:t>
            </w:r>
          </w:p>
          <w:p w:rsidR="00000000" w:rsidRPr="00C62E69" w:rsidP="00C62E69">
            <w:pPr>
              <w:pStyle w:val="BodyText"/>
            </w:pPr>
            <w:r w:rsidRPr="00C62E69">
              <w:t>Note:</w:t>
            </w:r>
          </w:p>
          <w:p w:rsidR="00000000" w:rsidRPr="00C62E69" w:rsidP="00C62E69">
            <w:pPr>
              <w:pStyle w:val="BodyText"/>
            </w:pPr>
            <w:r w:rsidRPr="00C62E69">
              <w:t xml:space="preserve">Competent performance with inherent safe working practices is expected in the Industry to which this Competency Standard Unit applies. This </w:t>
            </w:r>
            <w:r w:rsidRPr="00C62E69">
              <w:t>requires that the specified essential knowledge and associated skills are assessed in a structured environment which is primarily intended for learning/assessment and incorporates all necessary equipment and facilities for learners to develop and demonstra</w:t>
            </w:r>
            <w:r w:rsidRPr="00C62E69">
              <w:t>te the essential knowledge and associated skills described in this unit.</w:t>
            </w:r>
          </w:p>
        </w:tc>
      </w:tr>
    </w:tbl>
    <w:p w:rsidR="00000000" w:rsidRPr="00C62E69" w:rsidP="00C62E69">
      <w:pPr>
        <w:pStyle w:val="BodyText"/>
      </w:pPr>
    </w:p>
    <w:tbl>
      <w:tblPr>
        <w:tblW w:w="0" w:type="auto"/>
        <w:tblLayout w:type="fixed"/>
        <w:tblCellMar>
          <w:left w:w="62" w:type="dxa"/>
          <w:right w:w="62" w:type="dxa"/>
        </w:tblCellMar>
        <w:tblLook w:val="0000"/>
      </w:tblPr>
      <w:tblGrid>
        <w:gridCol w:w="1890"/>
        <w:gridCol w:w="6570"/>
      </w:tblGrid>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9.5)</w:t>
            </w:r>
          </w:p>
        </w:tc>
      </w:tr>
      <w:tr w:rsidTr="007B7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There are no recommended concurrencies for this unit.</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11" w:name="O_463358"/>
      <w:bookmarkEnd w:id="11"/>
      <w:r w:rsidRPr="00C62E69">
        <w:t>Range Statement</w:t>
      </w:r>
    </w:p>
    <w:tbl>
      <w:tblPr>
        <w:tblW w:w="0" w:type="auto"/>
        <w:tblLayout w:type="fixed"/>
        <w:tblCellMar>
          <w:left w:w="62" w:type="dxa"/>
          <w:right w:w="62" w:type="dxa"/>
        </w:tblCellMar>
        <w:tblLook w:val="0000"/>
      </w:tblPr>
      <w:tblGrid>
        <w:gridCol w:w="8460"/>
      </w:tblGrid>
      <w:tr w:rsidTr="007B7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RANGE STATEMENT</w:t>
            </w:r>
          </w:p>
        </w:tc>
      </w:tr>
      <w:tr w:rsidTr="007B70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10)</w:t>
            </w:r>
            <w:r w:rsidRPr="00C62E69">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62E69" w:rsidP="00C62E69">
            <w:pPr>
              <w:pStyle w:val="BodyText"/>
            </w:pPr>
            <w:r w:rsidRPr="00C62E69">
              <w:t xml:space="preserve">This Competency Standard Unit </w:t>
            </w:r>
            <w:r w:rsidRPr="00C62E69">
              <w:t>shall be demonstrated in relation to the design of overhead distribution systems using safe design, engineering principles and schedules and may include the following equipment:</w:t>
            </w:r>
          </w:p>
          <w:p w:rsidR="00000000" w:rsidRPr="00C62E69" w:rsidP="00C62E69">
            <w:pPr>
              <w:pStyle w:val="BodyText"/>
            </w:pPr>
            <w:r w:rsidRPr="00C62E69">
              <w:t>Pole (including wood, concrete, steel and composite) associated hardware inclu</w:t>
            </w:r>
            <w:r w:rsidRPr="00C62E69">
              <w:t>ding conductors (bare wire and covered ), crossarms, insulators, stays, ACR, regulator, earthing, air break switches, gas switches, capacitor units, transformers, links, fuses, sectionalisers, surge arrestors, HV switchgear, LV switchgear, control boxes, c</w:t>
            </w:r>
            <w:r w:rsidRPr="00C62E69">
              <w:t>ommunications equipment, luminaires/lanterns, signage, supervisory cable, cable TV, substations, relevant protection systems and associated civil works.</w:t>
            </w:r>
          </w:p>
          <w:p w:rsidR="00000000" w:rsidRPr="00C62E69" w:rsidP="00C62E69">
            <w:pPr>
              <w:pStyle w:val="BodyText"/>
            </w:pPr>
            <w:r w:rsidRPr="00C62E69">
              <w:t>May include computer based drafting and design technologies.</w:t>
            </w:r>
          </w:p>
          <w:p w:rsidR="00000000" w:rsidRPr="00C62E69" w:rsidP="00C62E69">
            <w:pPr>
              <w:pStyle w:val="BodyText"/>
            </w:pPr>
            <w:r w:rsidRPr="00C62E69">
              <w:t>The following constants and variables incl</w:t>
            </w:r>
            <w:r w:rsidRPr="00C62E69">
              <w:t>uded in the element/Performance Criteria in this unit are fully described in the Definitions Section 1 of this volume and form an integral part of the Range Statement of this unit:</w:t>
            </w:r>
          </w:p>
          <w:p w:rsidR="00000000" w:rsidRPr="00C62E69" w:rsidP="00C62E69">
            <w:pPr>
              <w:pStyle w:val="ListBullet3"/>
            </w:pPr>
            <w:r w:rsidRPr="00C62E69">
              <w:t>Appropriate and relevant persons (see Personnel)</w:t>
            </w:r>
          </w:p>
          <w:p w:rsidR="00000000" w:rsidRPr="00C62E69" w:rsidP="00C62E69">
            <w:pPr>
              <w:pStyle w:val="ListBullet3"/>
            </w:pPr>
            <w:r w:rsidRPr="00C62E69">
              <w:t>Appropriate authorities</w:t>
            </w:r>
          </w:p>
          <w:p w:rsidR="00000000" w:rsidRPr="00C62E69" w:rsidP="00C62E69">
            <w:pPr>
              <w:pStyle w:val="ListBullet3"/>
            </w:pPr>
            <w:r w:rsidRPr="00C62E69">
              <w:t>A</w:t>
            </w:r>
            <w:r w:rsidRPr="00C62E69">
              <w:t>ppropriate work platform</w:t>
            </w:r>
          </w:p>
          <w:p w:rsidR="00000000" w:rsidRPr="00C62E69" w:rsidP="00C62E69">
            <w:pPr>
              <w:pStyle w:val="ListBullet3"/>
            </w:pPr>
            <w:r w:rsidRPr="00C62E69">
              <w:t>Assessing risk</w:t>
            </w:r>
          </w:p>
          <w:p w:rsidR="00000000" w:rsidRPr="00C62E69" w:rsidP="00C62E69">
            <w:pPr>
              <w:pStyle w:val="ListBullet3"/>
            </w:pPr>
            <w:r w:rsidRPr="00C62E69">
              <w:t>Assessment</w:t>
            </w:r>
          </w:p>
          <w:p w:rsidR="00000000" w:rsidRPr="00C62E69" w:rsidP="00C62E69">
            <w:pPr>
              <w:pStyle w:val="ListBullet3"/>
            </w:pPr>
            <w:r w:rsidRPr="00C62E69">
              <w:t>Authorisation</w:t>
            </w:r>
          </w:p>
          <w:p w:rsidR="00000000" w:rsidRPr="00C62E69" w:rsidP="00C62E69">
            <w:pPr>
              <w:pStyle w:val="ListBullet3"/>
            </w:pPr>
            <w:r w:rsidRPr="00C62E69">
              <w:t>Confined space</w:t>
            </w:r>
          </w:p>
          <w:p w:rsidR="00000000" w:rsidRPr="00C62E69" w:rsidP="00C62E69">
            <w:pPr>
              <w:pStyle w:val="ListBullet3"/>
            </w:pPr>
            <w:r w:rsidRPr="00C62E69">
              <w:t>Diagnostic, testing and restoration</w:t>
            </w:r>
          </w:p>
          <w:p w:rsidR="00000000" w:rsidRPr="00C62E69" w:rsidP="00C62E69">
            <w:pPr>
              <w:pStyle w:val="ListBullet3"/>
            </w:pPr>
            <w:r w:rsidRPr="00C62E69">
              <w:t>Documenting detail work events, record keeping and or storage of information</w:t>
            </w:r>
          </w:p>
          <w:p w:rsidR="00000000" w:rsidRPr="00C62E69" w:rsidP="00C62E69">
            <w:pPr>
              <w:pStyle w:val="ListBullet3"/>
            </w:pPr>
            <w:r w:rsidRPr="00C62E69">
              <w:t>Drawings and specifications</w:t>
            </w:r>
          </w:p>
          <w:p w:rsidR="00000000" w:rsidRPr="00C62E69" w:rsidP="00C62E69">
            <w:pPr>
              <w:pStyle w:val="ListBullet3"/>
            </w:pPr>
            <w:r w:rsidRPr="00C62E69">
              <w:t>Emergency</w:t>
            </w:r>
          </w:p>
          <w:p w:rsidR="00000000" w:rsidRPr="00C62E69" w:rsidP="00C62E69">
            <w:pPr>
              <w:pStyle w:val="ListBullet3"/>
            </w:pPr>
            <w:r w:rsidRPr="00C62E69">
              <w:t>Environmental and sustainable energy procedures</w:t>
            </w:r>
          </w:p>
          <w:p w:rsidR="00000000" w:rsidRPr="00C62E69" w:rsidP="00C62E69">
            <w:pPr>
              <w:pStyle w:val="ListBullet3"/>
            </w:pPr>
            <w:r w:rsidRPr="00C62E69">
              <w:t>Environmental legislation</w:t>
            </w:r>
          </w:p>
          <w:p w:rsidR="00000000" w:rsidRPr="00C62E69" w:rsidP="00C62E69">
            <w:pPr>
              <w:pStyle w:val="ListBullet3"/>
            </w:pPr>
            <w:r w:rsidRPr="00C62E69">
              <w:t>Environmental management documentation</w:t>
            </w:r>
          </w:p>
          <w:p w:rsidR="00000000" w:rsidRPr="00C62E69" w:rsidP="00C62E69">
            <w:pPr>
              <w:pStyle w:val="ListBullet3"/>
            </w:pPr>
            <w:r w:rsidRPr="00C62E69">
              <w:t>Established procedures</w:t>
            </w:r>
          </w:p>
          <w:p w:rsidR="00000000" w:rsidRPr="00C62E69" w:rsidP="00C62E69">
            <w:pPr>
              <w:pStyle w:val="ListBullet3"/>
            </w:pPr>
            <w:r w:rsidRPr="00C62E69">
              <w:t>Fall prevention</w:t>
            </w:r>
          </w:p>
          <w:p w:rsidR="00000000" w:rsidRPr="00C62E69" w:rsidP="00C62E69">
            <w:pPr>
              <w:pStyle w:val="ListBullet3"/>
            </w:pPr>
            <w:r w:rsidRPr="00C62E69">
              <w:t>Hazards</w:t>
            </w:r>
          </w:p>
          <w:p w:rsidR="00000000" w:rsidRPr="00C62E69" w:rsidP="00C62E69">
            <w:pPr>
              <w:pStyle w:val="ListBullet3"/>
            </w:pPr>
            <w:r w:rsidRPr="00C62E69">
              <w:t>Identifying hazards</w:t>
            </w:r>
          </w:p>
          <w:p w:rsidR="00000000" w:rsidRPr="00C62E69" w:rsidP="00C62E69">
            <w:pPr>
              <w:pStyle w:val="ListBullet3"/>
            </w:pPr>
            <w:r w:rsidRPr="00C62E69">
              <w:t>Inspect</w:t>
            </w:r>
          </w:p>
          <w:p w:rsidR="00000000" w:rsidRPr="00C62E69" w:rsidP="00C62E69">
            <w:pPr>
              <w:pStyle w:val="ListBullet3"/>
            </w:pPr>
            <w:r w:rsidRPr="00C62E69">
              <w:t>Legislation</w:t>
            </w:r>
          </w:p>
          <w:p w:rsidR="00000000" w:rsidRPr="00C62E69" w:rsidP="00C62E69">
            <w:pPr>
              <w:pStyle w:val="ListBullet3"/>
            </w:pPr>
            <w:r w:rsidRPr="00C62E69">
              <w:t>MSDS</w:t>
            </w:r>
          </w:p>
          <w:p w:rsidR="00000000" w:rsidRPr="00C62E69" w:rsidP="00C62E69">
            <w:pPr>
              <w:pStyle w:val="ListBullet3"/>
            </w:pPr>
            <w:r w:rsidRPr="00C62E69">
              <w:t>Notification</w:t>
            </w:r>
          </w:p>
          <w:p w:rsidR="00000000" w:rsidRPr="00C62E69" w:rsidP="00C62E69">
            <w:pPr>
              <w:pStyle w:val="ListBullet3"/>
            </w:pPr>
            <w:r w:rsidRPr="00C62E69">
              <w:t>OHS practices</w:t>
            </w:r>
          </w:p>
          <w:p w:rsidR="00000000" w:rsidRPr="00C62E69" w:rsidP="00C62E69">
            <w:pPr>
              <w:pStyle w:val="ListBullet3"/>
            </w:pPr>
            <w:r w:rsidRPr="00C62E69">
              <w:t>OHS issues</w:t>
            </w:r>
          </w:p>
          <w:p w:rsidR="00000000" w:rsidRPr="00C62E69" w:rsidP="00C62E69">
            <w:pPr>
              <w:pStyle w:val="ListBullet3"/>
            </w:pPr>
            <w:r w:rsidRPr="00C62E69">
              <w:t>Permits and/o</w:t>
            </w:r>
            <w:r w:rsidRPr="00C62E69">
              <w:t>r permits to work</w:t>
            </w:r>
          </w:p>
          <w:p w:rsidR="00000000" w:rsidRPr="00C62E69" w:rsidP="00C62E69">
            <w:pPr>
              <w:pStyle w:val="ListBullet3"/>
            </w:pPr>
            <w:r w:rsidRPr="00C62E69">
              <w:t>Personnel</w:t>
            </w:r>
          </w:p>
          <w:p w:rsidR="00000000" w:rsidRPr="00C62E69" w:rsidP="00C62E69">
            <w:pPr>
              <w:pStyle w:val="ListBullet3"/>
            </w:pPr>
            <w:r w:rsidRPr="00C62E69">
              <w:t>Quality assurance systems</w:t>
            </w:r>
          </w:p>
          <w:p w:rsidR="00000000" w:rsidRPr="00C62E69" w:rsidP="00C62E69">
            <w:pPr>
              <w:pStyle w:val="ListBullet3"/>
            </w:pPr>
            <w:r w:rsidRPr="00C62E69">
              <w:t>Requirements</w:t>
            </w:r>
          </w:p>
          <w:p w:rsidR="00000000" w:rsidRPr="00C62E69" w:rsidP="00C62E69">
            <w:pPr>
              <w:pStyle w:val="ListBullet3"/>
            </w:pPr>
            <w:r w:rsidRPr="00C62E69">
              <w:t>Safe design principles</w:t>
            </w:r>
          </w:p>
          <w:p w:rsidR="00000000" w:rsidRPr="00C62E69" w:rsidP="00C62E69">
            <w:pPr>
              <w:pStyle w:val="ListBullet3"/>
            </w:pPr>
            <w:r w:rsidRPr="00C62E69">
              <w:t>Testing procedures</w:t>
            </w:r>
          </w:p>
          <w:p w:rsidR="00000000" w:rsidRPr="00C62E69" w:rsidP="00C62E69">
            <w:pPr>
              <w:pStyle w:val="ListBullet3"/>
            </w:pPr>
            <w:r w:rsidRPr="00C62E69">
              <w:t>Work clearance systems</w:t>
            </w:r>
          </w:p>
        </w:tc>
      </w:tr>
    </w:tbl>
    <w:p w:rsidR="00000000" w:rsidRPr="00C62E69" w:rsidP="00C62E69">
      <w:pPr>
        <w:pStyle w:val="BodyText"/>
      </w:pPr>
    </w:p>
    <w:p w:rsidR="00000000" w:rsidRPr="00C62E69" w:rsidP="00C62E69">
      <w:pPr>
        <w:pStyle w:val="AllowPageBreak"/>
      </w:pPr>
    </w:p>
    <w:p w:rsidR="00000000" w:rsidRPr="00C62E69" w:rsidP="00C62E69">
      <w:pPr>
        <w:pStyle w:val="Heading1"/>
      </w:pPr>
      <w:bookmarkStart w:id="12" w:name="O_463361"/>
      <w:bookmarkEnd w:id="12"/>
      <w:r w:rsidRPr="00C62E69">
        <w:t>Unit Sector(s)</w:t>
      </w:r>
    </w:p>
    <w:p w:rsidR="00000000" w:rsidRPr="00C62E69" w:rsidP="00C62E69">
      <w:pPr>
        <w:pStyle w:val="BodyText"/>
      </w:pPr>
      <w:r w:rsidRPr="00C62E69">
        <w:t>Not applicable.</w:t>
      </w:r>
    </w:p>
    <w:p w:rsidR="00000000" w:rsidRPr="00C62E69" w:rsidP="00C62E69">
      <w:pPr>
        <w:pStyle w:val="AllowPageBreak"/>
      </w:pPr>
    </w:p>
    <w:p w:rsidR="00000000" w:rsidRPr="00C62E69" w:rsidP="00C62E69">
      <w:pPr>
        <w:pStyle w:val="Heading1"/>
      </w:pPr>
      <w:bookmarkStart w:id="13" w:name="O_463350"/>
      <w:bookmarkEnd w:id="13"/>
      <w:r w:rsidRPr="00C62E69">
        <w:t>Competency Field</w:t>
      </w:r>
    </w:p>
    <w:tbl>
      <w:tblPr>
        <w:tblW w:w="0" w:type="auto"/>
        <w:tblLayout w:type="fixed"/>
        <w:tblCellMar>
          <w:left w:w="62" w:type="dxa"/>
          <w:right w:w="62" w:type="dxa"/>
        </w:tblCellMar>
        <w:tblLook w:val="0000"/>
      </w:tblPr>
      <w:tblGrid>
        <w:gridCol w:w="2700"/>
        <w:gridCol w:w="5760"/>
      </w:tblGrid>
      <w:tr w:rsidTr="007B7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2E69">
            <w:pPr>
              <w:pStyle w:val="BodyText"/>
              <w:rPr>
                <w:lang w:val="en-NZ"/>
              </w:rPr>
            </w:pPr>
            <w:r w:rsidRPr="00C62E69">
              <w:rPr>
                <w:rStyle w:val="SpecialBold"/>
              </w:rPr>
              <w:t xml:space="preserve">11) </w:t>
            </w:r>
          </w:p>
        </w:tc>
      </w:tr>
      <w:tr w:rsidTr="007B7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2E69" w:rsidP="00C62E69">
            <w:pPr>
              <w:pStyle w:val="BodyText"/>
            </w:pPr>
            <w:r w:rsidRPr="00C62E69">
              <w:t>Design.</w:t>
            </w:r>
          </w:p>
        </w:tc>
      </w:tr>
    </w:tbl>
    <w:p w:rsidR="00000000" w:rsidRPr="00C62E69" w:rsidP="00C62E69">
      <w:pPr>
        <w:pStyle w:val="BodyText"/>
      </w:pPr>
    </w:p>
    <w:p w:rsidR="00000000" w:rsidRPr="00C62E69" w:rsidP="00C62E69"/>
    <w:sectPr w:rsidSect="00C62E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054" w:rsidP="007B7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54" w:rsidP="00C62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7054" w:rsidP="00C62E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7054" w:rsidP="00C62E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054" w:rsidP="007B70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54" w:rsidP="00C62E69">
    <w:pPr>
      <w:pStyle w:val="Header"/>
      <w:framePr w:wrap="around"/>
    </w:pPr>
    <w:r>
      <w:fldChar w:fldCharType="begin"/>
    </w:r>
    <w:r>
      <w:instrText xml:space="preserve"> TITLE   \* MERGEFORMAT </w:instrText>
    </w:r>
    <w:r>
      <w:fldChar w:fldCharType="separate"/>
    </w:r>
    <w:r>
      <w:t>UETTDRDS35A Design overhead distribution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7054" w:rsidP="00C62E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AB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CA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A4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E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E69"/>
    <w:pPr>
      <w:spacing w:before="360" w:after="60"/>
      <w:outlineLvl w:val="0"/>
    </w:pPr>
    <w:rPr>
      <w:sz w:val="32"/>
    </w:rPr>
  </w:style>
  <w:style w:type="paragraph" w:styleId="Heading2">
    <w:name w:val="heading 2"/>
    <w:basedOn w:val="HeadingBase"/>
    <w:next w:val="BodyText"/>
    <w:link w:val="Heading2Char"/>
    <w:qFormat/>
    <w:rsid w:val="00C62E69"/>
    <w:pPr>
      <w:keepLines/>
      <w:spacing w:before="240" w:after="120"/>
      <w:outlineLvl w:val="1"/>
    </w:pPr>
    <w:rPr>
      <w:sz w:val="28"/>
      <w:szCs w:val="40"/>
    </w:rPr>
  </w:style>
  <w:style w:type="paragraph" w:styleId="Heading3">
    <w:name w:val="heading 3"/>
    <w:basedOn w:val="HeadingBase"/>
    <w:next w:val="BodyText"/>
    <w:link w:val="Heading3Char"/>
    <w:qFormat/>
    <w:rsid w:val="00C62E69"/>
    <w:pPr>
      <w:spacing w:before="180" w:after="120"/>
      <w:outlineLvl w:val="2"/>
    </w:pPr>
    <w:rPr>
      <w:spacing w:val="-10"/>
      <w:kern w:val="32"/>
    </w:rPr>
  </w:style>
  <w:style w:type="paragraph" w:styleId="Heading4">
    <w:name w:val="heading 4"/>
    <w:basedOn w:val="HeadingBase"/>
    <w:next w:val="BodyText"/>
    <w:link w:val="Heading4Char"/>
    <w:qFormat/>
    <w:rsid w:val="00C62E69"/>
    <w:pPr>
      <w:spacing w:before="160" w:after="120"/>
      <w:outlineLvl w:val="3"/>
    </w:pPr>
    <w:rPr>
      <w:sz w:val="22"/>
    </w:rPr>
  </w:style>
  <w:style w:type="paragraph" w:styleId="Heading5">
    <w:name w:val="heading 5"/>
    <w:basedOn w:val="HeadingBase"/>
    <w:next w:val="Normal"/>
    <w:link w:val="Heading5Char"/>
    <w:qFormat/>
    <w:rsid w:val="00C62E69"/>
    <w:pPr>
      <w:spacing w:before="80"/>
      <w:outlineLvl w:val="4"/>
    </w:pPr>
    <w:rPr>
      <w:color w:val="918585"/>
      <w:sz w:val="20"/>
    </w:rPr>
  </w:style>
  <w:style w:type="paragraph" w:styleId="Heading6">
    <w:name w:val="heading 6"/>
    <w:basedOn w:val="HeadingBase"/>
    <w:next w:val="Normal"/>
    <w:link w:val="Heading6Char"/>
    <w:qFormat/>
    <w:rsid w:val="00C62E69"/>
    <w:pPr>
      <w:spacing w:before="60"/>
      <w:outlineLvl w:val="5"/>
    </w:pPr>
    <w:rPr>
      <w:color w:val="918585"/>
      <w:sz w:val="20"/>
    </w:rPr>
  </w:style>
  <w:style w:type="paragraph" w:styleId="Heading7">
    <w:name w:val="heading 7"/>
    <w:basedOn w:val="Normal"/>
    <w:next w:val="Normal"/>
    <w:link w:val="Heading7Char"/>
    <w:qFormat/>
    <w:rsid w:val="00C62E69"/>
    <w:pPr>
      <w:ind w:left="720"/>
      <w:outlineLvl w:val="6"/>
    </w:pPr>
    <w:rPr>
      <w:i/>
    </w:rPr>
  </w:style>
  <w:style w:type="paragraph" w:styleId="Heading8">
    <w:name w:val="heading 8"/>
    <w:basedOn w:val="Normal"/>
    <w:next w:val="Normal"/>
    <w:link w:val="Heading8Char"/>
    <w:qFormat/>
    <w:rsid w:val="00C62E69"/>
    <w:pPr>
      <w:ind w:left="720"/>
      <w:outlineLvl w:val="7"/>
    </w:pPr>
    <w:rPr>
      <w:i/>
    </w:rPr>
  </w:style>
  <w:style w:type="paragraph" w:styleId="Heading9">
    <w:name w:val="heading 9"/>
    <w:basedOn w:val="Normal"/>
    <w:next w:val="Normal"/>
    <w:link w:val="Heading9Char"/>
    <w:qFormat/>
    <w:rsid w:val="00C62E69"/>
    <w:pPr>
      <w:ind w:left="720"/>
      <w:outlineLvl w:val="8"/>
    </w:pPr>
    <w:rPr>
      <w:i/>
    </w:rPr>
  </w:style>
  <w:style w:type="character" w:default="1" w:styleId="DefaultParagraphFont">
    <w:name w:val="Default Paragraph Font"/>
    <w:uiPriority w:val="1"/>
    <w:unhideWhenUsed/>
    <w:rsid w:val="00C62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E69"/>
  </w:style>
  <w:style w:type="character" w:customStyle="1" w:styleId="Heading1Char">
    <w:name w:val="Heading 1 Char"/>
    <w:basedOn w:val="DefaultParagraphFont"/>
    <w:link w:val="Heading1"/>
    <w:rsid w:val="00C62E69"/>
    <w:rPr>
      <w:rFonts w:ascii="Times New Roman" w:eastAsia="Times New Roman" w:hAnsi="Times New Roman" w:cs="Times New Roman"/>
      <w:b/>
      <w:sz w:val="32"/>
      <w:szCs w:val="20"/>
      <w:lang w:eastAsia="en-US"/>
    </w:rPr>
  </w:style>
  <w:style w:type="paragraph" w:styleId="BodyText">
    <w:name w:val="Body Text"/>
    <w:basedOn w:val="Normal"/>
    <w:link w:val="BodyTextChar"/>
    <w:rsid w:val="00C62E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E69"/>
    <w:rPr>
      <w:rFonts w:ascii="Times New Roman" w:eastAsia="Times New Roman" w:hAnsi="Times New Roman" w:cs="Times New Roman"/>
      <w:sz w:val="24"/>
      <w:lang w:val="en-US" w:eastAsia="en-US"/>
    </w:rPr>
  </w:style>
  <w:style w:type="paragraph" w:styleId="Footer">
    <w:name w:val="footer"/>
    <w:basedOn w:val="Normal"/>
    <w:link w:val="FooterChar"/>
    <w:rsid w:val="00C62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E69"/>
    <w:rPr>
      <w:rFonts w:ascii="Times New Roman" w:eastAsia="Times New Roman" w:hAnsi="Times New Roman" w:cs="Times New Roman"/>
      <w:sz w:val="16"/>
      <w:lang w:val="en-US" w:eastAsia="en-US"/>
    </w:rPr>
  </w:style>
  <w:style w:type="paragraph" w:styleId="ListBullet">
    <w:name w:val="List Bullet"/>
    <w:basedOn w:val="List"/>
    <w:rsid w:val="00C62E69"/>
    <w:pPr>
      <w:numPr>
        <w:numId w:val="14"/>
      </w:numPr>
      <w:tabs>
        <w:tab w:val="clear" w:pos="340"/>
      </w:tabs>
      <w:spacing w:before="40" w:after="40"/>
    </w:pPr>
  </w:style>
  <w:style w:type="character" w:customStyle="1" w:styleId="SpecialBold">
    <w:name w:val="Special Bold"/>
    <w:basedOn w:val="DefaultParagraphFont"/>
    <w:rsid w:val="00C62E69"/>
    <w:rPr>
      <w:b/>
      <w:spacing w:val="0"/>
    </w:rPr>
  </w:style>
  <w:style w:type="paragraph" w:styleId="ListBullet2">
    <w:name w:val="List Bullet 2"/>
    <w:basedOn w:val="List2"/>
    <w:rsid w:val="00C62E69"/>
    <w:pPr>
      <w:numPr>
        <w:numId w:val="15"/>
      </w:numPr>
      <w:tabs>
        <w:tab w:val="clear" w:pos="680"/>
      </w:tabs>
    </w:pPr>
  </w:style>
  <w:style w:type="paragraph" w:styleId="Header">
    <w:name w:val="header"/>
    <w:basedOn w:val="Normal"/>
    <w:link w:val="HeaderChar"/>
    <w:rsid w:val="00C62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E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E69"/>
    <w:pPr>
      <w:spacing w:before="240" w:after="120"/>
      <w:outlineLvl w:val="0"/>
    </w:pPr>
    <w:rPr>
      <w:rFonts w:ascii="Times New Roman" w:hAnsi="Times New Roman"/>
      <w:b/>
      <w:sz w:val="28"/>
    </w:rPr>
  </w:style>
  <w:style w:type="paragraph" w:customStyle="1" w:styleId="AllowPageBreak">
    <w:name w:val="AllowPageBreak"/>
    <w:rsid w:val="00C62E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2E69"/>
    <w:pPr>
      <w:numPr>
        <w:numId w:val="3"/>
      </w:numPr>
      <w:tabs>
        <w:tab w:val="clear" w:pos="1021"/>
      </w:tabs>
      <w:ind w:left="1037" w:hanging="357"/>
    </w:pPr>
  </w:style>
  <w:style w:type="character" w:customStyle="1" w:styleId="Heading2Char">
    <w:name w:val="Heading 2 Char"/>
    <w:basedOn w:val="DefaultParagraphFont"/>
    <w:link w:val="Heading2"/>
    <w:rsid w:val="00C62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E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E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E69"/>
    <w:rPr>
      <w:rFonts w:ascii="Courier New" w:eastAsia="Times New Roman" w:hAnsi="Courier New" w:cs="Times New Roman"/>
      <w:i/>
      <w:szCs w:val="20"/>
      <w:lang w:val="en-US" w:eastAsia="en-US"/>
    </w:rPr>
  </w:style>
  <w:style w:type="paragraph" w:customStyle="1" w:styleId="HeadingBase">
    <w:name w:val="Heading Base"/>
    <w:rsid w:val="00C62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E69"/>
    <w:pPr>
      <w:tabs>
        <w:tab w:val="right" w:leader="dot" w:pos="9072"/>
      </w:tabs>
      <w:ind w:left="567"/>
    </w:pPr>
    <w:rPr>
      <w:szCs w:val="22"/>
    </w:rPr>
  </w:style>
  <w:style w:type="paragraph" w:customStyle="1" w:styleId="TOCBase">
    <w:name w:val="TOC Base"/>
    <w:rsid w:val="00C62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E69"/>
    <w:pPr>
      <w:tabs>
        <w:tab w:val="right" w:leader="dot" w:pos="9072"/>
      </w:tabs>
      <w:spacing w:before="40" w:after="40"/>
      <w:ind w:left="284"/>
    </w:pPr>
    <w:rPr>
      <w:rFonts w:ascii="Times New Roman" w:hAnsi="Times New Roman"/>
    </w:rPr>
  </w:style>
  <w:style w:type="paragraph" w:styleId="TOC1">
    <w:name w:val="toc 1"/>
    <w:basedOn w:val="TOCBase"/>
    <w:next w:val="Normal"/>
    <w:rsid w:val="00C62E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E69"/>
    <w:pPr>
      <w:spacing w:before="5040"/>
      <w:jc w:val="center"/>
    </w:pPr>
    <w:rPr>
      <w:sz w:val="48"/>
      <w:szCs w:val="72"/>
      <w:lang w:val="en-US"/>
    </w:rPr>
  </w:style>
  <w:style w:type="character" w:customStyle="1" w:styleId="TitleChar">
    <w:name w:val="Title Char"/>
    <w:basedOn w:val="DefaultParagraphFont"/>
    <w:link w:val="Title"/>
    <w:rsid w:val="00C62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E69"/>
    <w:pPr>
      <w:tabs>
        <w:tab w:val="left" w:pos="3600"/>
        <w:tab w:val="left" w:pos="3958"/>
      </w:tabs>
    </w:pPr>
  </w:style>
  <w:style w:type="paragraph" w:styleId="List">
    <w:name w:val="List"/>
    <w:basedOn w:val="BodyText"/>
    <w:next w:val="BodyText"/>
    <w:rsid w:val="00C62E69"/>
    <w:pPr>
      <w:tabs>
        <w:tab w:val="left" w:pos="340"/>
      </w:tabs>
      <w:spacing w:before="60" w:after="60"/>
      <w:ind w:left="340" w:hanging="340"/>
    </w:pPr>
  </w:style>
  <w:style w:type="paragraph" w:customStyle="1" w:styleId="Note">
    <w:name w:val="Note"/>
    <w:basedOn w:val="BodyText"/>
    <w:rsid w:val="00C62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E69"/>
    <w:pPr>
      <w:framePr w:wrap="auto" w:hAnchor="text" w:y="6049"/>
    </w:pPr>
    <w:rPr>
      <w:color w:val="000000"/>
      <w:sz w:val="40"/>
    </w:rPr>
  </w:style>
  <w:style w:type="paragraph" w:customStyle="1" w:styleId="TOCTitle">
    <w:name w:val="TOCTitle"/>
    <w:basedOn w:val="Heading1"/>
    <w:rsid w:val="00C62E69"/>
    <w:pPr>
      <w:spacing w:after="240"/>
      <w:jc w:val="center"/>
      <w:outlineLvl w:val="9"/>
    </w:pPr>
    <w:rPr>
      <w:caps/>
    </w:rPr>
  </w:style>
  <w:style w:type="paragraph" w:customStyle="1" w:styleId="Version">
    <w:name w:val="Version"/>
    <w:rsid w:val="00C62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E69"/>
    <w:pPr>
      <w:keepNext w:val="0"/>
      <w:tabs>
        <w:tab w:val="right" w:pos="4176"/>
      </w:tabs>
      <w:ind w:left="198" w:hanging="198"/>
    </w:pPr>
    <w:rPr>
      <w:rFonts w:ascii="Garamond" w:hAnsi="Garamond"/>
    </w:rPr>
  </w:style>
  <w:style w:type="paragraph" w:styleId="IndexHeading">
    <w:name w:val="index heading"/>
    <w:basedOn w:val="Normal"/>
    <w:next w:val="Index1"/>
    <w:semiHidden/>
    <w:rsid w:val="00C62E69"/>
    <w:pPr>
      <w:spacing w:before="120" w:after="120"/>
    </w:pPr>
    <w:rPr>
      <w:rFonts w:ascii="Arial" w:hAnsi="Arial"/>
      <w:b/>
      <w:color w:val="918585"/>
      <w:sz w:val="24"/>
    </w:rPr>
  </w:style>
  <w:style w:type="paragraph" w:customStyle="1" w:styleId="Chapter">
    <w:name w:val="Chapter"/>
    <w:basedOn w:val="Normal"/>
    <w:rsid w:val="00C62E69"/>
    <w:pPr>
      <w:spacing w:before="240"/>
    </w:pPr>
    <w:rPr>
      <w:rFonts w:ascii="Times New Roman" w:hAnsi="Times New Roman"/>
      <w:smallCaps/>
      <w:spacing w:val="80"/>
      <w:sz w:val="28"/>
    </w:rPr>
  </w:style>
  <w:style w:type="paragraph" w:customStyle="1" w:styleId="InChapter">
    <w:name w:val="InChapter"/>
    <w:basedOn w:val="Heading3"/>
    <w:rsid w:val="00C62E69"/>
    <w:pPr>
      <w:spacing w:after="240"/>
      <w:outlineLvl w:val="9"/>
    </w:pPr>
    <w:rPr>
      <w:noProof/>
    </w:rPr>
  </w:style>
  <w:style w:type="paragraph" w:styleId="Index2">
    <w:name w:val="index 2"/>
    <w:basedOn w:val="Normal"/>
    <w:next w:val="Normal"/>
    <w:semiHidden/>
    <w:rsid w:val="00C62E69"/>
    <w:pPr>
      <w:tabs>
        <w:tab w:val="right" w:pos="4176"/>
      </w:tabs>
      <w:ind w:left="568" w:hanging="284"/>
    </w:pPr>
    <w:rPr>
      <w:rFonts w:ascii="Garamond" w:hAnsi="Garamond"/>
    </w:rPr>
  </w:style>
  <w:style w:type="paragraph" w:customStyle="1" w:styleId="Byline">
    <w:name w:val="Byline"/>
    <w:rsid w:val="00C62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E69"/>
    <w:pPr>
      <w:tabs>
        <w:tab w:val="clear" w:pos="3600"/>
        <w:tab w:val="clear" w:pos="3958"/>
      </w:tabs>
      <w:jc w:val="right"/>
    </w:pPr>
  </w:style>
  <w:style w:type="character" w:styleId="Emphasis">
    <w:name w:val="Emphasis"/>
    <w:basedOn w:val="DefaultParagraphFont"/>
    <w:qFormat/>
    <w:rsid w:val="00C62E69"/>
    <w:rPr>
      <w:i/>
    </w:rPr>
  </w:style>
  <w:style w:type="paragraph" w:styleId="Caption">
    <w:name w:val="caption"/>
    <w:basedOn w:val="BodyText"/>
    <w:next w:val="Normal"/>
    <w:qFormat/>
    <w:rsid w:val="00C62E69"/>
    <w:pPr>
      <w:framePr w:w="2268" w:hSpace="181" w:vSpace="181" w:wrap="around" w:vAnchor="text" w:hAnchor="page" w:x="1135" w:y="285" w:anchorLock="1"/>
    </w:pPr>
    <w:rPr>
      <w:i/>
    </w:rPr>
  </w:style>
  <w:style w:type="paragraph" w:customStyle="1" w:styleId="MiniTOCTitle">
    <w:name w:val="MiniTOCTitle"/>
    <w:basedOn w:val="Heading4"/>
    <w:rsid w:val="00C62E69"/>
    <w:pPr>
      <w:spacing w:before="240"/>
      <w:outlineLvl w:val="9"/>
    </w:pPr>
    <w:rPr>
      <w:noProof/>
      <w:sz w:val="24"/>
    </w:rPr>
  </w:style>
  <w:style w:type="paragraph" w:customStyle="1" w:styleId="MiniTOCItem">
    <w:name w:val="MiniTOCItem"/>
    <w:basedOn w:val="ListBullet"/>
    <w:rsid w:val="00C62E69"/>
    <w:pPr>
      <w:numPr>
        <w:numId w:val="0"/>
      </w:numPr>
      <w:tabs>
        <w:tab w:val="right" w:leader="dot" w:pos="6521"/>
      </w:tabs>
      <w:spacing w:before="0" w:after="0"/>
    </w:pPr>
  </w:style>
  <w:style w:type="paragraph" w:customStyle="1" w:styleId="TOFTitle">
    <w:name w:val="TOFTitle"/>
    <w:basedOn w:val="TOCTitle"/>
    <w:rsid w:val="00C62E69"/>
  </w:style>
  <w:style w:type="paragraph" w:styleId="TableofFigures">
    <w:name w:val="table of figures"/>
    <w:basedOn w:val="Normal"/>
    <w:next w:val="Normal"/>
    <w:semiHidden/>
    <w:rsid w:val="00C62E69"/>
    <w:pPr>
      <w:tabs>
        <w:tab w:val="right" w:leader="dot" w:pos="9072"/>
      </w:tabs>
      <w:ind w:left="970" w:hanging="403"/>
    </w:pPr>
    <w:rPr>
      <w:rFonts w:ascii="Times New Roman" w:hAnsi="Times New Roman"/>
      <w:b/>
    </w:rPr>
  </w:style>
  <w:style w:type="paragraph" w:styleId="ListNumber">
    <w:name w:val="List Number"/>
    <w:basedOn w:val="List"/>
    <w:rsid w:val="00C62E69"/>
    <w:pPr>
      <w:numPr>
        <w:numId w:val="12"/>
      </w:numPr>
    </w:pPr>
  </w:style>
  <w:style w:type="character" w:customStyle="1" w:styleId="WingdingSymbols">
    <w:name w:val="Wingding Symbols"/>
    <w:rsid w:val="00C62E69"/>
    <w:rPr>
      <w:rFonts w:ascii="Wingdings" w:hAnsi="Wingdings"/>
    </w:rPr>
  </w:style>
  <w:style w:type="paragraph" w:customStyle="1" w:styleId="TableHeading">
    <w:name w:val="Table Heading"/>
    <w:basedOn w:val="HeadingBase"/>
    <w:rsid w:val="00C62E69"/>
    <w:pPr>
      <w:keepLines/>
      <w:pBdr>
        <w:bottom w:val="single" w:sz="6" w:space="1" w:color="918585"/>
      </w:pBdr>
      <w:spacing w:before="240"/>
    </w:pPr>
  </w:style>
  <w:style w:type="character" w:customStyle="1" w:styleId="HotSpot">
    <w:name w:val="HotSpot"/>
    <w:rsid w:val="00C62E69"/>
    <w:rPr>
      <w:color w:val="0033CC"/>
      <w:u w:val="none"/>
    </w:rPr>
  </w:style>
  <w:style w:type="paragraph" w:customStyle="1" w:styleId="BodyTextRight">
    <w:name w:val="Body Text Right"/>
    <w:basedOn w:val="BodyText"/>
    <w:rsid w:val="00C62E69"/>
    <w:pPr>
      <w:spacing w:before="0" w:after="0"/>
      <w:jc w:val="right"/>
    </w:pPr>
  </w:style>
  <w:style w:type="paragraph" w:styleId="Index3">
    <w:name w:val="index 3"/>
    <w:basedOn w:val="ListNumber2"/>
    <w:next w:val="Normal"/>
    <w:semiHidden/>
    <w:rsid w:val="00C62E69"/>
    <w:pPr>
      <w:numPr>
        <w:numId w:val="0"/>
      </w:numPr>
      <w:tabs>
        <w:tab w:val="right" w:leader="dot" w:pos="4176"/>
      </w:tabs>
    </w:pPr>
  </w:style>
  <w:style w:type="paragraph" w:styleId="ListNumber2">
    <w:name w:val="List Number 2"/>
    <w:basedOn w:val="List2"/>
    <w:rsid w:val="00C62E69"/>
    <w:pPr>
      <w:numPr>
        <w:numId w:val="11"/>
      </w:numPr>
      <w:tabs>
        <w:tab w:val="clear" w:pos="1060"/>
      </w:tabs>
    </w:pPr>
  </w:style>
  <w:style w:type="paragraph" w:customStyle="1" w:styleId="MarginNote">
    <w:name w:val="Margin Note"/>
    <w:basedOn w:val="BodyText"/>
    <w:rsid w:val="00C62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E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E69"/>
    <w:rPr>
      <w:sz w:val="32"/>
    </w:rPr>
  </w:style>
  <w:style w:type="paragraph" w:customStyle="1" w:styleId="HeadingProcedure">
    <w:name w:val="Heading Procedure"/>
    <w:basedOn w:val="HeadingBase"/>
    <w:next w:val="Normal"/>
    <w:rsid w:val="00C62E69"/>
    <w:pPr>
      <w:tabs>
        <w:tab w:val="left" w:pos="0"/>
      </w:tabs>
      <w:spacing w:before="120" w:after="60"/>
    </w:pPr>
    <w:rPr>
      <w:i/>
      <w:color w:val="918585"/>
      <w:sz w:val="22"/>
    </w:rPr>
  </w:style>
  <w:style w:type="paragraph" w:customStyle="1" w:styleId="TableBodyText">
    <w:name w:val="Table Body Text"/>
    <w:basedOn w:val="BodyText"/>
    <w:rsid w:val="00C62E69"/>
    <w:pPr>
      <w:spacing w:before="60" w:after="60"/>
    </w:pPr>
  </w:style>
  <w:style w:type="paragraph" w:styleId="ListContinue">
    <w:name w:val="List Continue"/>
    <w:basedOn w:val="List"/>
    <w:rsid w:val="00C62E69"/>
    <w:pPr>
      <w:ind w:firstLine="0"/>
    </w:pPr>
  </w:style>
  <w:style w:type="paragraph" w:customStyle="1" w:styleId="ListNote">
    <w:name w:val="List Note"/>
    <w:basedOn w:val="List"/>
    <w:rsid w:val="00C62E69"/>
    <w:pPr>
      <w:pBdr>
        <w:top w:val="single" w:sz="6" w:space="2" w:color="918585"/>
        <w:bottom w:val="single" w:sz="6" w:space="2" w:color="918585"/>
      </w:pBdr>
      <w:tabs>
        <w:tab w:val="left" w:pos="1021"/>
      </w:tabs>
      <w:ind w:firstLine="0"/>
    </w:pPr>
  </w:style>
  <w:style w:type="paragraph" w:customStyle="1" w:styleId="Warning">
    <w:name w:val="Warning"/>
    <w:basedOn w:val="BodyText"/>
    <w:rsid w:val="00C62E69"/>
    <w:pPr>
      <w:shd w:val="clear" w:color="auto" w:fill="D9D9D9"/>
      <w:tabs>
        <w:tab w:val="left" w:pos="992"/>
      </w:tabs>
      <w:ind w:left="119" w:right="119"/>
    </w:pPr>
    <w:rPr>
      <w:sz w:val="20"/>
    </w:rPr>
  </w:style>
  <w:style w:type="paragraph" w:customStyle="1" w:styleId="MarginIcons">
    <w:name w:val="Margin Icons"/>
    <w:basedOn w:val="BodyText"/>
    <w:rsid w:val="00C62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E69"/>
    <w:rPr>
      <w:rFonts w:ascii="Courier New" w:hAnsi="Courier New"/>
    </w:rPr>
  </w:style>
  <w:style w:type="paragraph" w:customStyle="1" w:styleId="NoteBullet">
    <w:name w:val="Note Bullet"/>
    <w:basedOn w:val="Note"/>
    <w:rsid w:val="00C62E69"/>
    <w:pPr>
      <w:tabs>
        <w:tab w:val="clear" w:pos="680"/>
      </w:tabs>
      <w:spacing w:before="60" w:after="60"/>
    </w:pPr>
  </w:style>
  <w:style w:type="paragraph" w:customStyle="1" w:styleId="SubHeading2">
    <w:name w:val="SubHeading2"/>
    <w:basedOn w:val="HeadingBase"/>
    <w:rsid w:val="00C62E69"/>
    <w:pPr>
      <w:spacing w:before="240" w:after="60"/>
    </w:pPr>
    <w:rPr>
      <w:sz w:val="20"/>
    </w:rPr>
  </w:style>
  <w:style w:type="paragraph" w:customStyle="1" w:styleId="SubHeading1">
    <w:name w:val="SubHeading1"/>
    <w:basedOn w:val="HeadingBase"/>
    <w:rsid w:val="00C62E69"/>
    <w:pPr>
      <w:spacing w:before="240" w:after="60"/>
    </w:pPr>
    <w:rPr>
      <w:color w:val="918585"/>
      <w:sz w:val="22"/>
    </w:rPr>
  </w:style>
  <w:style w:type="paragraph" w:customStyle="1" w:styleId="SideHeading">
    <w:name w:val="Side Heading"/>
    <w:basedOn w:val="HeadingBase"/>
    <w:rsid w:val="00C62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E69"/>
    <w:pPr>
      <w:numPr>
        <w:numId w:val="13"/>
      </w:numPr>
    </w:pPr>
  </w:style>
  <w:style w:type="paragraph" w:styleId="PlainText">
    <w:name w:val="Plain Text"/>
    <w:basedOn w:val="Normal"/>
    <w:link w:val="PlainTextChar"/>
    <w:rsid w:val="00C62E69"/>
    <w:rPr>
      <w:sz w:val="20"/>
    </w:rPr>
  </w:style>
  <w:style w:type="character" w:customStyle="1" w:styleId="PlainTextChar">
    <w:name w:val="Plain Text Char"/>
    <w:basedOn w:val="DefaultParagraphFont"/>
    <w:link w:val="PlainText"/>
    <w:rsid w:val="00C62E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E69"/>
    <w:rPr>
      <w:b/>
      <w:smallCaps/>
    </w:rPr>
  </w:style>
  <w:style w:type="paragraph" w:customStyle="1" w:styleId="TableListNumber">
    <w:name w:val="Table List Number"/>
    <w:basedOn w:val="ListNumber"/>
    <w:rsid w:val="00C62E69"/>
    <w:pPr>
      <w:numPr>
        <w:numId w:val="0"/>
      </w:numPr>
    </w:pPr>
  </w:style>
  <w:style w:type="paragraph" w:styleId="TOC4">
    <w:name w:val="toc 4"/>
    <w:basedOn w:val="TOCBase"/>
    <w:next w:val="Normal"/>
    <w:semiHidden/>
    <w:rsid w:val="00C62E69"/>
    <w:pPr>
      <w:tabs>
        <w:tab w:val="right" w:leader="dot" w:pos="9071"/>
      </w:tabs>
      <w:ind w:left="1701"/>
    </w:pPr>
  </w:style>
  <w:style w:type="paragraph" w:customStyle="1" w:styleId="ListAlpha">
    <w:name w:val="List Alpha"/>
    <w:basedOn w:val="List"/>
    <w:rsid w:val="00C62E69"/>
    <w:pPr>
      <w:numPr>
        <w:numId w:val="10"/>
      </w:numPr>
    </w:pPr>
  </w:style>
  <w:style w:type="paragraph" w:customStyle="1" w:styleId="ListAlpha2">
    <w:name w:val="List Alpha 2"/>
    <w:basedOn w:val="List2"/>
    <w:rsid w:val="00C62E69"/>
    <w:pPr>
      <w:numPr>
        <w:numId w:val="9"/>
      </w:numPr>
    </w:pPr>
  </w:style>
  <w:style w:type="paragraph" w:styleId="List2">
    <w:name w:val="List 2"/>
    <w:basedOn w:val="BodyText"/>
    <w:rsid w:val="00C62E69"/>
    <w:pPr>
      <w:tabs>
        <w:tab w:val="left" w:pos="680"/>
      </w:tabs>
      <w:spacing w:before="60" w:after="60"/>
      <w:ind w:left="680" w:hanging="340"/>
    </w:pPr>
  </w:style>
  <w:style w:type="paragraph" w:styleId="List3">
    <w:name w:val="List 3"/>
    <w:basedOn w:val="BodyText"/>
    <w:rsid w:val="00C62E69"/>
    <w:pPr>
      <w:tabs>
        <w:tab w:val="left" w:pos="1021"/>
      </w:tabs>
      <w:spacing w:before="60" w:after="60"/>
      <w:ind w:left="1020" w:hanging="340"/>
    </w:pPr>
  </w:style>
  <w:style w:type="paragraph" w:styleId="List4">
    <w:name w:val="List 4"/>
    <w:basedOn w:val="BodyText"/>
    <w:rsid w:val="00C62E69"/>
    <w:pPr>
      <w:tabs>
        <w:tab w:val="left" w:pos="1361"/>
      </w:tabs>
      <w:spacing w:before="60" w:after="60"/>
      <w:ind w:left="1361" w:hanging="340"/>
    </w:pPr>
  </w:style>
  <w:style w:type="paragraph" w:styleId="List5">
    <w:name w:val="List 5"/>
    <w:basedOn w:val="BodyText"/>
    <w:rsid w:val="00C62E69"/>
    <w:pPr>
      <w:tabs>
        <w:tab w:val="left" w:pos="1701"/>
      </w:tabs>
      <w:spacing w:before="60" w:after="60"/>
      <w:ind w:left="1701" w:hanging="340"/>
    </w:pPr>
  </w:style>
  <w:style w:type="paragraph" w:styleId="ListBullet4">
    <w:name w:val="List Bullet 4"/>
    <w:basedOn w:val="List4"/>
    <w:rsid w:val="00C62E69"/>
    <w:pPr>
      <w:numPr>
        <w:numId w:val="4"/>
      </w:numPr>
    </w:pPr>
  </w:style>
  <w:style w:type="paragraph" w:styleId="ListBullet5">
    <w:name w:val="List Bullet 5"/>
    <w:basedOn w:val="List5"/>
    <w:rsid w:val="00C62E69"/>
    <w:pPr>
      <w:numPr>
        <w:numId w:val="5"/>
      </w:numPr>
    </w:pPr>
  </w:style>
  <w:style w:type="paragraph" w:styleId="ListContinue2">
    <w:name w:val="List Continue 2"/>
    <w:basedOn w:val="List2"/>
    <w:rsid w:val="00C62E69"/>
    <w:pPr>
      <w:ind w:firstLine="0"/>
    </w:pPr>
  </w:style>
  <w:style w:type="paragraph" w:styleId="ListContinue3">
    <w:name w:val="List Continue 3"/>
    <w:basedOn w:val="List3"/>
    <w:rsid w:val="00C62E69"/>
    <w:pPr>
      <w:ind w:left="1021" w:firstLine="0"/>
    </w:pPr>
  </w:style>
  <w:style w:type="paragraph" w:styleId="ListContinue4">
    <w:name w:val="List Continue 4"/>
    <w:basedOn w:val="List4"/>
    <w:rsid w:val="00C62E69"/>
    <w:pPr>
      <w:ind w:firstLine="0"/>
    </w:pPr>
  </w:style>
  <w:style w:type="paragraph" w:styleId="ListContinue5">
    <w:name w:val="List Continue 5"/>
    <w:basedOn w:val="List5"/>
    <w:rsid w:val="00C62E69"/>
    <w:pPr>
      <w:ind w:firstLine="0"/>
    </w:pPr>
  </w:style>
  <w:style w:type="paragraph" w:styleId="ListNumber3">
    <w:name w:val="List Number 3"/>
    <w:basedOn w:val="List3"/>
    <w:rsid w:val="00C62E69"/>
    <w:pPr>
      <w:numPr>
        <w:numId w:val="6"/>
      </w:numPr>
    </w:pPr>
  </w:style>
  <w:style w:type="paragraph" w:styleId="ListNumber4">
    <w:name w:val="List Number 4"/>
    <w:basedOn w:val="List4"/>
    <w:rsid w:val="00C62E69"/>
    <w:pPr>
      <w:numPr>
        <w:numId w:val="7"/>
      </w:numPr>
    </w:pPr>
  </w:style>
  <w:style w:type="paragraph" w:styleId="ListNumber5">
    <w:name w:val="List Number 5"/>
    <w:basedOn w:val="List5"/>
    <w:rsid w:val="00C62E69"/>
    <w:pPr>
      <w:numPr>
        <w:numId w:val="8"/>
      </w:numPr>
    </w:pPr>
  </w:style>
  <w:style w:type="paragraph" w:styleId="BlockText">
    <w:name w:val="Block Text"/>
    <w:basedOn w:val="Normal"/>
    <w:rsid w:val="00C62E69"/>
    <w:pPr>
      <w:spacing w:after="120"/>
      <w:ind w:left="1440" w:right="1440"/>
    </w:pPr>
  </w:style>
  <w:style w:type="character" w:customStyle="1" w:styleId="Subscript">
    <w:name w:val="Subscript"/>
    <w:basedOn w:val="DefaultParagraphFont"/>
    <w:rsid w:val="00C62E69"/>
    <w:rPr>
      <w:sz w:val="16"/>
      <w:vertAlign w:val="subscript"/>
    </w:rPr>
  </w:style>
  <w:style w:type="character" w:customStyle="1" w:styleId="Superscript">
    <w:name w:val="Superscript"/>
    <w:basedOn w:val="DefaultParagraphFont"/>
    <w:rsid w:val="00C62E69"/>
    <w:rPr>
      <w:sz w:val="16"/>
      <w:vertAlign w:val="superscript"/>
    </w:rPr>
  </w:style>
  <w:style w:type="character" w:customStyle="1" w:styleId="Symbols">
    <w:name w:val="Symbols"/>
    <w:basedOn w:val="DefaultParagraphFont"/>
    <w:rsid w:val="00C62E69"/>
    <w:rPr>
      <w:rFonts w:ascii="Symbol" w:hAnsi="Symbol"/>
    </w:rPr>
  </w:style>
  <w:style w:type="character" w:customStyle="1" w:styleId="MenuOptions">
    <w:name w:val="Menu Options"/>
    <w:basedOn w:val="DefaultParagraphFont"/>
    <w:rsid w:val="00C62E69"/>
    <w:rPr>
      <w:rFonts w:ascii="Arial Narrow" w:hAnsi="Arial Narrow"/>
      <w:smallCaps/>
    </w:rPr>
  </w:style>
  <w:style w:type="character" w:customStyle="1" w:styleId="Buttons">
    <w:name w:val="Buttons"/>
    <w:basedOn w:val="DefaultParagraphFont"/>
    <w:rsid w:val="00C62E69"/>
    <w:rPr>
      <w:b/>
    </w:rPr>
  </w:style>
  <w:style w:type="character" w:customStyle="1" w:styleId="Underlined">
    <w:name w:val="Underlined"/>
    <w:basedOn w:val="DefaultParagraphFont"/>
    <w:rsid w:val="00C62E69"/>
    <w:rPr>
      <w:u w:val="single"/>
    </w:rPr>
  </w:style>
  <w:style w:type="paragraph" w:customStyle="1" w:styleId="TableBodyTextRight">
    <w:name w:val="Table Body Text Right"/>
    <w:basedOn w:val="TableBodyText"/>
    <w:rsid w:val="00C62E69"/>
    <w:pPr>
      <w:widowControl w:val="0"/>
      <w:autoSpaceDE w:val="0"/>
      <w:autoSpaceDN w:val="0"/>
      <w:adjustRightInd w:val="0"/>
      <w:jc w:val="right"/>
    </w:pPr>
    <w:rPr>
      <w:rFonts w:cs="Arial"/>
      <w:szCs w:val="18"/>
    </w:rPr>
  </w:style>
  <w:style w:type="paragraph" w:customStyle="1" w:styleId="CopyrightText">
    <w:name w:val="Copyright Text"/>
    <w:basedOn w:val="BodyText"/>
    <w:rsid w:val="00C62E69"/>
    <w:rPr>
      <w:sz w:val="18"/>
    </w:rPr>
  </w:style>
  <w:style w:type="paragraph" w:customStyle="1" w:styleId="BodySmallRight">
    <w:name w:val="Body Small Right"/>
    <w:basedOn w:val="BodyTextRight"/>
    <w:rsid w:val="00C62E69"/>
    <w:rPr>
      <w:sz w:val="18"/>
      <w:szCs w:val="18"/>
    </w:rPr>
  </w:style>
  <w:style w:type="paragraph" w:customStyle="1" w:styleId="MarginEdition">
    <w:name w:val="Margin Edition"/>
    <w:basedOn w:val="MarginNote"/>
    <w:rsid w:val="00C62E69"/>
    <w:pPr>
      <w:spacing w:before="0" w:after="0"/>
    </w:pPr>
    <w:rPr>
      <w:rFonts w:ascii="Times New Roman" w:hAnsi="Times New Roman"/>
      <w:color w:val="999999"/>
    </w:rPr>
  </w:style>
  <w:style w:type="paragraph" w:customStyle="1" w:styleId="Spacer">
    <w:name w:val="Spacer"/>
    <w:basedOn w:val="Normal"/>
    <w:rsid w:val="00C62E69"/>
    <w:rPr>
      <w:sz w:val="2"/>
      <w:szCs w:val="2"/>
    </w:rPr>
  </w:style>
  <w:style w:type="character" w:customStyle="1" w:styleId="Small">
    <w:name w:val="Small"/>
    <w:basedOn w:val="DefaultParagraphFont"/>
    <w:rsid w:val="00C62E69"/>
    <w:rPr>
      <w:sz w:val="16"/>
    </w:rPr>
  </w:style>
  <w:style w:type="paragraph" w:customStyle="1" w:styleId="WideTable">
    <w:name w:val="Wide Table"/>
    <w:basedOn w:val="Normal"/>
    <w:rsid w:val="00C62E69"/>
    <w:pPr>
      <w:ind w:left="-1418"/>
    </w:pPr>
    <w:rPr>
      <w:sz w:val="2"/>
      <w:szCs w:val="2"/>
    </w:rPr>
  </w:style>
  <w:style w:type="character" w:styleId="PageNumber">
    <w:name w:val="page number"/>
    <w:basedOn w:val="DefaultParagraphFont"/>
    <w:rsid w:val="00C62E69"/>
  </w:style>
  <w:style w:type="paragraph" w:styleId="Quote">
    <w:name w:val="Quote"/>
    <w:basedOn w:val="Heading1"/>
    <w:link w:val="QuoteChar"/>
    <w:qFormat/>
    <w:rsid w:val="00C62E69"/>
    <w:rPr>
      <w:b w:val="0"/>
      <w:sz w:val="72"/>
      <w:szCs w:val="72"/>
      <w:lang w:val="en-NZ"/>
    </w:rPr>
  </w:style>
  <w:style w:type="character" w:customStyle="1" w:styleId="QuoteChar">
    <w:name w:val="Quote Char"/>
    <w:basedOn w:val="DefaultParagraphFont"/>
    <w:link w:val="Quote"/>
    <w:rsid w:val="00C62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E69"/>
    <w:pPr>
      <w:pageBreakBefore/>
    </w:pPr>
  </w:style>
  <w:style w:type="paragraph" w:customStyle="1" w:styleId="Border">
    <w:name w:val="Border"/>
    <w:basedOn w:val="Normal"/>
    <w:qFormat/>
    <w:rsid w:val="00C62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E69"/>
    <w:rPr>
      <w:b/>
      <w:bCs/>
      <w:i/>
      <w:iCs/>
      <w:color w:val="auto"/>
    </w:rPr>
  </w:style>
  <w:style w:type="paragraph" w:styleId="IntenseQuote">
    <w:name w:val="Intense Quote"/>
    <w:basedOn w:val="Normal"/>
    <w:next w:val="Normal"/>
    <w:link w:val="IntenseQuoteChar"/>
    <w:uiPriority w:val="30"/>
    <w:qFormat/>
    <w:rsid w:val="00C62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E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E69"/>
    <w:rPr>
      <w:smallCaps/>
      <w:color w:val="auto"/>
      <w:u w:val="single"/>
    </w:rPr>
  </w:style>
  <w:style w:type="character" w:styleId="IntenseReference">
    <w:name w:val="Intense Reference"/>
    <w:basedOn w:val="DefaultParagraphFont"/>
    <w:uiPriority w:val="32"/>
    <w:qFormat/>
    <w:rsid w:val="00C62E69"/>
    <w:rPr>
      <w:b/>
      <w:bCs/>
      <w:smallCaps/>
      <w:color w:val="auto"/>
      <w:spacing w:val="5"/>
      <w:u w:val="single"/>
    </w:rPr>
  </w:style>
  <w:style w:type="paragraph" w:customStyle="1" w:styleId="2ColumnHeading">
    <w:name w:val="2Column Heading"/>
    <w:basedOn w:val="BodyText"/>
    <w:qFormat/>
    <w:rsid w:val="00C62E69"/>
    <w:pPr>
      <w:spacing w:after="60"/>
      <w:ind w:left="-2268"/>
    </w:pPr>
    <w:rPr>
      <w:b/>
    </w:rPr>
  </w:style>
  <w:style w:type="paragraph" w:customStyle="1" w:styleId="Heading1TOC">
    <w:name w:val="Heading1 TOC"/>
    <w:basedOn w:val="Normal"/>
    <w:qFormat/>
    <w:rsid w:val="00C62E69"/>
    <w:pPr>
      <w:spacing w:before="240" w:after="120"/>
    </w:pPr>
    <w:rPr>
      <w:rFonts w:ascii="Times New Roman" w:hAnsi="Times New Roman"/>
      <w:b/>
      <w:sz w:val="32"/>
    </w:rPr>
  </w:style>
  <w:style w:type="paragraph" w:customStyle="1" w:styleId="Heading2TOC">
    <w:name w:val="Heading2 TOC"/>
    <w:basedOn w:val="Normal"/>
    <w:qFormat/>
    <w:rsid w:val="00C62E69"/>
    <w:pPr>
      <w:spacing w:before="240" w:after="60"/>
    </w:pPr>
    <w:rPr>
      <w:rFonts w:ascii="Times New Roman" w:hAnsi="Times New Roman"/>
      <w:b/>
      <w:sz w:val="28"/>
    </w:rPr>
  </w:style>
  <w:style w:type="character" w:customStyle="1" w:styleId="Underline">
    <w:name w:val="Underline"/>
    <w:basedOn w:val="DefaultParagraphFont"/>
    <w:qFormat/>
    <w:rsid w:val="00C62E69"/>
    <w:rPr>
      <w:u w:val="single"/>
    </w:rPr>
  </w:style>
  <w:style w:type="character" w:customStyle="1" w:styleId="BoldandItalics">
    <w:name w:val="Bold and Italics"/>
    <w:qFormat/>
    <w:rsid w:val="00C62E69"/>
    <w:rPr>
      <w:b/>
      <w:i/>
      <w:u w:val="none"/>
    </w:rPr>
  </w:style>
  <w:style w:type="paragraph" w:styleId="BalloonText">
    <w:name w:val="Balloon Text"/>
    <w:basedOn w:val="Normal"/>
    <w:link w:val="BalloonTextChar"/>
    <w:rsid w:val="00C62E69"/>
    <w:rPr>
      <w:rFonts w:ascii="Tahoma" w:hAnsi="Tahoma" w:cs="Tahoma"/>
      <w:sz w:val="16"/>
      <w:szCs w:val="16"/>
    </w:rPr>
  </w:style>
  <w:style w:type="character" w:customStyle="1" w:styleId="BalloonTextChar">
    <w:name w:val="Balloon Text Char"/>
    <w:basedOn w:val="DefaultParagraphFont"/>
    <w:link w:val="BalloonText"/>
    <w:rsid w:val="00C62E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E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E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3664</Words>
  <Characters>23785</Characters>
  <Application>Microsoft Office Word</Application>
  <DocSecurity>0</DocSecurity>
  <Lines>777</Lines>
  <Paragraphs>329</Paragraphs>
  <ScaleCrop>false</ScaleCrop>
  <Company>Author-it Software Corporation Ltd.</Company>
  <LinksUpToDate>false</LinksUpToDate>
  <CharactersWithSpaces>27253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UETTDRDS35A Design overhead distribution power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