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D41" w:rsidP="00D17D41">
      <w:pPr>
        <w:pStyle w:val="Title"/>
      </w:pPr>
      <w:r>
        <w:fldChar w:fldCharType="begin"/>
      </w:r>
      <w:r>
        <w:instrText xml:space="preserve"> TITLE   \* MERGEFORMAT </w:instrText>
      </w:r>
      <w:r>
        <w:fldChar w:fldCharType="separate"/>
      </w:r>
      <w:r>
        <w:t>UETTDRDS33A Draft and layout a power system street lighting system</w:t>
      </w:r>
      <w:r>
        <w:fldChar w:fldCharType="end"/>
      </w:r>
    </w:p>
    <w:p w:rsidR="00D17D41" w:rsidP="00D17D41">
      <w:pPr>
        <w:pStyle w:val="Version"/>
        <w:sectPr w:rsidSect="00334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249" w:rsidP="00334249">
      <w:pPr>
        <w:pStyle w:val="SuperHeading"/>
      </w:pPr>
      <w:r w:rsidRPr="00334249">
        <w:t>UETTDRDS33A Draft and layout a power system street lighting system</w:t>
      </w:r>
    </w:p>
    <w:p w:rsidR="00000000" w:rsidRPr="00334249" w:rsidP="00334249">
      <w:pPr>
        <w:pStyle w:val="Heading1"/>
      </w:pPr>
      <w:bookmarkStart w:id="1" w:name="O_463328"/>
      <w:bookmarkEnd w:id="1"/>
      <w:r w:rsidRPr="00334249">
        <w:t>Modification History</w:t>
      </w:r>
    </w:p>
    <w:p w:rsidR="00000000" w:rsidRPr="00334249" w:rsidP="00334249">
      <w:pPr>
        <w:pStyle w:val="BodyText"/>
      </w:pPr>
      <w:r w:rsidRPr="00334249">
        <w:t>Not applicable.</w:t>
      </w:r>
    </w:p>
    <w:p w:rsidR="00000000" w:rsidRPr="00334249" w:rsidP="00334249">
      <w:pPr>
        <w:pStyle w:val="AllowPageBreak"/>
      </w:pPr>
    </w:p>
    <w:p w:rsidR="00000000" w:rsidRPr="00334249" w:rsidP="00334249">
      <w:pPr>
        <w:pStyle w:val="Heading1"/>
      </w:pPr>
      <w:bookmarkStart w:id="2" w:name="O_463326"/>
      <w:bookmarkEnd w:id="2"/>
      <w:r w:rsidRPr="00334249">
        <w:t>Unit Descriptor</w:t>
      </w:r>
    </w:p>
    <w:tbl>
      <w:tblPr>
        <w:tblW w:w="0" w:type="auto"/>
        <w:tblLayout w:type="fixed"/>
        <w:tblCellMar>
          <w:left w:w="62" w:type="dxa"/>
          <w:right w:w="62" w:type="dxa"/>
        </w:tblCellMar>
        <w:tblLook w:val="0000"/>
      </w:tblPr>
      <w:tblGrid>
        <w:gridCol w:w="2700"/>
        <w:gridCol w:w="5760"/>
      </w:tblGrid>
      <w:tr w:rsidTr="00D17D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1)</w:t>
            </w:r>
            <w:r w:rsidRPr="00334249">
              <w:t xml:space="preserve"> </w:t>
            </w:r>
            <w:r w:rsidRPr="00334249">
              <w:rPr>
                <w:rStyle w:val="SpecialBold"/>
              </w:rPr>
              <w:t>Scope:</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42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1.1) Descriptor</w:t>
            </w:r>
          </w:p>
        </w:tc>
      </w:tr>
      <w:tr w:rsidTr="00D17D4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 xml:space="preserve">This Competency Standard Unit covers the planning and layout of street lighting systems. It includes the conduction of site inspections to confirm and or modify a street lighting system layout, estimation of costs and resources for the works order and the </w:t>
            </w:r>
            <w:r w:rsidRPr="00334249">
              <w:t>pegging out of the poles/underground cables according to the work order and to optimise visibility and minimise traffic hazards. It also encompasses the provision of advice on conditions of supply and permits and the communication and coordination needed t</w:t>
            </w:r>
            <w:r w:rsidRPr="00334249">
              <w:t>o be undertaken with the relevant authorities and clients.</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3" w:name="O_463314"/>
      <w:bookmarkEnd w:id="3"/>
      <w:r w:rsidRPr="00334249">
        <w:t>Application of the Unit</w:t>
      </w:r>
    </w:p>
    <w:tbl>
      <w:tblPr>
        <w:tblW w:w="0" w:type="auto"/>
        <w:tblLayout w:type="fixed"/>
        <w:tblCellMar>
          <w:left w:w="62" w:type="dxa"/>
          <w:right w:w="62" w:type="dxa"/>
        </w:tblCellMar>
        <w:tblLook w:val="0000"/>
      </w:tblPr>
      <w:tblGrid>
        <w:gridCol w:w="2672"/>
        <w:gridCol w:w="5699"/>
      </w:tblGrid>
      <w:tr w:rsidTr="00D17D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2)</w:t>
            </w:r>
          </w:p>
        </w:tc>
      </w:tr>
      <w:tr w:rsidTr="00D17D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This Competency Standard Unit is intended to augment formally acquired competencies. It is suitable for employment-based programs under an approved contract of training.</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4" w:name="O_463322"/>
      <w:bookmarkEnd w:id="4"/>
      <w:r w:rsidRPr="00334249">
        <w:t>Licensing/Regulatory Information</w:t>
      </w:r>
    </w:p>
    <w:tbl>
      <w:tblPr>
        <w:tblW w:w="0" w:type="auto"/>
        <w:tblLayout w:type="fixed"/>
        <w:tblCellMar>
          <w:left w:w="62" w:type="dxa"/>
          <w:right w:w="62" w:type="dxa"/>
        </w:tblCellMar>
        <w:tblLook w:val="0000"/>
      </w:tblPr>
      <w:tblGrid>
        <w:gridCol w:w="2700"/>
        <w:gridCol w:w="5760"/>
      </w:tblGrid>
      <w:tr w:rsidTr="00D17D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 xml:space="preserve">3)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The skil</w:t>
            </w:r>
            <w:r w:rsidRPr="00334249">
              <w:t xml:space="preserve">ls and knowledge described in this unit may require a licence/registration to practice in the work place subject to regulations for undertaking of electrical work. Practice in workplace and during training is also subject to </w:t>
            </w:r>
            <w:r w:rsidRPr="00334249">
              <w:t>regulations directly related to</w:t>
            </w:r>
            <w:r w:rsidRPr="00334249">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334249">
              <w:t>gulations may exist that limits the age of operating certain equipment.</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5" w:name="O_463323"/>
      <w:bookmarkEnd w:id="5"/>
      <w:r w:rsidRPr="00334249">
        <w:t>Pre-Requisites</w:t>
      </w:r>
    </w:p>
    <w:tbl>
      <w:tblPr>
        <w:tblW w:w="0" w:type="auto"/>
        <w:tblLayout w:type="fixed"/>
        <w:tblCellMar>
          <w:left w:w="62" w:type="dxa"/>
          <w:right w:w="62" w:type="dxa"/>
        </w:tblCellMar>
        <w:tblLook w:val="0000"/>
      </w:tblPr>
      <w:tblGrid>
        <w:gridCol w:w="2700"/>
        <w:gridCol w:w="1980"/>
        <w:gridCol w:w="3780"/>
      </w:tblGrid>
      <w:tr w:rsidTr="00D17D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 xml:space="preserve">4)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4.1)</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Granting of competency in this unit shall be made only after competency in the following unit(s) has/have been confirmed.</w:t>
            </w:r>
          </w:p>
          <w:p w:rsidR="00000000" w:rsidRPr="00334249" w:rsidP="00334249">
            <w:pPr>
              <w:pStyle w:val="BodyText"/>
            </w:pPr>
            <w:r w:rsidRPr="00334249">
              <w:t xml:space="preserve">Where pre-requisite pathways have been identified. All competencies in the Common Unit Group must be have been completed plus all the </w:t>
            </w:r>
            <w:r w:rsidRPr="00334249">
              <w:t>competencies in one (1) of the identified Pathway Unit Group(s):</w:t>
            </w:r>
          </w:p>
          <w:p w:rsidR="00000000" w:rsidP="00334249">
            <w:pPr>
              <w:pStyle w:val="BodyText"/>
              <w:rPr>
                <w:lang w:val="en-NZ"/>
              </w:rPr>
            </w:pPr>
            <w:r w:rsidRPr="00334249">
              <w:t>Common Unit Group</w:t>
            </w:r>
          </w:p>
        </w:tc>
      </w:tr>
      <w:tr w:rsidTr="00D17D4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Unit Code</w:t>
            </w:r>
            <w:r w:rsidRPr="00334249">
              <w:tab/>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Unit Title</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Apply Occupational Health and Safety regulations, codes and practices in the workplace</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Fabricate, assemble and dismantle utilities industry components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Solve problems in d.c. Circuits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Use drawings, diagrams, schedules, standards, codes and specifications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Solve problems in electromagnetic devices and related circuits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Solve problems in electromagnetic devices and related circuits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Apply sustainable energy and environmental procedures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334249">
            <w:pPr>
              <w:pStyle w:val="BodyText"/>
              <w:rPr>
                <w:lang w:val="en-NZ"/>
              </w:rPr>
            </w:pPr>
            <w:r w:rsidRPr="00334249">
              <w:t>Working safely near live</w:t>
            </w:r>
            <w:r w:rsidRPr="00334249">
              <w:t xml:space="preserve"> electrical apparatus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334249">
            <w:pPr>
              <w:pStyle w:val="BodyText"/>
              <w:rPr>
                <w:lang w:val="en-NZ"/>
              </w:rPr>
            </w:pPr>
            <w:r w:rsidRPr="00334249">
              <w:t>Implement and monitor the power system organisational OHS policies, procedures and programs</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334249" w:rsidP="00334249">
            <w:pPr>
              <w:pStyle w:val="BodyText"/>
            </w:pPr>
            <w:r w:rsidRPr="00334249">
              <w:t>Implement and monitor the power system environmental and sustainable energy management policies and procedures</w:t>
            </w:r>
          </w:p>
        </w:tc>
      </w:tr>
    </w:tbl>
    <w:p w:rsidR="00000000" w:rsidRPr="00334249" w:rsidP="0033424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17D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 xml:space="preserve">4.2)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Participants are best equipped to achieve this unit if they have reading, writing and numeracy skills indicated by the following scales. Description of each scale is given in Volume 2, Part 3 “Literacy and Numeracy</w:t>
            </w:r>
            <w:r w:rsidRPr="00334249">
              <w:t>”</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Reading</w:t>
            </w:r>
          </w:p>
        </w:tc>
        <w:tc>
          <w:tcPr>
            <w:tcW w:w="81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4</w:t>
            </w:r>
          </w:p>
        </w:tc>
        <w:tc>
          <w:tcPr>
            <w:tcW w:w="99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Writing</w:t>
            </w:r>
          </w:p>
        </w:tc>
        <w:tc>
          <w:tcPr>
            <w:tcW w:w="90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4</w:t>
            </w:r>
          </w:p>
        </w:tc>
        <w:tc>
          <w:tcPr>
            <w:tcW w:w="12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Numeracy</w:t>
            </w:r>
          </w:p>
        </w:tc>
        <w:tc>
          <w:tcPr>
            <w:tcW w:w="72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4</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6" w:name="O_463318"/>
      <w:bookmarkEnd w:id="6"/>
      <w:r w:rsidRPr="00334249">
        <w:t>Employability Skills Information</w:t>
      </w:r>
    </w:p>
    <w:tbl>
      <w:tblPr>
        <w:tblW w:w="0" w:type="auto"/>
        <w:tblLayout w:type="fixed"/>
        <w:tblCellMar>
          <w:left w:w="62" w:type="dxa"/>
          <w:right w:w="62" w:type="dxa"/>
        </w:tblCellMar>
        <w:tblLook w:val="0000"/>
      </w:tblPr>
      <w:tblGrid>
        <w:gridCol w:w="2700"/>
        <w:gridCol w:w="5760"/>
      </w:tblGrid>
      <w:tr w:rsidTr="00D17D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 xml:space="preserve">5)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34249">
              <w:t>requirements.</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7" w:name="O_463317"/>
      <w:bookmarkEnd w:id="7"/>
      <w:r w:rsidRPr="00334249">
        <w:t>Elements and Performance Criteria Pre-Content</w:t>
      </w:r>
    </w:p>
    <w:tbl>
      <w:tblPr>
        <w:tblW w:w="0" w:type="auto"/>
        <w:tblLayout w:type="fixed"/>
        <w:tblCellMar>
          <w:left w:w="62" w:type="dxa"/>
          <w:right w:w="62" w:type="dxa"/>
        </w:tblCellMar>
        <w:tblLook w:val="0000"/>
      </w:tblPr>
      <w:tblGrid>
        <w:gridCol w:w="2700"/>
        <w:gridCol w:w="5760"/>
      </w:tblGrid>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6)</w:t>
            </w:r>
            <w:r w:rsidRPr="0033424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Performance Criteria describe the required performance needed to demonstrate achievement of the element</w:t>
            </w:r>
            <w:r w:rsidRPr="00334249">
              <w:t>. Assessment of performance is to be consistent with the Evidence Guide.</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8" w:name="O_463316"/>
      <w:bookmarkEnd w:id="8"/>
      <w:r w:rsidRPr="00334249">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D17D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PERFORMANCE CRITERIA</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w:t>
            </w:r>
          </w:p>
        </w:tc>
        <w:tc>
          <w:tcPr>
            <w:tcW w:w="2295" w:type="dxa"/>
            <w:vMerge w:val="restart"/>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Prepare/plan to draft and layout a street lighting system</w:t>
            </w: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1.1</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Works schedule(s), including drawings, plans, requirements, established procedures, and material lists, are obtained and analysed, if necessary, by site inspection and the extent of the work determined for planning and coordination.</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1.2</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Work is prioriti</w:t>
            </w:r>
            <w:r w:rsidRPr="00334249">
              <w:t>sed and sequenced for the most efficient and effective outcome following consultation with others for completion within acceptable timeframes, to a quality standard and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1.3</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Risk control measures are identified, prioritised and evaluated against the work schedule.</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1.4</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Relevant requirements and established procedures for the work are to all personnel and identified for all work sites.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1.5</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Hazards are identified, OHS risks</w:t>
            </w:r>
            <w:r w:rsidRPr="00334249">
              <w:t xml:space="preserve"> assessed and control measures are prioritised, implemented and monitored including emergency exits kept clear, to ensure safe systems of work are followed and according to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1.6</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Relevant work permits are secured to coordinate the performance of work according to requirements and/or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1.7</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Resources including personnel, equipment, tools and personal protective equipment required for the job are identified, s</w:t>
            </w:r>
            <w:r w:rsidRPr="00334249">
              <w:t>cheduled and coordinated and confirmed in a safe and technical working order.</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1.8</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Clients/Customers are provided with possible solutions and/or options within the scope, acceptable cost and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1.9</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Liaison and communication issues with othe</w:t>
            </w:r>
            <w:r w:rsidRPr="00334249">
              <w:t>r/authorised personnel, authorities, clients and land owners are resolved and activities coordinated to carry out work.</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1.10</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Personnel participating in the work, including plant operators and contractors, are fully briefed and respective responsibilities coordinated and authorised where applicable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1.11</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Site is prepared according to t</w:t>
            </w:r>
            <w:r w:rsidRPr="00334249">
              <w:t>he work schedule and to minimise risk and damage to property, commerce, and individuals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1.12</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Positioning of road signs, barriers and warning devices is planned in accordance with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w:t>
            </w:r>
          </w:p>
        </w:tc>
        <w:tc>
          <w:tcPr>
            <w:tcW w:w="2295" w:type="dxa"/>
            <w:vMerge w:val="restart"/>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 xml:space="preserve">Carry out the </w:t>
            </w:r>
            <w:r w:rsidRPr="00334249">
              <w:t>drafting and layout of a street lighting system</w:t>
            </w: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2.1</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OHS and sustainable energy principles and practices to reduce the incidence of accidents and minimise waste are monitored and actioned in accordance with requirements and/or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2.2</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First Aid, Pole Top Rescue and other related work procedures are performed according to requirements and/or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2.3</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 xml:space="preserve">Lifting, climbing, working in confined spaces and aloft, and use of power tools/equipment, techniques and practices </w:t>
            </w:r>
            <w:r w:rsidRPr="00334249">
              <w:t>are safely exercised according to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2.4</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Hazard warnings and safety signs are recognised and hazards and assessed OHS risks are reported to the immediate authorised persons for directions according to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2.5</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Remedial actions are taken to overcome any shortfalls encountered in the work schedule according to requirements and/or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2.6</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The drafting and layout of a street lighting system are carried out, in accordance with the work schedule</w:t>
            </w:r>
            <w:r w:rsidRPr="00334249">
              <w:t xml:space="preserve"> and requirements and/or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2.7</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Essential knowledge and associated skills are applied in the safe drafting and layout of a street lighting system to ensure completion in an agreed timeframe and, to quality standards with a minimum o</w:t>
            </w:r>
            <w:r w:rsidRPr="00334249">
              <w:t>f waste according to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2.8</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Solutions to non-routine problems are identified and actioned using acquired essential knowledge and associated skills according to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w:t>
            </w:r>
          </w:p>
        </w:tc>
        <w:tc>
          <w:tcPr>
            <w:tcW w:w="2295" w:type="dxa"/>
            <w:vMerge w:val="restart"/>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Complete the drafting and layout of a street lighting system</w:t>
            </w: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3.1</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Work undertaken is checked against works schedule for conformance with requirements, anomalies reported and solutions identified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3.2</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Accidents and/or injuries are reported and followed up in accordance with req</w:t>
            </w:r>
            <w:r w:rsidRPr="00334249">
              <w:t>uirements/established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3.3</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Work site is rehabilitated, cleaned up and confirmed safe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3.4</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Tools, equipment and any surplus resources and materials are, where appropriate, cleaned, checked and returned to storage in accordance with established procedures.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3.5</w:t>
            </w:r>
          </w:p>
        </w:tc>
        <w:tc>
          <w:tcPr>
            <w:tcW w:w="4929"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Relevant work permit(s) are signed off and are returned to service and advised to cl</w:t>
            </w:r>
            <w:r w:rsidRPr="00334249">
              <w:t>ient/customer in accordance with requirements.</w:t>
            </w:r>
          </w:p>
        </w:tc>
      </w:tr>
      <w:tr w:rsidTr="00D17D41">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t>3.6</w:t>
            </w:r>
          </w:p>
        </w:tc>
        <w:tc>
          <w:tcPr>
            <w:tcW w:w="4929"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Works completion records, reports, as installed /modified drawing(s) and/or documentation and information are confirmed, processed and appropriate personnel notified.</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9" w:name="O_463325"/>
      <w:bookmarkEnd w:id="9"/>
      <w:r w:rsidRPr="00334249">
        <w:t>Required Skills and Knowledge</w:t>
      </w:r>
    </w:p>
    <w:tbl>
      <w:tblPr>
        <w:tblW w:w="0" w:type="auto"/>
        <w:tblLayout w:type="fixed"/>
        <w:tblCellMar>
          <w:left w:w="62" w:type="dxa"/>
          <w:right w:w="62" w:type="dxa"/>
        </w:tblCellMar>
        <w:tblLook w:val="0000"/>
      </w:tblPr>
      <w:tblGrid>
        <w:gridCol w:w="8460"/>
      </w:tblGrid>
      <w:tr w:rsidTr="00D17D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REQUIRED SKILLS AND KNOWLEDGE</w:t>
            </w:r>
          </w:p>
        </w:tc>
      </w:tr>
      <w:tr w:rsidTr="00D17D4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8)</w:t>
            </w:r>
            <w:r w:rsidRPr="00334249">
              <w:t xml:space="preserve"> Essential Knowledge and Associated Skills (EKAS): This describes the essential skills and knowledge and their level, required for this unit.</w:t>
            </w:r>
          </w:p>
          <w:p w:rsidR="00000000" w:rsidRPr="00334249" w:rsidP="00334249">
            <w:pPr>
              <w:pStyle w:val="BodyText"/>
            </w:pPr>
            <w:r w:rsidRPr="00334249">
              <w:t>Evidence shall show that knowledge has been acquire</w:t>
            </w:r>
            <w:r w:rsidRPr="00334249">
              <w:t>d of drafting and laying out a street lighting system.</w:t>
            </w:r>
          </w:p>
          <w:p w:rsidR="00000000" w:rsidRPr="00334249" w:rsidP="00334249">
            <w:pPr>
              <w:pStyle w:val="BodyText"/>
            </w:pPr>
            <w:r w:rsidRPr="00334249">
              <w:t>All knowledge and skills detailed in this unit should be contextualised to current industry practices and technologies.</w:t>
            </w:r>
          </w:p>
          <w:p w:rsidR="00000000" w:rsidRPr="00334249" w:rsidP="00334249">
            <w:pPr>
              <w:pStyle w:val="BodyText"/>
            </w:pPr>
            <w:r w:rsidRPr="00334249">
              <w:t xml:space="preserve">KS01-TDS33A </w:t>
            </w:r>
            <w:r w:rsidRPr="00334249">
              <w:tab/>
              <w:t>Power system street lighting system</w:t>
            </w:r>
          </w:p>
          <w:p w:rsidR="00000000" w:rsidRPr="00334249" w:rsidP="00334249">
            <w:pPr>
              <w:pStyle w:val="BodyText"/>
            </w:pPr>
            <w:r w:rsidRPr="00334249">
              <w:t>Evidence shall show an understan</w:t>
            </w:r>
            <w:r w:rsidRPr="00334249">
              <w:t>ding of the power system street lighting system to an extent indicated by the following aspects: Draft and layout a power system street lighting system</w:t>
            </w:r>
          </w:p>
          <w:p w:rsidR="00000000" w:rsidRPr="00334249" w:rsidP="00334249">
            <w:pPr>
              <w:pStyle w:val="BodyText"/>
            </w:pPr>
            <w:r w:rsidRPr="00334249">
              <w:t>T1</w:t>
            </w:r>
            <w:r w:rsidRPr="00334249">
              <w:tab/>
              <w:t>Installation of overhead distribution conductors encompassing:</w:t>
            </w:r>
          </w:p>
          <w:p w:rsidR="00000000" w:rsidRPr="00334249" w:rsidP="00334249">
            <w:pPr>
              <w:pStyle w:val="ListBullet"/>
            </w:pPr>
            <w:r w:rsidRPr="00334249">
              <w:t>Standards, codes, legislation, supply authority regulations and or enterprise requirements applicable to installing conductors and associated equipment</w:t>
            </w:r>
          </w:p>
          <w:p w:rsidR="00000000" w:rsidRPr="00334249" w:rsidP="00334249">
            <w:pPr>
              <w:pStyle w:val="ListBullet"/>
            </w:pPr>
            <w:r w:rsidRPr="00334249">
              <w:t>Requirements for the use of overhead line construction manuals, system diagrams/plans and drawings - mat</w:t>
            </w:r>
            <w:r w:rsidRPr="00334249">
              <w:t>erial lists, conductor size, type and route length.</w:t>
            </w:r>
          </w:p>
          <w:p w:rsidR="00000000" w:rsidRPr="00334249" w:rsidP="00334249">
            <w:pPr>
              <w:pStyle w:val="ListBullet"/>
            </w:pPr>
            <w:r w:rsidRPr="00334249">
              <w:t>Constructions types and structures for distribution and sub transmission lines</w:t>
            </w:r>
          </w:p>
          <w:p w:rsidR="00000000" w:rsidRPr="00334249" w:rsidP="00334249">
            <w:pPr>
              <w:pStyle w:val="ListBullet"/>
            </w:pPr>
            <w:r w:rsidRPr="00334249">
              <w:t>Types, sizes and characterises of overhead conductors</w:t>
            </w:r>
          </w:p>
          <w:p w:rsidR="00000000" w:rsidRPr="00334249" w:rsidP="00334249">
            <w:pPr>
              <w:pStyle w:val="ListBullet"/>
            </w:pPr>
            <w:r w:rsidRPr="00334249">
              <w:t>Resources for the stringing and maintenance of conductors - types of lo</w:t>
            </w:r>
            <w:r w:rsidRPr="00334249">
              <w:t xml:space="preserve">w and high voltage overhead electrical conductor connections, causes and effects of poor electrical connections, reasons for and methods used to maintain standard phase sequencing, removing, repairing and replacing of damage conductors, minimum clearances </w:t>
            </w:r>
            <w:r w:rsidRPr="00334249">
              <w:t>between overhead conductors and low and high voltage structures.</w:t>
            </w:r>
          </w:p>
          <w:p w:rsidR="00000000" w:rsidRPr="00334249" w:rsidP="00334249">
            <w:pPr>
              <w:pStyle w:val="ListBullet"/>
            </w:pPr>
            <w:r w:rsidRPr="00334249">
              <w:t>Techniques for conductor installation - types and application of tools, equipment and hardware, methods of stringing, tensioning and termination of low and high voltage conductors.</w:t>
            </w:r>
          </w:p>
          <w:p w:rsidR="00000000" w:rsidRPr="00334249" w:rsidP="00334249">
            <w:pPr>
              <w:pStyle w:val="BodyText"/>
            </w:pPr>
            <w:r w:rsidRPr="00334249">
              <w:t>T2</w:t>
            </w:r>
            <w:r w:rsidRPr="00334249">
              <w:tab/>
              <w:t>Install</w:t>
            </w:r>
            <w:r w:rsidRPr="00334249">
              <w:t>ation of poles and or structures and hardware encompassing:</w:t>
            </w:r>
          </w:p>
          <w:p w:rsidR="00000000" w:rsidRPr="00334249" w:rsidP="00334249">
            <w:pPr>
              <w:pStyle w:val="ListBullet"/>
            </w:pPr>
            <w:r w:rsidRPr="00334249">
              <w:t>Standards, codes, legislation, supply authority regulations and or enterprise requirements applicable to installing poles and associated hardware</w:t>
            </w:r>
          </w:p>
          <w:p w:rsidR="00000000" w:rsidRPr="00334249" w:rsidP="00334249">
            <w:pPr>
              <w:pStyle w:val="ListBullet"/>
            </w:pPr>
            <w:r w:rsidRPr="00334249">
              <w:t>Requirements for the use of enterprise constructi</w:t>
            </w:r>
            <w:r w:rsidRPr="00334249">
              <w:t>on manuals, system diagrams/plans and drawings - characteristics and applications of different types of poles and associated hardware</w:t>
            </w:r>
          </w:p>
          <w:p w:rsidR="00000000" w:rsidRPr="00334249" w:rsidP="00334249">
            <w:pPr>
              <w:pStyle w:val="ListBullet"/>
            </w:pPr>
            <w:r w:rsidRPr="00334249">
              <w:t>Techniques for installing poles and associated hardware - types of installation equipment/tools, excavation methods, types</w:t>
            </w:r>
            <w:r w:rsidRPr="00334249">
              <w:t xml:space="preserve"> of footings/foundations, types of attachments, earthing systems, clearances between conductors, safe methods of erecting and stabling poles and or structures and cross arms.</w:t>
            </w:r>
          </w:p>
          <w:p w:rsidR="00000000" w:rsidRPr="00334249" w:rsidP="00334249">
            <w:pPr>
              <w:pStyle w:val="ListBullet"/>
            </w:pPr>
            <w:r w:rsidRPr="00334249">
              <w:t>Techniques for maintenance of poles and associated hardware - stabilisation techn</w:t>
            </w:r>
            <w:r w:rsidRPr="00334249">
              <w:t>iques for unstable poles, methods of strengthen poles, maintenance and replacement of high voltage insulators and cross arms.</w:t>
            </w:r>
          </w:p>
          <w:p w:rsidR="00000000" w:rsidRPr="00334249" w:rsidP="00334249">
            <w:pPr>
              <w:pStyle w:val="BodyText"/>
            </w:pPr>
            <w:r w:rsidRPr="00334249">
              <w:t>T3</w:t>
            </w:r>
            <w:r w:rsidRPr="00334249">
              <w:tab/>
              <w:t>Procedures for installation and maintenance on public lighting structures and associated equipment encompassing:</w:t>
            </w:r>
          </w:p>
          <w:p w:rsidR="00000000" w:rsidRPr="00334249" w:rsidP="00334249">
            <w:pPr>
              <w:pStyle w:val="ListBullet"/>
            </w:pPr>
            <w:r w:rsidRPr="00334249">
              <w:t>Standards, co</w:t>
            </w:r>
            <w:r w:rsidRPr="00334249">
              <w:t>des, legislation, supply authority regulations, local government and or enterprise requirements pertaining to the installation and maintenance of public lighting systems and associated equipment</w:t>
            </w:r>
          </w:p>
          <w:p w:rsidR="00000000" w:rsidRPr="00334249" w:rsidP="00334249">
            <w:pPr>
              <w:pStyle w:val="ListBullet"/>
            </w:pPr>
            <w:r w:rsidRPr="00334249">
              <w:t>Safety precautions specific to working on street lighting - s</w:t>
            </w:r>
            <w:r w:rsidRPr="00334249">
              <w:t>afe working practices and procedures, safe clearances from LV and HV mains, working at heights, working in confined spaces, permit to work systems and isolation procedures, emergency response and rescue including First Aid etc.</w:t>
            </w:r>
          </w:p>
          <w:p w:rsidR="00000000" w:rsidRPr="00334249" w:rsidP="00334249">
            <w:pPr>
              <w:pStyle w:val="ListBullet"/>
            </w:pPr>
            <w:r w:rsidRPr="00334249">
              <w:t>Basic public lighting princi</w:t>
            </w:r>
            <w:r w:rsidRPr="00334249">
              <w:t>ples - electromagnetic spectrum, principles of colour, behaviour of light, factors that affect illumination.</w:t>
            </w:r>
          </w:p>
          <w:p w:rsidR="00000000" w:rsidRPr="00334249" w:rsidP="00334249">
            <w:pPr>
              <w:pStyle w:val="ListBullet"/>
            </w:pPr>
            <w:r w:rsidRPr="00334249">
              <w:t xml:space="preserve">Requirements for the use of enterprise construction manuals, system diagrams/plans and drawings - street lighting circuits, earthing system </w:t>
            </w:r>
          </w:p>
          <w:p w:rsidR="00000000" w:rsidRPr="00334249" w:rsidP="00334249">
            <w:pPr>
              <w:pStyle w:val="ListBullet"/>
            </w:pPr>
            <w:r w:rsidRPr="00334249">
              <w:t xml:space="preserve">Types </w:t>
            </w:r>
            <w:r w:rsidRPr="00334249">
              <w:t xml:space="preserve">of tools and equipment used for installation and maintenance </w:t>
            </w:r>
          </w:p>
          <w:p w:rsidR="00000000" w:rsidRPr="00334249" w:rsidP="00334249">
            <w:pPr>
              <w:pStyle w:val="ListBullet"/>
            </w:pPr>
            <w:r w:rsidRPr="00334249">
              <w:t>Types and function of lanterns/Luminaires/lamps, control equipment, poles and associated hardware used for street lighting - HP mercury vapour, LP and HP sodium vapour, fluorescent, quartz-halog</w:t>
            </w:r>
            <w:r w:rsidRPr="00334249">
              <w:t>en, wood, concrete, steel, composite, choke boxes, photo-electric cells, time switches, contactor boxes</w:t>
            </w:r>
          </w:p>
          <w:p w:rsidR="00000000" w:rsidRPr="00334249" w:rsidP="00334249">
            <w:pPr>
              <w:pStyle w:val="ListBullet"/>
            </w:pPr>
            <w:r w:rsidRPr="00334249">
              <w:t>Types of lighting systems - overhead and underground street lighting systems, controlling and switching of lighting systems.</w:t>
            </w:r>
          </w:p>
          <w:p w:rsidR="00000000" w:rsidRPr="00334249" w:rsidP="00334249">
            <w:pPr>
              <w:pStyle w:val="ListBullet"/>
            </w:pPr>
            <w:r w:rsidRPr="00334249">
              <w:t>Techniques for the instal</w:t>
            </w:r>
            <w:r w:rsidRPr="00334249">
              <w:t>lation of street lighting systems</w:t>
            </w:r>
          </w:p>
          <w:p w:rsidR="00000000" w:rsidRPr="00334249" w:rsidP="00334249">
            <w:pPr>
              <w:pStyle w:val="ListBullet"/>
            </w:pPr>
            <w:r w:rsidRPr="00334249">
              <w:t>Techniques for the maintenance of street lighting systems - diagnosing of faults, removing, repairing, replacement and cleaning of public lighting and associated hardware.</w:t>
            </w:r>
          </w:p>
          <w:p w:rsidR="00000000" w:rsidRPr="00334249" w:rsidP="00334249">
            <w:pPr>
              <w:pStyle w:val="ListBullet"/>
            </w:pPr>
            <w:r w:rsidRPr="00334249">
              <w:t>Application of specific testing equipment - voltag</w:t>
            </w:r>
            <w:r w:rsidRPr="00334249">
              <w:t>e detectors, insulation resistance testers, clamp-on ammeters, continuity testers, fault indictors</w:t>
            </w:r>
          </w:p>
          <w:p w:rsidR="00000000" w:rsidRPr="00334249" w:rsidP="00334249">
            <w:pPr>
              <w:pStyle w:val="ListBullet"/>
            </w:pPr>
            <w:r w:rsidRPr="00334249">
              <w:t>Techniques for the inspection, testing and commissioning of street lighting systems</w:t>
            </w:r>
          </w:p>
          <w:p w:rsidR="00000000" w:rsidRPr="00334249" w:rsidP="00334249">
            <w:pPr>
              <w:pStyle w:val="BodyText"/>
            </w:pPr>
            <w:r w:rsidRPr="00334249">
              <w:t>T4</w:t>
            </w:r>
            <w:r w:rsidRPr="00334249">
              <w:tab/>
              <w:t>Different types and function of distribution components encompassing:</w:t>
            </w:r>
          </w:p>
          <w:p w:rsidR="00000000" w:rsidRPr="00334249" w:rsidP="00334249">
            <w:pPr>
              <w:pStyle w:val="ListBullet"/>
            </w:pPr>
            <w:r w:rsidRPr="00334249">
              <w:t>Commonwealth/State/Territory and local government legislation, Standards, codes, Commonwealth, State/Territory and local government legislation, supply authority regulations and or enterprise requirements applicable to the use and application of distribut</w:t>
            </w:r>
            <w:r w:rsidRPr="00334249">
              <w:t>ion components</w:t>
            </w:r>
          </w:p>
          <w:p w:rsidR="00000000" w:rsidRPr="00334249" w:rsidP="00334249">
            <w:pPr>
              <w:pStyle w:val="ListBullet"/>
            </w:pPr>
            <w:r w:rsidRPr="00334249">
              <w:t>Requirements for the use of overhead line construction manuals, system diagrams/plans and drawings</w:t>
            </w:r>
          </w:p>
          <w:p w:rsidR="00000000" w:rsidRPr="00334249" w:rsidP="00334249">
            <w:pPr>
              <w:pStyle w:val="ListBullet"/>
            </w:pPr>
            <w:r w:rsidRPr="00334249">
              <w:t>Types, function and characteristics of distribution components</w:t>
            </w:r>
          </w:p>
          <w:p w:rsidR="00000000" w:rsidRPr="00334249" w:rsidP="00334249">
            <w:pPr>
              <w:pStyle w:val="ListBullet"/>
            </w:pPr>
            <w:r w:rsidRPr="00334249">
              <w:t>Safety policies and procedures precautions related to the handling and installi</w:t>
            </w:r>
            <w:r w:rsidRPr="00334249">
              <w:t>ng distribution components</w:t>
            </w:r>
          </w:p>
          <w:p w:rsidR="00000000" w:rsidRPr="00334249" w:rsidP="00334249">
            <w:pPr>
              <w:pStyle w:val="BodyText"/>
            </w:pPr>
            <w:r w:rsidRPr="00334249">
              <w:t>T5</w:t>
            </w:r>
            <w:r w:rsidRPr="00334249">
              <w:tab/>
              <w:t>Enterprise specific switching diagrams and drawing encompassing:</w:t>
            </w:r>
          </w:p>
          <w:p w:rsidR="00000000" w:rsidRPr="00334249" w:rsidP="00334249">
            <w:pPr>
              <w:pStyle w:val="ListBullet"/>
            </w:pPr>
            <w:r w:rsidRPr="00334249">
              <w:t>Types and application of enterprise specific switching drawings and documents - wiring and schematic diagrams and switching symbols, mechanical drawings dealing</w:t>
            </w:r>
            <w:r w:rsidRPr="00334249">
              <w:t xml:space="preserve"> with switching operations, project charts, switching schedules, graphs, technical manuals and catalogues, instruction/work sheets.</w:t>
            </w:r>
          </w:p>
          <w:p w:rsidR="00000000" w:rsidRPr="00334249" w:rsidP="00334249">
            <w:pPr>
              <w:pStyle w:val="ListBullet"/>
            </w:pPr>
            <w:r w:rsidRPr="00334249">
              <w:t>Interpretation of different system switching diagrams - LV system switching diagrams, DC traction supply sectioning diagrams</w:t>
            </w:r>
            <w:r w:rsidRPr="00334249">
              <w:t>, HV transmission and distribution system symbols and feeder plans, processes of updating switching diagrams.</w:t>
            </w:r>
          </w:p>
          <w:p w:rsidR="00000000" w:rsidRPr="00334249" w:rsidP="00334249">
            <w:pPr>
              <w:pStyle w:val="BodyText"/>
            </w:pPr>
            <w:r w:rsidRPr="00334249">
              <w:t>T6</w:t>
            </w:r>
            <w:r w:rsidRPr="00334249">
              <w:tab/>
              <w:t>Power distribution network documentation encompassing:</w:t>
            </w:r>
          </w:p>
          <w:p w:rsidR="00000000" w:rsidRPr="00334249" w:rsidP="00334249">
            <w:pPr>
              <w:pStyle w:val="ListBullet"/>
            </w:pPr>
            <w:r w:rsidRPr="00334249">
              <w:t>Requirements for the use of manuals, system diagrams/plans and drawings and for plans s</w:t>
            </w:r>
            <w:r w:rsidRPr="00334249">
              <w:t>uch as work method statements for the control of OHS risks</w:t>
            </w:r>
          </w:p>
          <w:p w:rsidR="00000000" w:rsidRPr="00334249" w:rsidP="00334249">
            <w:pPr>
              <w:pStyle w:val="ListBullet"/>
            </w:pPr>
            <w:r w:rsidRPr="00334249">
              <w:t xml:space="preserve">Types and application of power distribution network documentation drawings and documents - wiring and schematic diagrams, drawings and switching symbols, mechanical drawings dealing with the power </w:t>
            </w:r>
            <w:r w:rsidRPr="00334249">
              <w:t>distribution network, project charts, schedules, graphs, technical manuals and catalogues, instruction/worksheets sheets.</w:t>
            </w:r>
          </w:p>
          <w:p w:rsidR="00000000" w:rsidRPr="00334249" w:rsidP="00334249">
            <w:pPr>
              <w:pStyle w:val="ListBullet"/>
            </w:pPr>
            <w:r w:rsidRPr="00334249">
              <w:t>Interpretation of different diagrams and documentation on LV and HV systems - overhead distribution extensions, underground distributi</w:t>
            </w:r>
            <w:r w:rsidRPr="00334249">
              <w:t>on extensions, distribution substation, street lighting system.</w:t>
            </w:r>
          </w:p>
          <w:p w:rsidR="00000000" w:rsidRPr="00334249" w:rsidP="00334249">
            <w:pPr>
              <w:pStyle w:val="BodyText"/>
            </w:pPr>
            <w:r w:rsidRPr="00334249">
              <w:t>T7</w:t>
            </w:r>
            <w:r w:rsidRPr="00334249">
              <w:tab/>
              <w:t>Layout principles for overhead distribution encompassing:</w:t>
            </w:r>
          </w:p>
          <w:p w:rsidR="00000000" w:rsidRPr="00334249" w:rsidP="00334249">
            <w:pPr>
              <w:pStyle w:val="ListBullet"/>
            </w:pPr>
            <w:r w:rsidRPr="00334249">
              <w:t>Commonwealth, State/Territory and local government legislation, Standards, codes, supply authority regulations and or enterprise r</w:t>
            </w:r>
            <w:r w:rsidRPr="00334249">
              <w:t>equirements applicable to overhead distribution layout</w:t>
            </w:r>
          </w:p>
          <w:p w:rsidR="00000000" w:rsidRPr="00334249" w:rsidP="00334249">
            <w:pPr>
              <w:pStyle w:val="ListBullet"/>
            </w:pPr>
            <w:r w:rsidRPr="00334249">
              <w:t>Requirements for the use of overhead line construction manuals, system diagrams/plans and drawings and for plans such as work method statements for the control of OHS risks</w:t>
            </w:r>
          </w:p>
          <w:p w:rsidR="00000000" w:rsidRPr="00334249" w:rsidP="00334249">
            <w:pPr>
              <w:pStyle w:val="ListBullet"/>
            </w:pPr>
            <w:r w:rsidRPr="00334249">
              <w:t>Methods in determining mater</w:t>
            </w:r>
            <w:r w:rsidRPr="00334249">
              <w:t>ial, equipment and tool lists - components types and quantity required, spacing of components such as equipment, poles, cross-arms, costings of items and components.</w:t>
            </w:r>
          </w:p>
          <w:p w:rsidR="00000000" w:rsidRPr="00334249" w:rsidP="00334249">
            <w:pPr>
              <w:pStyle w:val="ListBullet"/>
            </w:pPr>
            <w:r w:rsidRPr="00334249">
              <w:t>Purchasing and contractual arrangements to include a requirement to eliminate OHS hazards, minimise risks and provide residual OHS risk information</w:t>
            </w:r>
          </w:p>
          <w:p w:rsidR="00000000" w:rsidRPr="00334249" w:rsidP="00334249">
            <w:pPr>
              <w:pStyle w:val="ListBullet"/>
            </w:pPr>
            <w:r w:rsidRPr="00334249">
              <w:t>Determination of conductor size, type and route length -</w:t>
            </w:r>
          </w:p>
          <w:p w:rsidR="00000000" w:rsidRPr="00334249" w:rsidP="00334249">
            <w:pPr>
              <w:pStyle w:val="ListBullet"/>
            </w:pPr>
            <w:r w:rsidRPr="00334249">
              <w:t xml:space="preserve">Resources needed for the stringing and maintenance </w:t>
            </w:r>
            <w:r w:rsidRPr="00334249">
              <w:t>of conductors</w:t>
            </w:r>
          </w:p>
          <w:p w:rsidR="00000000" w:rsidRPr="00334249" w:rsidP="00334249">
            <w:pPr>
              <w:pStyle w:val="ListBullet"/>
            </w:pPr>
            <w:r w:rsidRPr="00334249">
              <w:t>Types of low LV and HV overhead electrical conductor connections</w:t>
            </w:r>
          </w:p>
          <w:p w:rsidR="00000000" w:rsidRPr="00334249" w:rsidP="00334249">
            <w:pPr>
              <w:pStyle w:val="ListBullet"/>
            </w:pPr>
            <w:r w:rsidRPr="00334249">
              <w:t>Minimum clearances between overhead conductors and low LV and/HV structures</w:t>
            </w:r>
          </w:p>
          <w:p w:rsidR="00000000" w:rsidRPr="00334249" w:rsidP="00334249">
            <w:pPr>
              <w:pStyle w:val="ListBullet"/>
            </w:pPr>
            <w:r w:rsidRPr="00334249">
              <w:t>Estimation of the duration of overhead distribution extension project</w:t>
            </w:r>
          </w:p>
          <w:p w:rsidR="00000000" w:rsidRPr="00334249" w:rsidP="00334249">
            <w:pPr>
              <w:pStyle w:val="BodyText"/>
            </w:pPr>
            <w:r w:rsidRPr="00334249">
              <w:t>T8</w:t>
            </w:r>
            <w:r w:rsidRPr="00334249">
              <w:tab/>
              <w:t>Fundamentals of surveying fo</w:t>
            </w:r>
            <w:r w:rsidRPr="00334249">
              <w:t>r the purpose of producing an overhead or underground distribution extension encompassing:</w:t>
            </w:r>
          </w:p>
          <w:p w:rsidR="00000000" w:rsidRPr="00334249" w:rsidP="00334249">
            <w:pPr>
              <w:pStyle w:val="ListBullet"/>
            </w:pPr>
            <w:r w:rsidRPr="00334249">
              <w:t>Commonwealth, State/Territory and local government legislation, Standards, codes, supply and aviation authority regulations and or enterprise requirements applicabl</w:t>
            </w:r>
            <w:r w:rsidRPr="00334249">
              <w:t>e to the surveying for an overhead and underground extension</w:t>
            </w:r>
          </w:p>
          <w:p w:rsidR="00000000" w:rsidRPr="00334249" w:rsidP="00334249">
            <w:pPr>
              <w:pStyle w:val="ListBullet"/>
            </w:pPr>
            <w:r w:rsidRPr="00334249">
              <w:t>Techniques in measuring heights and distances</w:t>
            </w:r>
          </w:p>
          <w:p w:rsidR="00000000" w:rsidRPr="00334249" w:rsidP="00334249">
            <w:pPr>
              <w:pStyle w:val="ListBullet"/>
            </w:pPr>
            <w:r w:rsidRPr="00334249">
              <w:t>Techniques in taking bearings angles of deviation using a compass</w:t>
            </w:r>
          </w:p>
          <w:p w:rsidR="00000000" w:rsidRPr="00334249" w:rsidP="00334249">
            <w:pPr>
              <w:pStyle w:val="ListBullet"/>
            </w:pPr>
            <w:r w:rsidRPr="00334249">
              <w:t>Techniques in using a clinometer</w:t>
            </w:r>
          </w:p>
          <w:p w:rsidR="00000000" w:rsidRPr="00334249" w:rsidP="00334249">
            <w:pPr>
              <w:pStyle w:val="ListBullet"/>
            </w:pPr>
            <w:r w:rsidRPr="00334249">
              <w:t>Techniques in recording and storage of data</w:t>
            </w:r>
          </w:p>
          <w:p w:rsidR="00000000" w:rsidRPr="00334249" w:rsidP="00334249">
            <w:pPr>
              <w:pStyle w:val="ListBullet"/>
            </w:pPr>
            <w:r w:rsidRPr="00334249">
              <w:t>Requir</w:t>
            </w:r>
            <w:r w:rsidRPr="00334249">
              <w:t>ements for the use of overhead line construction manuals, system diagrams/plans and drawings</w:t>
            </w:r>
          </w:p>
          <w:p w:rsidR="00000000" w:rsidRPr="00334249" w:rsidP="00334249">
            <w:pPr>
              <w:pStyle w:val="ListBullet"/>
            </w:pPr>
            <w:r w:rsidRPr="00334249">
              <w:t>Techniques in plotting long spans - measuring stick, clinometer, trundle wheel, tapes, correction for sloping ground, distance across objects and range rods</w:t>
            </w:r>
          </w:p>
          <w:p w:rsidR="00000000" w:rsidRPr="00334249" w:rsidP="00334249">
            <w:pPr>
              <w:pStyle w:val="ListBullet"/>
            </w:pPr>
            <w:r w:rsidRPr="00334249">
              <w:t>Techni</w:t>
            </w:r>
            <w:r w:rsidRPr="00334249">
              <w:t>ques in pegging pole positions - foot path alignments, types of pegs, pegs of other authorities and locating survey pegs</w:t>
            </w:r>
          </w:p>
          <w:p w:rsidR="00000000" w:rsidRPr="00334249" w:rsidP="00334249">
            <w:pPr>
              <w:pStyle w:val="BodyText"/>
            </w:pPr>
            <w:r w:rsidRPr="00334249">
              <w:t>T9</w:t>
            </w:r>
            <w:r w:rsidRPr="00334249">
              <w:tab/>
              <w:t>Fundamentals of computer aided drafting (CAD) for drafting and layout of distribution extension and upgrades encompassing:</w:t>
            </w:r>
          </w:p>
          <w:p w:rsidR="00000000" w:rsidRPr="00334249" w:rsidP="00334249">
            <w:pPr>
              <w:pStyle w:val="ListBullet"/>
            </w:pPr>
            <w:r w:rsidRPr="00334249">
              <w:t>Commonwe</w:t>
            </w:r>
            <w:r w:rsidRPr="00334249">
              <w:t>alth, State/Territory and local government legislation, Standards, codes, supply authority regulations and or enterprise requirements applicable to the drafting and layouts of distribution extensions and upgrades</w:t>
            </w:r>
          </w:p>
          <w:p w:rsidR="00000000" w:rsidRPr="00334249" w:rsidP="00334249">
            <w:pPr>
              <w:pStyle w:val="ListBullet"/>
            </w:pPr>
            <w:r w:rsidRPr="00334249">
              <w:t>Types of computer hardware and software, to</w:t>
            </w:r>
            <w:r w:rsidRPr="00334249">
              <w:t>ols and equipment for the production of a draft and layout of distribution extension and or upgrade</w:t>
            </w:r>
          </w:p>
          <w:p w:rsidR="00000000" w:rsidRPr="00334249" w:rsidP="00334249">
            <w:pPr>
              <w:pStyle w:val="ListBullet"/>
            </w:pPr>
            <w:r w:rsidRPr="00334249">
              <w:t>Techniques in storing and retrieving programs and files from the computer</w:t>
            </w:r>
          </w:p>
          <w:p w:rsidR="00000000" w:rsidRPr="00334249" w:rsidP="00334249">
            <w:pPr>
              <w:pStyle w:val="ListBullet"/>
            </w:pPr>
            <w:r w:rsidRPr="00334249">
              <w:t>Identification and methods of retrieving and manipulating, digital symbols, design</w:t>
            </w:r>
            <w:r w:rsidRPr="00334249">
              <w:t>s, layouts, fonts and graphs stored in the computer</w:t>
            </w:r>
          </w:p>
          <w:p w:rsidR="00000000" w:rsidRPr="00334249" w:rsidP="00334249">
            <w:pPr>
              <w:pStyle w:val="ListBullet"/>
            </w:pPr>
            <w:r w:rsidRPr="00334249">
              <w:t>Techniques in using the CAD package in following necessary commands and protocols in accordance with the operating instructions of the CAD software manufacturer</w:t>
            </w:r>
          </w:p>
          <w:p w:rsidR="00000000" w:rsidRPr="00334249" w:rsidP="00334249">
            <w:pPr>
              <w:pStyle w:val="ListBullet"/>
            </w:pPr>
            <w:r w:rsidRPr="00334249">
              <w:t>Note: Examples include using file structure, menu utilisation, system library usage, data banking, achieving, file management and maintenance procedures</w:t>
            </w:r>
          </w:p>
          <w:p w:rsidR="00000000" w:rsidRPr="00334249" w:rsidP="00334249">
            <w:pPr>
              <w:pStyle w:val="ListBullet"/>
            </w:pPr>
            <w:r w:rsidRPr="00334249">
              <w:t>Calculation of dimensions and drafting measurements using the computer</w:t>
            </w:r>
          </w:p>
          <w:p w:rsidR="00000000" w:rsidRPr="00334249" w:rsidP="00334249">
            <w:pPr>
              <w:pStyle w:val="ListBullet"/>
            </w:pPr>
            <w:r w:rsidRPr="00334249">
              <w:t>Techniques in the preparation of</w:t>
            </w:r>
            <w:r w:rsidRPr="00334249">
              <w:t xml:space="preserve"> preliminary sketches using the computer</w:t>
            </w:r>
          </w:p>
          <w:p w:rsidR="00000000" w:rsidRPr="00334249" w:rsidP="00334249">
            <w:pPr>
              <w:pStyle w:val="ListBullet"/>
            </w:pPr>
            <w:r w:rsidRPr="00334249">
              <w:t>Techniques in using 2D computer graphics system and associated equipment to produce a distribution extension and or upgrade draft or layout</w:t>
            </w:r>
          </w:p>
          <w:p w:rsidR="00000000" w:rsidRPr="00334249" w:rsidP="00334249">
            <w:pPr>
              <w:pStyle w:val="ListBullet"/>
            </w:pPr>
            <w:r w:rsidRPr="00334249">
              <w:t>Techniques to diagnosing basic faults in computer operation</w:t>
            </w:r>
          </w:p>
          <w:p w:rsidR="00000000" w:rsidRPr="00334249" w:rsidP="00334249">
            <w:pPr>
              <w:pStyle w:val="BodyText"/>
            </w:pPr>
            <w:r w:rsidRPr="00334249">
              <w:t>T10</w:t>
            </w:r>
            <w:r w:rsidRPr="00334249">
              <w:tab/>
              <w:t xml:space="preserve">Principles </w:t>
            </w:r>
            <w:r w:rsidRPr="00334249">
              <w:t>to light design layout encompassing:</w:t>
            </w:r>
          </w:p>
          <w:p w:rsidR="00000000" w:rsidRPr="00334249" w:rsidP="00334249">
            <w:pPr>
              <w:pStyle w:val="ListBullet"/>
            </w:pPr>
            <w:r w:rsidRPr="00334249">
              <w:t>Commonwealth, State/Territory and local government legislation, Standards, codes, supply authority regulations and or enterprise requirements applicable to the light design principles</w:t>
            </w:r>
          </w:p>
          <w:p w:rsidR="00000000" w:rsidRPr="00334249" w:rsidP="00334249">
            <w:pPr>
              <w:pStyle w:val="ListBullet"/>
            </w:pPr>
            <w:r w:rsidRPr="00334249">
              <w:t>Requirements for the use of street</w:t>
            </w:r>
            <w:r w:rsidRPr="00334249">
              <w:t xml:space="preserve"> lighting system construction manuals, system diagrams/plans and drawings and for plans such as work method statements for the control of OHS risks</w:t>
            </w:r>
          </w:p>
          <w:p w:rsidR="00000000" w:rsidRPr="00334249" w:rsidP="00334249">
            <w:pPr>
              <w:pStyle w:val="ListBullet"/>
            </w:pPr>
            <w:r w:rsidRPr="00334249">
              <w:t>Types of tariffs and charges</w:t>
            </w:r>
          </w:p>
          <w:p w:rsidR="00000000" w:rsidRPr="00334249" w:rsidP="00334249">
            <w:pPr>
              <w:pStyle w:val="ListBullet"/>
            </w:pPr>
            <w:r w:rsidRPr="00334249">
              <w:t>Types of street lighting components - column types, foundations, brackets, lumi</w:t>
            </w:r>
            <w:r w:rsidRPr="00334249">
              <w:t>naries and mounting heights</w:t>
            </w:r>
          </w:p>
          <w:p w:rsidR="00000000" w:rsidRPr="00334249" w:rsidP="00334249">
            <w:pPr>
              <w:pStyle w:val="ListBullet"/>
            </w:pPr>
            <w:r w:rsidRPr="00334249">
              <w:t>Types of electrical street lighting circuits - types of supply, lighting circuit and control circuit</w:t>
            </w:r>
          </w:p>
          <w:p w:rsidR="00000000" w:rsidRPr="00334249" w:rsidP="00334249">
            <w:pPr>
              <w:pStyle w:val="ListBullet"/>
            </w:pPr>
            <w:r w:rsidRPr="00334249">
              <w:t>Fundamentals of lighting production - electromagnetic spectrum, visible and non-visible radiation, spectral energy distribution</w:t>
            </w:r>
            <w:r w:rsidRPr="00334249">
              <w:t>, infra-red, ultra-violet, radiation-safety, incandescence and phosphorescence, reflection and refraction.</w:t>
            </w:r>
          </w:p>
          <w:p w:rsidR="00000000" w:rsidRPr="00334249" w:rsidP="00334249">
            <w:pPr>
              <w:pStyle w:val="ListBullet"/>
            </w:pPr>
            <w:r w:rsidRPr="00334249">
              <w:t>Fundamentals of lighting concepts - terms and units, purpose of reflectors and diffusers.</w:t>
            </w:r>
          </w:p>
          <w:p w:rsidR="00000000" w:rsidRPr="00334249" w:rsidP="00334249">
            <w:pPr>
              <w:pStyle w:val="ListBullet"/>
            </w:pPr>
            <w:r w:rsidRPr="00334249">
              <w:t>Factors affecting external lighting design</w:t>
            </w:r>
          </w:p>
          <w:p w:rsidR="00000000" w:rsidRPr="00334249" w:rsidP="00334249">
            <w:pPr>
              <w:pStyle w:val="ListBullet"/>
            </w:pPr>
            <w:r w:rsidRPr="00334249">
              <w:t>Calculation of l</w:t>
            </w:r>
            <w:r w:rsidRPr="00334249">
              <w:t>ight output</w:t>
            </w:r>
          </w:p>
          <w:p w:rsidR="00000000" w:rsidRPr="00334249" w:rsidP="00334249">
            <w:pPr>
              <w:pStyle w:val="ListBullet"/>
            </w:pPr>
            <w:r w:rsidRPr="00334249">
              <w:t>Determining illuminance - point to point method, lumen method</w:t>
            </w:r>
          </w:p>
          <w:p w:rsidR="00000000" w:rsidRPr="00334249" w:rsidP="00334249">
            <w:pPr>
              <w:pStyle w:val="ListBullet"/>
            </w:pPr>
            <w:r w:rsidRPr="00334249">
              <w:t>Determining rated life of luminaries</w:t>
            </w:r>
          </w:p>
          <w:p w:rsidR="00000000" w:rsidRPr="00334249" w:rsidP="00334249">
            <w:pPr>
              <w:pStyle w:val="ListBullet"/>
            </w:pPr>
            <w:r w:rsidRPr="00334249">
              <w:t>Fundamentals of street lighting design</w:t>
            </w:r>
          </w:p>
          <w:p w:rsidR="00000000" w:rsidRPr="00334249" w:rsidP="00334249">
            <w:pPr>
              <w:pStyle w:val="ListBullet"/>
            </w:pPr>
            <w:r w:rsidRPr="00334249">
              <w:t>Considerations for special lighting situations - security lighting, hazardous street locations, and emerge</w:t>
            </w:r>
            <w:r w:rsidRPr="00334249">
              <w:t>ncy lighting.</w:t>
            </w:r>
          </w:p>
          <w:p w:rsidR="00000000" w:rsidRPr="00334249" w:rsidP="00334249">
            <w:pPr>
              <w:pStyle w:val="BodyText"/>
            </w:pPr>
            <w:r w:rsidRPr="00334249">
              <w:t>T11</w:t>
            </w:r>
            <w:r w:rsidRPr="00334249">
              <w:tab/>
              <w:t>Principles to layout and draft a street lighting system encompassing:</w:t>
            </w:r>
          </w:p>
          <w:p w:rsidR="00000000" w:rsidRPr="00334249" w:rsidP="00334249">
            <w:pPr>
              <w:pStyle w:val="ListBullet"/>
            </w:pPr>
            <w:r w:rsidRPr="00334249">
              <w:t xml:space="preserve">Commonwealth, State/Territory and local government legislation, Standards, codes, </w:t>
            </w:r>
            <w:r w:rsidRPr="00334249">
              <w:t>supply authority regulations and or enterprise requirements applicable to street lighting system layouts and drafts</w:t>
            </w:r>
          </w:p>
          <w:p w:rsidR="00000000" w:rsidRPr="00334249" w:rsidP="00334249">
            <w:pPr>
              <w:pStyle w:val="ListBullet"/>
            </w:pPr>
            <w:r w:rsidRPr="00334249">
              <w:t>Requirements for the use of street lighting system construction manuals, system diagrams/plans and drawings and for plans such as work metho</w:t>
            </w:r>
            <w:r w:rsidRPr="00334249">
              <w:t>d statements for the control of OHS risks</w:t>
            </w:r>
          </w:p>
          <w:p w:rsidR="00000000" w:rsidRPr="00334249" w:rsidP="00334249">
            <w:pPr>
              <w:pStyle w:val="ListBullet"/>
            </w:pPr>
            <w:r w:rsidRPr="00334249">
              <w:t>Methods in determining material, equipment and tool lists - components types and quantity required, spacing of components such as equipment, poles, cross-arms, costings of items and components.</w:t>
            </w:r>
          </w:p>
          <w:p w:rsidR="00000000" w:rsidRPr="00334249" w:rsidP="00334249">
            <w:pPr>
              <w:pStyle w:val="ListBullet"/>
            </w:pPr>
            <w:r w:rsidRPr="00334249">
              <w:t>Purchasing and contr</w:t>
            </w:r>
            <w:r w:rsidRPr="00334249">
              <w:t>actual arrangements to include a requirement to eliminate OHS hazards minimise risks and provide residual OHS risk information</w:t>
            </w:r>
          </w:p>
          <w:p w:rsidR="00000000" w:rsidRPr="00334249" w:rsidP="00334249">
            <w:pPr>
              <w:pStyle w:val="ListBullet"/>
            </w:pPr>
            <w:r w:rsidRPr="00334249">
              <w:t>Determination of conductor size, type and route length</w:t>
            </w:r>
          </w:p>
          <w:p w:rsidR="00000000" w:rsidRPr="00334249" w:rsidP="00334249">
            <w:pPr>
              <w:pStyle w:val="ListBullet"/>
            </w:pPr>
            <w:r w:rsidRPr="00334249">
              <w:t>Determination of street lighting positions for optimum visibility and mini</w:t>
            </w:r>
            <w:r w:rsidRPr="00334249">
              <w:t>mise traffic hazards</w:t>
            </w:r>
          </w:p>
          <w:p w:rsidR="00000000" w:rsidRPr="00334249" w:rsidP="00334249">
            <w:pPr>
              <w:pStyle w:val="ListBullet"/>
            </w:pPr>
            <w:r w:rsidRPr="00334249">
              <w:t>Techniques in mounting and position of lights</w:t>
            </w:r>
          </w:p>
          <w:p w:rsidR="00000000" w:rsidRPr="00334249" w:rsidP="00334249">
            <w:pPr>
              <w:pStyle w:val="ListBullet"/>
            </w:pPr>
            <w:r w:rsidRPr="00334249">
              <w:t>Resources needed for the installation of street lighting system</w:t>
            </w:r>
          </w:p>
          <w:p w:rsidR="00000000" w:rsidRPr="00334249" w:rsidP="00334249">
            <w:pPr>
              <w:pStyle w:val="ListBullet"/>
            </w:pPr>
            <w:r w:rsidRPr="00334249">
              <w:t>Methods of pegging out of pole positions and/or underground cable positions</w:t>
            </w:r>
          </w:p>
          <w:p w:rsidR="00000000" w:rsidRPr="00334249" w:rsidP="00334249">
            <w:pPr>
              <w:pStyle w:val="ListBullet"/>
            </w:pPr>
            <w:r w:rsidRPr="00334249">
              <w:t>Minimum clearances between overhead conductors an</w:t>
            </w:r>
            <w:r w:rsidRPr="00334249">
              <w:t>d low LV/and HV structures</w:t>
            </w:r>
          </w:p>
          <w:p w:rsidR="00000000" w:rsidRPr="00334249" w:rsidP="00334249">
            <w:pPr>
              <w:pStyle w:val="ListBullet"/>
            </w:pPr>
            <w:r w:rsidRPr="00334249">
              <w:t>Estimation of the duration of overhead distribution extension project.</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10" w:name="O_463319"/>
      <w:bookmarkEnd w:id="10"/>
      <w:r w:rsidRPr="00334249">
        <w:t>Evidence Guide</w:t>
      </w:r>
    </w:p>
    <w:tbl>
      <w:tblPr>
        <w:tblW w:w="0" w:type="auto"/>
        <w:tblLayout w:type="fixed"/>
        <w:tblCellMar>
          <w:left w:w="62" w:type="dxa"/>
          <w:right w:w="62" w:type="dxa"/>
        </w:tblCellMar>
        <w:tblLook w:val="0000"/>
      </w:tblPr>
      <w:tblGrid>
        <w:gridCol w:w="8460"/>
      </w:tblGrid>
      <w:tr w:rsidTr="00D17D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EVIDENCE GUIDE</w:t>
            </w:r>
          </w:p>
        </w:tc>
      </w:tr>
      <w:tr w:rsidTr="00D17D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 xml:space="preserve">9) </w:t>
            </w:r>
            <w:r w:rsidRPr="00334249">
              <w:t xml:space="preserve">This provides essential advice for assessment of the unit of competency and must be read in conjunction </w:t>
            </w:r>
            <w:r w:rsidRPr="00334249">
              <w:t>with the Performance Criteria and the range statement of the unit of competency and the Training Package Assessment Guidelines.</w:t>
            </w:r>
          </w:p>
          <w:p w:rsidR="00000000" w:rsidRPr="00334249" w:rsidP="00334249">
            <w:pPr>
              <w:pStyle w:val="BodyText"/>
            </w:pPr>
            <w:r w:rsidRPr="00334249">
              <w:t>The Evidence Guide forms an integral part of this Competency Standard Unit and shall be used in conjunction with all component p</w:t>
            </w:r>
            <w:r w:rsidRPr="00334249">
              <w:t>arts of this unit and, performed in accordance with the Assessment Guidelines of this Training Package.</w:t>
            </w:r>
          </w:p>
        </w:tc>
      </w:tr>
    </w:tbl>
    <w:p w:rsidR="00000000" w:rsidRPr="00334249" w:rsidP="00334249">
      <w:pPr>
        <w:pStyle w:val="BodyText"/>
      </w:pPr>
    </w:p>
    <w:tbl>
      <w:tblPr>
        <w:tblW w:w="0" w:type="auto"/>
        <w:tblLayout w:type="fixed"/>
        <w:tblCellMar>
          <w:left w:w="62" w:type="dxa"/>
          <w:right w:w="62" w:type="dxa"/>
        </w:tblCellMar>
        <w:tblLook w:val="0000"/>
      </w:tblPr>
      <w:tblGrid>
        <w:gridCol w:w="1890"/>
        <w:gridCol w:w="6570"/>
      </w:tblGrid>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9.1)</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Longitudinal competency development approaches to assessment, such as Profiling, require data to be reliably</w:t>
            </w:r>
            <w:r w:rsidRPr="00334249">
              <w:t xml:space="preserve"> gathered in a form that can be consistently interpreted over time. This approach is best utilised in Apprenticeship programs and reduces assessment intervention. It is the Industry’s preferred model for apprenticeships. However, where summative (or final)</w:t>
            </w:r>
            <w:r w:rsidRPr="00334249">
              <w:t xml:space="preserve"> assessment is used it is to include the application of the competency in the normal work environment or, at a minimum, the application of the competency in a realistically simulated work environment. It is recognised that, in some circumstances, assessmen</w:t>
            </w:r>
            <w:r w:rsidRPr="00334249">
              <w:t>t in part or full can occur outside the workplace. However, it must be in accord with Industry and, Regulatory policy in this regard.</w:t>
            </w:r>
          </w:p>
          <w:p w:rsidR="00000000" w:rsidRPr="00334249" w:rsidP="00334249">
            <w:pPr>
              <w:pStyle w:val="BodyText"/>
            </w:pPr>
            <w:r w:rsidRPr="00334249">
              <w:t>Methods chosen for a particular assessment will be influenced by various factors. These include the extent of the assessme</w:t>
            </w:r>
            <w:r w:rsidRPr="00334249">
              <w:t>nt, the most effective locations for the assessment activities to take place, access to physical resources, additional safety measures that may be required and the critical nature of the competencies being assessed.</w:t>
            </w:r>
          </w:p>
          <w:p w:rsidR="00000000" w:rsidRPr="00334249" w:rsidP="00334249">
            <w:pPr>
              <w:pStyle w:val="BodyText"/>
            </w:pPr>
            <w:r w:rsidRPr="00334249">
              <w:t>The critical safety nature of working wi</w:t>
            </w:r>
            <w:r w:rsidRPr="00334249">
              <w:t>th electricity, electrical equipment, gas or any other hazardous substance/material carries risk in deeming a person competent. Hence, sources of evidence need to be ‘rich’ in nature so as to minimise error in judgment.</w:t>
            </w:r>
          </w:p>
          <w:p w:rsidR="00000000" w:rsidRPr="00334249" w:rsidP="00334249">
            <w:pPr>
              <w:pStyle w:val="BodyText"/>
            </w:pPr>
            <w:r w:rsidRPr="00334249">
              <w:t>Activities associated with normal ev</w:t>
            </w:r>
            <w:r w:rsidRPr="00334249">
              <w:t>ery day work have a bearing on the decision as to how much and how detailed the data gathered will contribute to its ‘richness’. Some skills are more critical to safety and operational requirements while the same skills may be more or less frequently pract</w:t>
            </w:r>
            <w:r w:rsidRPr="00334249">
              <w:t>iced.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334249" w:rsidP="0033424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17D41">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Critical</w:t>
            </w:r>
            <w:r w:rsidRPr="00334249">
              <w:rPr>
                <w:rStyle w:val="SpecialBold"/>
              </w:rPr>
              <w:t xml:space="preserve">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9.2)</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Before the critical aspects of evidence are considered all prerequisites shall be met.</w:t>
            </w:r>
          </w:p>
          <w:p w:rsidR="00000000" w:rsidRPr="00334249" w:rsidP="00334249">
            <w:pPr>
              <w:pStyle w:val="BodyText"/>
            </w:pPr>
            <w:r w:rsidRPr="00334249">
              <w:t>Evidence for competence in this unit shall be considered holistically. Each element and associated Performance Criteria shall be demonstrated on at least two occasions in accordance with the “Assessment Guidelines – UET12UET12”. Evidence shall also compris</w:t>
            </w:r>
            <w:r w:rsidRPr="00334249">
              <w:t>e:</w:t>
            </w:r>
          </w:p>
          <w:p w:rsidR="00000000" w:rsidRPr="00334249" w:rsidP="00334249">
            <w:pPr>
              <w:pStyle w:val="ListBullet"/>
            </w:pPr>
            <w:r w:rsidRPr="00334249">
              <w:t>A representative body of Performance Criteria demonstrated within the timeframes typically expected of the discipline, work function and industrial environment. In particular this shall incorporate evidence that shows a candidate is able to:</w:t>
            </w:r>
          </w:p>
          <w:p w:rsidR="00000000" w:rsidRPr="00334249" w:rsidP="00334249">
            <w:pPr>
              <w:pStyle w:val="ListBullet2"/>
            </w:pPr>
            <w:r w:rsidRPr="00334249">
              <w:t>Implement</w:t>
            </w:r>
            <w:r w:rsidRPr="00334249">
              <w:t xml:space="preserve"> Occupational Health and Safety workplace procedures and practices including the use of risk control measures as specified in the Performance Criteria and range; and</w:t>
            </w:r>
          </w:p>
          <w:p w:rsidR="00000000" w:rsidRPr="00334249" w:rsidP="00334249">
            <w:pPr>
              <w:pStyle w:val="ListBullet2"/>
            </w:pPr>
            <w:r w:rsidRPr="00334249">
              <w:t>Apply sustainable energy principles and practices as specified in the Performance Criteria</w:t>
            </w:r>
            <w:r w:rsidRPr="00334249">
              <w:t xml:space="preserve"> and range; and</w:t>
            </w:r>
          </w:p>
          <w:p w:rsidR="00000000" w:rsidRPr="00334249" w:rsidP="00334249">
            <w:pPr>
              <w:pStyle w:val="ListBullet2"/>
            </w:pPr>
            <w:r w:rsidRPr="00334249">
              <w:t>Demonstrate an understanding of the essential knowledge and associated skills as described in this unit to such an extent that the learner’s performance outcome is reported in accordance with the preferred approach; namely a percentile grad</w:t>
            </w:r>
            <w:r w:rsidRPr="00334249">
              <w:t>ed result, where required by the regulated environment; and</w:t>
            </w:r>
          </w:p>
          <w:p w:rsidR="00000000" w:rsidRPr="00334249" w:rsidP="00334249">
            <w:pPr>
              <w:pStyle w:val="ListBullet2"/>
            </w:pPr>
            <w:r w:rsidRPr="00334249">
              <w:t>Demonstrate an appropriate level of employability skills; and</w:t>
            </w:r>
          </w:p>
          <w:p w:rsidR="00000000" w:rsidRPr="00334249" w:rsidP="00334249">
            <w:pPr>
              <w:pStyle w:val="ListBullet"/>
            </w:pPr>
            <w:r w:rsidRPr="00334249">
              <w:t>Conduct work observing the relevant Anti Discrimination legislation, regulations, policies and workplace procedures; and</w:t>
            </w:r>
          </w:p>
          <w:p w:rsidR="00000000" w:rsidP="00334249">
            <w:pPr>
              <w:pStyle w:val="ListBullet2"/>
              <w:rPr>
                <w:lang w:val="en-NZ"/>
              </w:rPr>
            </w:pPr>
            <w:r w:rsidRPr="00334249">
              <w:t>Demonstrate</w:t>
            </w:r>
            <w:r w:rsidRPr="00334249">
              <w:t>d performance across a representative range of contexts from the prescribed items below:</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424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rPr>
                <w:rStyle w:val="SpecialBold"/>
              </w:rPr>
              <w:t>Range of tools/equipment/materials/procedures/workplaces/other variables</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424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249" w:rsidP="00334249">
            <w:pPr>
              <w:pStyle w:val="BodyText"/>
            </w:pPr>
            <w:r w:rsidRPr="0033424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249" w:rsidP="00334249">
            <w:pPr>
              <w:pStyle w:val="BodyText"/>
            </w:pPr>
            <w:r w:rsidRPr="0033424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rPr>
                <w:rStyle w:val="SpecialBold"/>
              </w:rPr>
              <w:t>Item List</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249" w:rsidP="00334249">
            <w:pPr>
              <w:pStyle w:val="BodyText"/>
            </w:pPr>
            <w:r w:rsidRPr="00334249">
              <w:t>Production of preliminary plan for a street lighting system</w:t>
            </w:r>
          </w:p>
          <w:p w:rsidR="00000000" w:rsidP="00334249">
            <w:pPr>
              <w:pStyle w:val="BodyText"/>
              <w:rPr>
                <w:lang w:val="en-NZ"/>
              </w:rPr>
            </w:pPr>
            <w:r w:rsidRPr="00334249">
              <w:t>Production of a layout of a street lighting system.</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249">
            <w:pPr>
              <w:pStyle w:val="BodyText"/>
              <w:rPr>
                <w:lang w:val="en-NZ"/>
              </w:rPr>
            </w:pPr>
            <w:r w:rsidRPr="0033424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249" w:rsidP="00334249">
            <w:pPr>
              <w:pStyle w:val="BodyText"/>
            </w:pPr>
            <w:r w:rsidRPr="00334249">
              <w:t>Dealing with an unplanned event by drawing on essential knowledge and associated skills to provide appropriate solutions incorporated in the holistic assessment with the above listed items.</w:t>
            </w:r>
          </w:p>
        </w:tc>
      </w:tr>
    </w:tbl>
    <w:p w:rsidR="00000000" w:rsidRPr="00334249" w:rsidP="00334249">
      <w:pPr>
        <w:pStyle w:val="BodyText"/>
      </w:pPr>
    </w:p>
    <w:tbl>
      <w:tblPr>
        <w:tblW w:w="0" w:type="auto"/>
        <w:tblLayout w:type="fixed"/>
        <w:tblCellMar>
          <w:left w:w="62" w:type="dxa"/>
          <w:right w:w="62" w:type="dxa"/>
        </w:tblCellMar>
        <w:tblLook w:val="0000"/>
      </w:tblPr>
      <w:tblGrid>
        <w:gridCol w:w="1890"/>
        <w:gridCol w:w="6570"/>
      </w:tblGrid>
      <w:tr w:rsidTr="00D17D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9.3)</w:t>
            </w:r>
          </w:p>
        </w:tc>
      </w:tr>
      <w:tr w:rsidTr="00D17D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This unit should be assessed as it relates to normal work practice using procedures, information and resources typical of a workplace. This should include:</w:t>
            </w:r>
          </w:p>
          <w:p w:rsidR="00000000" w:rsidRPr="00334249" w:rsidP="00334249">
            <w:pPr>
              <w:pStyle w:val="ListBullet"/>
            </w:pPr>
            <w:r w:rsidRPr="00334249">
              <w:t>OHS policy and work procedures and instructions.</w:t>
            </w:r>
          </w:p>
          <w:p w:rsidR="00000000" w:rsidRPr="00334249" w:rsidP="00334249">
            <w:pPr>
              <w:pStyle w:val="ListBullet"/>
            </w:pPr>
            <w:r w:rsidRPr="00334249">
              <w:t>Suitable work environment, facilities, equipment a</w:t>
            </w:r>
            <w:r w:rsidRPr="00334249">
              <w:t>nd materials to undertake actual drafting and layout of a street lighting system.</w:t>
            </w:r>
          </w:p>
          <w:p w:rsidR="00000000" w:rsidRPr="00334249" w:rsidP="00334249">
            <w:pPr>
              <w:pStyle w:val="BodyText"/>
            </w:pPr>
            <w:r w:rsidRPr="00334249">
              <w:t>In addition to the resources listed above, in Context of and specific resources for assessment, evidence should show demonstrated competency working at realistic heights abov</w:t>
            </w:r>
            <w:r w:rsidRPr="00334249">
              <w:t xml:space="preserve">e ground i.e. above 3 metres, in limited spaces, with different structural/construction types and method and in a variety of environments. </w:t>
            </w:r>
          </w:p>
        </w:tc>
      </w:tr>
    </w:tbl>
    <w:p w:rsidR="00000000" w:rsidRPr="00334249" w:rsidP="00334249">
      <w:pPr>
        <w:pStyle w:val="BodyText"/>
      </w:pPr>
    </w:p>
    <w:tbl>
      <w:tblPr>
        <w:tblW w:w="0" w:type="auto"/>
        <w:tblLayout w:type="fixed"/>
        <w:tblCellMar>
          <w:left w:w="62" w:type="dxa"/>
          <w:right w:w="62" w:type="dxa"/>
        </w:tblCellMar>
        <w:tblLook w:val="0000"/>
      </w:tblPr>
      <w:tblGrid>
        <w:gridCol w:w="1890"/>
        <w:gridCol w:w="6570"/>
      </w:tblGrid>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9.4)</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This Competency Standard Unit shall be assessed by methods given in Volume 1, Part 3 “</w:t>
            </w:r>
            <w:r w:rsidRPr="00334249">
              <w:t>Assessment Guidelines”.</w:t>
            </w:r>
          </w:p>
          <w:p w:rsidR="00000000" w:rsidRPr="00334249" w:rsidP="00334249">
            <w:pPr>
              <w:pStyle w:val="BodyText"/>
            </w:pPr>
            <w:r w:rsidRPr="00334249">
              <w:t>Note:</w:t>
            </w:r>
          </w:p>
          <w:p w:rsidR="00000000" w:rsidRPr="00334249" w:rsidP="00334249">
            <w:pPr>
              <w:pStyle w:val="BodyText"/>
            </w:pPr>
            <w:r w:rsidRPr="00334249">
              <w:t xml:space="preserve">Competent performance with inherent safe working practices is expected in the Industry to which this Competency Standard Unit applies. This requires that the specified essential knowledge and associated skills are assessed in </w:t>
            </w:r>
            <w:r w:rsidRPr="00334249">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334249" w:rsidP="00334249">
      <w:pPr>
        <w:pStyle w:val="BodyText"/>
      </w:pPr>
    </w:p>
    <w:tbl>
      <w:tblPr>
        <w:tblW w:w="0" w:type="auto"/>
        <w:tblLayout w:type="fixed"/>
        <w:tblCellMar>
          <w:left w:w="62" w:type="dxa"/>
          <w:right w:w="62" w:type="dxa"/>
        </w:tblCellMar>
        <w:tblLook w:val="0000"/>
      </w:tblPr>
      <w:tblGrid>
        <w:gridCol w:w="1890"/>
        <w:gridCol w:w="6570"/>
      </w:tblGrid>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 xml:space="preserve">Concurrent </w:t>
            </w:r>
            <w:r w:rsidRPr="00334249">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9.5)</w:t>
            </w:r>
          </w:p>
        </w:tc>
      </w:tr>
      <w:tr w:rsidTr="00D17D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There are no recommended concurrencies for this unit.</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11" w:name="O_463324"/>
      <w:bookmarkEnd w:id="11"/>
      <w:r w:rsidRPr="00334249">
        <w:t>Range Statement</w:t>
      </w:r>
    </w:p>
    <w:tbl>
      <w:tblPr>
        <w:tblW w:w="0" w:type="auto"/>
        <w:tblLayout w:type="fixed"/>
        <w:tblCellMar>
          <w:left w:w="62" w:type="dxa"/>
          <w:right w:w="62" w:type="dxa"/>
        </w:tblCellMar>
        <w:tblLook w:val="0000"/>
      </w:tblPr>
      <w:tblGrid>
        <w:gridCol w:w="8460"/>
      </w:tblGrid>
      <w:tr w:rsidTr="00D17D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RANGE STATEMENT</w:t>
            </w:r>
          </w:p>
        </w:tc>
      </w:tr>
      <w:tr w:rsidTr="00D17D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10)</w:t>
            </w:r>
            <w:r w:rsidRPr="00334249">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34249" w:rsidP="00334249">
            <w:pPr>
              <w:pStyle w:val="BodyText"/>
            </w:pPr>
            <w:r w:rsidRPr="00334249">
              <w:t xml:space="preserve">This Competency Standard Unit </w:t>
            </w:r>
            <w:r w:rsidRPr="00334249">
              <w:t>shall be demonstrated in relation to the draft and layout of a street lighting systems and may include the following equipment:</w:t>
            </w:r>
          </w:p>
          <w:p w:rsidR="00000000" w:rsidRPr="00334249" w:rsidP="00334249">
            <w:pPr>
              <w:pStyle w:val="BodyText"/>
            </w:pPr>
            <w:r w:rsidRPr="00334249">
              <w:t>Pole (including wood, concrete, steel and composite) associated hardware including conductors (underground, bare wire and aerial</w:t>
            </w:r>
            <w:r w:rsidRPr="00334249">
              <w:t xml:space="preserve"> bundle cable), LV Switchgear, lanterns, lamps, brackets, signage, supervisory cable, cable TV, Substations, relevant protection systems and associated civil works.</w:t>
            </w:r>
          </w:p>
          <w:p w:rsidR="00000000" w:rsidRPr="00334249" w:rsidP="00334249">
            <w:pPr>
              <w:pStyle w:val="BodyText"/>
            </w:pPr>
            <w:r w:rsidRPr="00334249">
              <w:t xml:space="preserve">The following constants and variables included in the element/Performance Criteria in this </w:t>
            </w:r>
            <w:r w:rsidRPr="00334249">
              <w:t>unit are fully described in the Definitions Section 1 of this volume and form an integral part of the Range Statement of this unit:</w:t>
            </w:r>
          </w:p>
          <w:p w:rsidR="00000000" w:rsidRPr="00334249" w:rsidP="00334249">
            <w:pPr>
              <w:pStyle w:val="ListBullet3"/>
            </w:pPr>
            <w:r w:rsidRPr="00334249">
              <w:t>Appropriate and relevant persons (see Personnel)</w:t>
            </w:r>
          </w:p>
          <w:p w:rsidR="00000000" w:rsidRPr="00334249" w:rsidP="00334249">
            <w:pPr>
              <w:pStyle w:val="ListBullet3"/>
            </w:pPr>
            <w:r w:rsidRPr="00334249">
              <w:t>Appropriate authorities</w:t>
            </w:r>
          </w:p>
          <w:p w:rsidR="00000000" w:rsidRPr="00334249" w:rsidP="00334249">
            <w:pPr>
              <w:pStyle w:val="ListBullet3"/>
            </w:pPr>
            <w:r w:rsidRPr="00334249">
              <w:t>Appropriate work platform</w:t>
            </w:r>
          </w:p>
          <w:p w:rsidR="00000000" w:rsidRPr="00334249" w:rsidP="00334249">
            <w:pPr>
              <w:pStyle w:val="ListBullet3"/>
            </w:pPr>
            <w:r w:rsidRPr="00334249">
              <w:t>Assessing risk</w:t>
            </w:r>
          </w:p>
          <w:p w:rsidR="00000000" w:rsidRPr="00334249" w:rsidP="00334249">
            <w:pPr>
              <w:pStyle w:val="ListBullet3"/>
            </w:pPr>
            <w:r w:rsidRPr="00334249">
              <w:t>Assessmen</w:t>
            </w:r>
            <w:r w:rsidRPr="00334249">
              <w:t>t</w:t>
            </w:r>
          </w:p>
          <w:p w:rsidR="00000000" w:rsidRPr="00334249" w:rsidP="00334249">
            <w:pPr>
              <w:pStyle w:val="ListBullet3"/>
            </w:pPr>
            <w:r w:rsidRPr="00334249">
              <w:t>Authorisation</w:t>
            </w:r>
          </w:p>
          <w:p w:rsidR="00000000" w:rsidRPr="00334249" w:rsidP="00334249">
            <w:pPr>
              <w:pStyle w:val="ListBullet3"/>
            </w:pPr>
            <w:r w:rsidRPr="00334249">
              <w:t>Confined space</w:t>
            </w:r>
          </w:p>
          <w:p w:rsidR="00000000" w:rsidRPr="00334249" w:rsidP="00334249">
            <w:pPr>
              <w:pStyle w:val="ListBullet3"/>
            </w:pPr>
            <w:r w:rsidRPr="00334249">
              <w:t>Diagnostic, testing and restoration</w:t>
            </w:r>
          </w:p>
          <w:p w:rsidR="00000000" w:rsidRPr="00334249" w:rsidP="00334249">
            <w:pPr>
              <w:pStyle w:val="ListBullet3"/>
            </w:pPr>
            <w:r w:rsidRPr="00334249">
              <w:t>Documenting detail work events, record keeping and or storage of information</w:t>
            </w:r>
          </w:p>
          <w:p w:rsidR="00000000" w:rsidRPr="00334249" w:rsidP="00334249">
            <w:pPr>
              <w:pStyle w:val="ListBullet3"/>
            </w:pPr>
            <w:r w:rsidRPr="00334249">
              <w:t>Drawings and specifications</w:t>
            </w:r>
          </w:p>
          <w:p w:rsidR="00000000" w:rsidRPr="00334249" w:rsidP="00334249">
            <w:pPr>
              <w:pStyle w:val="ListBullet3"/>
            </w:pPr>
            <w:r w:rsidRPr="00334249">
              <w:t>Emergency</w:t>
            </w:r>
          </w:p>
          <w:p w:rsidR="00000000" w:rsidRPr="00334249" w:rsidP="00334249">
            <w:pPr>
              <w:pStyle w:val="ListBullet3"/>
            </w:pPr>
            <w:r w:rsidRPr="00334249">
              <w:t>Environmental and sustainable energy procedures</w:t>
            </w:r>
          </w:p>
          <w:p w:rsidR="00000000" w:rsidRPr="00334249" w:rsidP="00334249">
            <w:pPr>
              <w:pStyle w:val="ListBullet3"/>
            </w:pPr>
            <w:r w:rsidRPr="00334249">
              <w:t>Environmental legislation</w:t>
            </w:r>
          </w:p>
          <w:p w:rsidR="00000000" w:rsidRPr="00334249" w:rsidP="00334249">
            <w:pPr>
              <w:pStyle w:val="ListBullet3"/>
            </w:pPr>
            <w:r w:rsidRPr="00334249">
              <w:t>Environmental management documentation</w:t>
            </w:r>
          </w:p>
          <w:p w:rsidR="00000000" w:rsidRPr="00334249" w:rsidP="00334249">
            <w:pPr>
              <w:pStyle w:val="ListBullet3"/>
            </w:pPr>
            <w:r w:rsidRPr="00334249">
              <w:t>Established procedures</w:t>
            </w:r>
          </w:p>
          <w:p w:rsidR="00000000" w:rsidRPr="00334249" w:rsidP="00334249">
            <w:pPr>
              <w:pStyle w:val="ListBullet3"/>
            </w:pPr>
            <w:r w:rsidRPr="00334249">
              <w:t>Fall prevention</w:t>
            </w:r>
          </w:p>
          <w:p w:rsidR="00000000" w:rsidRPr="00334249" w:rsidP="00334249">
            <w:pPr>
              <w:pStyle w:val="ListBullet3"/>
            </w:pPr>
            <w:r w:rsidRPr="00334249">
              <w:t>Hazards</w:t>
            </w:r>
          </w:p>
          <w:p w:rsidR="00000000" w:rsidRPr="00334249" w:rsidP="00334249">
            <w:pPr>
              <w:pStyle w:val="ListBullet3"/>
            </w:pPr>
            <w:r w:rsidRPr="00334249">
              <w:t>Identifying hazards</w:t>
            </w:r>
          </w:p>
          <w:p w:rsidR="00000000" w:rsidRPr="00334249" w:rsidP="00334249">
            <w:pPr>
              <w:pStyle w:val="ListBullet3"/>
            </w:pPr>
            <w:r w:rsidRPr="00334249">
              <w:t>Inspect</w:t>
            </w:r>
          </w:p>
          <w:p w:rsidR="00000000" w:rsidRPr="00334249" w:rsidP="00334249">
            <w:pPr>
              <w:pStyle w:val="ListBullet3"/>
            </w:pPr>
            <w:r w:rsidRPr="00334249">
              <w:t>Legislation</w:t>
            </w:r>
          </w:p>
          <w:p w:rsidR="00000000" w:rsidRPr="00334249" w:rsidP="00334249">
            <w:pPr>
              <w:pStyle w:val="ListBullet3"/>
            </w:pPr>
            <w:r w:rsidRPr="00334249">
              <w:t>MSDS</w:t>
            </w:r>
          </w:p>
          <w:p w:rsidR="00000000" w:rsidRPr="00334249" w:rsidP="00334249">
            <w:pPr>
              <w:pStyle w:val="ListBullet3"/>
            </w:pPr>
            <w:r w:rsidRPr="00334249">
              <w:t>Notification.</w:t>
            </w:r>
          </w:p>
          <w:p w:rsidR="00000000" w:rsidRPr="00334249" w:rsidP="00334249">
            <w:pPr>
              <w:pStyle w:val="ListBullet3"/>
            </w:pPr>
            <w:r w:rsidRPr="00334249">
              <w:t>OHS practices</w:t>
            </w:r>
          </w:p>
          <w:p w:rsidR="00000000" w:rsidRPr="00334249" w:rsidP="00334249">
            <w:pPr>
              <w:pStyle w:val="ListBullet3"/>
            </w:pPr>
            <w:r w:rsidRPr="00334249">
              <w:t>OHS issues</w:t>
            </w:r>
          </w:p>
          <w:p w:rsidR="00000000" w:rsidRPr="00334249" w:rsidP="00334249">
            <w:pPr>
              <w:pStyle w:val="ListBullet3"/>
            </w:pPr>
            <w:r w:rsidRPr="00334249">
              <w:t>Permits and/or permits to work</w:t>
            </w:r>
          </w:p>
          <w:p w:rsidR="00000000" w:rsidRPr="00334249" w:rsidP="00334249">
            <w:pPr>
              <w:pStyle w:val="ListBullet3"/>
            </w:pPr>
            <w:r w:rsidRPr="00334249">
              <w:t>Personnel</w:t>
            </w:r>
          </w:p>
          <w:p w:rsidR="00000000" w:rsidRPr="00334249" w:rsidP="00334249">
            <w:pPr>
              <w:pStyle w:val="ListBullet3"/>
            </w:pPr>
            <w:r w:rsidRPr="00334249">
              <w:t>Quality assurance systems</w:t>
            </w:r>
          </w:p>
          <w:p w:rsidR="00000000" w:rsidRPr="00334249" w:rsidP="00334249">
            <w:pPr>
              <w:pStyle w:val="ListBullet3"/>
            </w:pPr>
            <w:r w:rsidRPr="00334249">
              <w:t>Requirements</w:t>
            </w:r>
          </w:p>
          <w:p w:rsidR="00000000" w:rsidRPr="00334249" w:rsidP="00334249">
            <w:pPr>
              <w:pStyle w:val="ListBullet3"/>
            </w:pPr>
            <w:r w:rsidRPr="00334249">
              <w:t>Safe d</w:t>
            </w:r>
            <w:r w:rsidRPr="00334249">
              <w:t>esign principles</w:t>
            </w:r>
          </w:p>
          <w:p w:rsidR="00000000" w:rsidRPr="00334249" w:rsidP="00334249">
            <w:pPr>
              <w:pStyle w:val="ListBullet3"/>
            </w:pPr>
            <w:r w:rsidRPr="00334249">
              <w:t>Testing procedures</w:t>
            </w:r>
          </w:p>
          <w:p w:rsidR="00000000" w:rsidRPr="00334249" w:rsidP="00334249">
            <w:pPr>
              <w:pStyle w:val="ListBullet3"/>
            </w:pPr>
            <w:r w:rsidRPr="00334249">
              <w:t>Work clearance systems</w:t>
            </w:r>
          </w:p>
        </w:tc>
      </w:tr>
    </w:tbl>
    <w:p w:rsidR="00000000" w:rsidRPr="00334249" w:rsidP="00334249">
      <w:pPr>
        <w:pStyle w:val="BodyText"/>
      </w:pPr>
    </w:p>
    <w:p w:rsidR="00000000" w:rsidRPr="00334249" w:rsidP="00334249">
      <w:pPr>
        <w:pStyle w:val="AllowPageBreak"/>
      </w:pPr>
    </w:p>
    <w:p w:rsidR="00000000" w:rsidRPr="00334249" w:rsidP="00334249">
      <w:pPr>
        <w:pStyle w:val="Heading1"/>
      </w:pPr>
      <w:bookmarkStart w:id="12" w:name="O_463327"/>
      <w:bookmarkEnd w:id="12"/>
      <w:r w:rsidRPr="00334249">
        <w:t>Unit Sector(s)</w:t>
      </w:r>
    </w:p>
    <w:p w:rsidR="00000000" w:rsidRPr="00334249" w:rsidP="00334249">
      <w:pPr>
        <w:pStyle w:val="BodyText"/>
      </w:pPr>
      <w:r w:rsidRPr="00334249">
        <w:t>Not applicable.</w:t>
      </w:r>
    </w:p>
    <w:p w:rsidR="00000000" w:rsidRPr="00334249" w:rsidP="00334249">
      <w:pPr>
        <w:pStyle w:val="AllowPageBreak"/>
      </w:pPr>
    </w:p>
    <w:p w:rsidR="00000000" w:rsidRPr="00334249" w:rsidP="00334249">
      <w:pPr>
        <w:pStyle w:val="Heading1"/>
      </w:pPr>
      <w:bookmarkStart w:id="13" w:name="O_463315"/>
      <w:bookmarkEnd w:id="13"/>
      <w:r w:rsidRPr="00334249">
        <w:t>Competency Field</w:t>
      </w:r>
    </w:p>
    <w:tbl>
      <w:tblPr>
        <w:tblW w:w="0" w:type="auto"/>
        <w:tblLayout w:type="fixed"/>
        <w:tblCellMar>
          <w:left w:w="62" w:type="dxa"/>
          <w:right w:w="62" w:type="dxa"/>
        </w:tblCellMar>
        <w:tblLook w:val="0000"/>
      </w:tblPr>
      <w:tblGrid>
        <w:gridCol w:w="2700"/>
        <w:gridCol w:w="5760"/>
      </w:tblGrid>
      <w:tr w:rsidTr="00D17D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4249">
            <w:pPr>
              <w:pStyle w:val="BodyText"/>
              <w:rPr>
                <w:lang w:val="en-NZ"/>
              </w:rPr>
            </w:pPr>
            <w:r w:rsidRPr="00334249">
              <w:rPr>
                <w:rStyle w:val="SpecialBold"/>
              </w:rPr>
              <w:t xml:space="preserve">11) </w:t>
            </w:r>
          </w:p>
        </w:tc>
      </w:tr>
      <w:tr w:rsidTr="00D17D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4249" w:rsidP="00334249">
            <w:pPr>
              <w:pStyle w:val="BodyText"/>
            </w:pPr>
            <w:r w:rsidRPr="00334249">
              <w:t>Design.</w:t>
            </w:r>
          </w:p>
        </w:tc>
      </w:tr>
    </w:tbl>
    <w:p w:rsidR="00000000" w:rsidRPr="00334249" w:rsidP="00334249">
      <w:pPr>
        <w:pStyle w:val="BodyText"/>
      </w:pPr>
    </w:p>
    <w:p w:rsidR="00000000" w:rsidRPr="00334249" w:rsidP="00334249"/>
    <w:sectPr w:rsidSect="00334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D41" w:rsidP="00D17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41" w:rsidP="00334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7D41" w:rsidP="00334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7D41" w:rsidP="00334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D41" w:rsidP="00D17D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41" w:rsidP="00334249">
    <w:pPr>
      <w:pStyle w:val="Header"/>
      <w:framePr w:wrap="around"/>
    </w:pPr>
    <w:r>
      <w:fldChar w:fldCharType="begin"/>
    </w:r>
    <w:r>
      <w:instrText xml:space="preserve"> TITLE   \* MERGEFORMAT </w:instrText>
    </w:r>
    <w:r>
      <w:fldChar w:fldCharType="separate"/>
    </w:r>
    <w:r>
      <w:t>UETTDRDS33A Draft and layout a power system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D41" w:rsidP="003342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E7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2C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EC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249"/>
    <w:pPr>
      <w:spacing w:before="360" w:after="60"/>
      <w:outlineLvl w:val="0"/>
    </w:pPr>
    <w:rPr>
      <w:sz w:val="32"/>
    </w:rPr>
  </w:style>
  <w:style w:type="paragraph" w:styleId="Heading2">
    <w:name w:val="heading 2"/>
    <w:basedOn w:val="HeadingBase"/>
    <w:next w:val="BodyText"/>
    <w:link w:val="Heading2Char"/>
    <w:qFormat/>
    <w:rsid w:val="00334249"/>
    <w:pPr>
      <w:keepLines/>
      <w:spacing w:before="240" w:after="120"/>
      <w:outlineLvl w:val="1"/>
    </w:pPr>
    <w:rPr>
      <w:sz w:val="28"/>
      <w:szCs w:val="40"/>
    </w:rPr>
  </w:style>
  <w:style w:type="paragraph" w:styleId="Heading3">
    <w:name w:val="heading 3"/>
    <w:basedOn w:val="HeadingBase"/>
    <w:next w:val="BodyText"/>
    <w:link w:val="Heading3Char"/>
    <w:qFormat/>
    <w:rsid w:val="00334249"/>
    <w:pPr>
      <w:spacing w:before="180" w:after="120"/>
      <w:outlineLvl w:val="2"/>
    </w:pPr>
    <w:rPr>
      <w:spacing w:val="-10"/>
      <w:kern w:val="32"/>
    </w:rPr>
  </w:style>
  <w:style w:type="paragraph" w:styleId="Heading4">
    <w:name w:val="heading 4"/>
    <w:basedOn w:val="HeadingBase"/>
    <w:next w:val="BodyText"/>
    <w:link w:val="Heading4Char"/>
    <w:qFormat/>
    <w:rsid w:val="00334249"/>
    <w:pPr>
      <w:spacing w:before="160" w:after="120"/>
      <w:outlineLvl w:val="3"/>
    </w:pPr>
    <w:rPr>
      <w:sz w:val="22"/>
    </w:rPr>
  </w:style>
  <w:style w:type="paragraph" w:styleId="Heading5">
    <w:name w:val="heading 5"/>
    <w:basedOn w:val="HeadingBase"/>
    <w:next w:val="Normal"/>
    <w:link w:val="Heading5Char"/>
    <w:qFormat/>
    <w:rsid w:val="00334249"/>
    <w:pPr>
      <w:spacing w:before="80"/>
      <w:outlineLvl w:val="4"/>
    </w:pPr>
    <w:rPr>
      <w:color w:val="918585"/>
      <w:sz w:val="20"/>
    </w:rPr>
  </w:style>
  <w:style w:type="paragraph" w:styleId="Heading6">
    <w:name w:val="heading 6"/>
    <w:basedOn w:val="HeadingBase"/>
    <w:next w:val="Normal"/>
    <w:link w:val="Heading6Char"/>
    <w:qFormat/>
    <w:rsid w:val="00334249"/>
    <w:pPr>
      <w:spacing w:before="60"/>
      <w:outlineLvl w:val="5"/>
    </w:pPr>
    <w:rPr>
      <w:color w:val="918585"/>
      <w:sz w:val="20"/>
    </w:rPr>
  </w:style>
  <w:style w:type="paragraph" w:styleId="Heading7">
    <w:name w:val="heading 7"/>
    <w:basedOn w:val="Normal"/>
    <w:next w:val="Normal"/>
    <w:link w:val="Heading7Char"/>
    <w:qFormat/>
    <w:rsid w:val="00334249"/>
    <w:pPr>
      <w:ind w:left="720"/>
      <w:outlineLvl w:val="6"/>
    </w:pPr>
    <w:rPr>
      <w:i/>
    </w:rPr>
  </w:style>
  <w:style w:type="paragraph" w:styleId="Heading8">
    <w:name w:val="heading 8"/>
    <w:basedOn w:val="Normal"/>
    <w:next w:val="Normal"/>
    <w:link w:val="Heading8Char"/>
    <w:qFormat/>
    <w:rsid w:val="00334249"/>
    <w:pPr>
      <w:ind w:left="720"/>
      <w:outlineLvl w:val="7"/>
    </w:pPr>
    <w:rPr>
      <w:i/>
    </w:rPr>
  </w:style>
  <w:style w:type="paragraph" w:styleId="Heading9">
    <w:name w:val="heading 9"/>
    <w:basedOn w:val="Normal"/>
    <w:next w:val="Normal"/>
    <w:link w:val="Heading9Char"/>
    <w:qFormat/>
    <w:rsid w:val="00334249"/>
    <w:pPr>
      <w:ind w:left="720"/>
      <w:outlineLvl w:val="8"/>
    </w:pPr>
    <w:rPr>
      <w:i/>
    </w:rPr>
  </w:style>
  <w:style w:type="character" w:default="1" w:styleId="DefaultParagraphFont">
    <w:name w:val="Default Paragraph Font"/>
    <w:uiPriority w:val="1"/>
    <w:unhideWhenUsed/>
    <w:rsid w:val="00334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249"/>
  </w:style>
  <w:style w:type="character" w:customStyle="1" w:styleId="Heading1Char">
    <w:name w:val="Heading 1 Char"/>
    <w:basedOn w:val="DefaultParagraphFont"/>
    <w:link w:val="Heading1"/>
    <w:rsid w:val="00334249"/>
    <w:rPr>
      <w:rFonts w:ascii="Times New Roman" w:eastAsia="Times New Roman" w:hAnsi="Times New Roman" w:cs="Times New Roman"/>
      <w:b/>
      <w:sz w:val="32"/>
      <w:szCs w:val="20"/>
      <w:lang w:eastAsia="en-US"/>
    </w:rPr>
  </w:style>
  <w:style w:type="paragraph" w:styleId="BodyText">
    <w:name w:val="Body Text"/>
    <w:basedOn w:val="Normal"/>
    <w:link w:val="BodyTextChar"/>
    <w:rsid w:val="00334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249"/>
    <w:rPr>
      <w:rFonts w:ascii="Times New Roman" w:eastAsia="Times New Roman" w:hAnsi="Times New Roman" w:cs="Times New Roman"/>
      <w:sz w:val="24"/>
      <w:lang w:val="en-US" w:eastAsia="en-US"/>
    </w:rPr>
  </w:style>
  <w:style w:type="paragraph" w:styleId="Footer">
    <w:name w:val="footer"/>
    <w:basedOn w:val="Normal"/>
    <w:link w:val="FooterChar"/>
    <w:rsid w:val="00334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249"/>
    <w:rPr>
      <w:rFonts w:ascii="Times New Roman" w:eastAsia="Times New Roman" w:hAnsi="Times New Roman" w:cs="Times New Roman"/>
      <w:sz w:val="16"/>
      <w:lang w:val="en-US" w:eastAsia="en-US"/>
    </w:rPr>
  </w:style>
  <w:style w:type="paragraph" w:styleId="ListBullet">
    <w:name w:val="List Bullet"/>
    <w:basedOn w:val="List"/>
    <w:rsid w:val="00334249"/>
    <w:pPr>
      <w:numPr>
        <w:numId w:val="14"/>
      </w:numPr>
      <w:tabs>
        <w:tab w:val="clear" w:pos="340"/>
      </w:tabs>
      <w:spacing w:before="40" w:after="40"/>
    </w:pPr>
  </w:style>
  <w:style w:type="character" w:customStyle="1" w:styleId="SpecialBold">
    <w:name w:val="Special Bold"/>
    <w:basedOn w:val="DefaultParagraphFont"/>
    <w:rsid w:val="00334249"/>
    <w:rPr>
      <w:b/>
      <w:spacing w:val="0"/>
    </w:rPr>
  </w:style>
  <w:style w:type="paragraph" w:styleId="ListBullet2">
    <w:name w:val="List Bullet 2"/>
    <w:basedOn w:val="List2"/>
    <w:rsid w:val="00334249"/>
    <w:pPr>
      <w:numPr>
        <w:numId w:val="15"/>
      </w:numPr>
      <w:tabs>
        <w:tab w:val="clear" w:pos="680"/>
      </w:tabs>
    </w:pPr>
  </w:style>
  <w:style w:type="paragraph" w:styleId="Header">
    <w:name w:val="header"/>
    <w:basedOn w:val="Normal"/>
    <w:link w:val="HeaderChar"/>
    <w:rsid w:val="00334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2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249"/>
    <w:pPr>
      <w:spacing w:before="240" w:after="120"/>
      <w:outlineLvl w:val="0"/>
    </w:pPr>
    <w:rPr>
      <w:rFonts w:ascii="Times New Roman" w:hAnsi="Times New Roman"/>
      <w:b/>
      <w:sz w:val="28"/>
    </w:rPr>
  </w:style>
  <w:style w:type="paragraph" w:customStyle="1" w:styleId="AllowPageBreak">
    <w:name w:val="AllowPageBreak"/>
    <w:rsid w:val="003342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4249"/>
    <w:pPr>
      <w:numPr>
        <w:numId w:val="3"/>
      </w:numPr>
      <w:tabs>
        <w:tab w:val="clear" w:pos="1021"/>
      </w:tabs>
      <w:ind w:left="1037" w:hanging="357"/>
    </w:pPr>
  </w:style>
  <w:style w:type="character" w:customStyle="1" w:styleId="Heading2Char">
    <w:name w:val="Heading 2 Char"/>
    <w:basedOn w:val="DefaultParagraphFont"/>
    <w:link w:val="Heading2"/>
    <w:rsid w:val="00334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249"/>
    <w:rPr>
      <w:rFonts w:ascii="Courier New" w:eastAsia="Times New Roman" w:hAnsi="Courier New" w:cs="Times New Roman"/>
      <w:i/>
      <w:szCs w:val="20"/>
      <w:lang w:val="en-US" w:eastAsia="en-US"/>
    </w:rPr>
  </w:style>
  <w:style w:type="paragraph" w:customStyle="1" w:styleId="HeadingBase">
    <w:name w:val="Heading Base"/>
    <w:rsid w:val="00334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249"/>
    <w:pPr>
      <w:tabs>
        <w:tab w:val="right" w:leader="dot" w:pos="9072"/>
      </w:tabs>
      <w:ind w:left="567"/>
    </w:pPr>
    <w:rPr>
      <w:szCs w:val="22"/>
    </w:rPr>
  </w:style>
  <w:style w:type="paragraph" w:customStyle="1" w:styleId="TOCBase">
    <w:name w:val="TOC Base"/>
    <w:rsid w:val="00334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249"/>
    <w:pPr>
      <w:tabs>
        <w:tab w:val="right" w:leader="dot" w:pos="9072"/>
      </w:tabs>
      <w:spacing w:before="40" w:after="40"/>
      <w:ind w:left="284"/>
    </w:pPr>
    <w:rPr>
      <w:rFonts w:ascii="Times New Roman" w:hAnsi="Times New Roman"/>
    </w:rPr>
  </w:style>
  <w:style w:type="paragraph" w:styleId="TOC1">
    <w:name w:val="toc 1"/>
    <w:basedOn w:val="TOCBase"/>
    <w:next w:val="Normal"/>
    <w:rsid w:val="00334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249"/>
    <w:pPr>
      <w:spacing w:before="5040"/>
      <w:jc w:val="center"/>
    </w:pPr>
    <w:rPr>
      <w:sz w:val="48"/>
      <w:szCs w:val="72"/>
      <w:lang w:val="en-US"/>
    </w:rPr>
  </w:style>
  <w:style w:type="character" w:customStyle="1" w:styleId="TitleChar">
    <w:name w:val="Title Char"/>
    <w:basedOn w:val="DefaultParagraphFont"/>
    <w:link w:val="Title"/>
    <w:rsid w:val="00334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249"/>
    <w:pPr>
      <w:tabs>
        <w:tab w:val="left" w:pos="3600"/>
        <w:tab w:val="left" w:pos="3958"/>
      </w:tabs>
    </w:pPr>
  </w:style>
  <w:style w:type="paragraph" w:styleId="List">
    <w:name w:val="List"/>
    <w:basedOn w:val="BodyText"/>
    <w:next w:val="BodyText"/>
    <w:rsid w:val="00334249"/>
    <w:pPr>
      <w:tabs>
        <w:tab w:val="left" w:pos="340"/>
      </w:tabs>
      <w:spacing w:before="60" w:after="60"/>
      <w:ind w:left="340" w:hanging="340"/>
    </w:pPr>
  </w:style>
  <w:style w:type="paragraph" w:customStyle="1" w:styleId="Note">
    <w:name w:val="Note"/>
    <w:basedOn w:val="BodyText"/>
    <w:rsid w:val="00334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249"/>
    <w:pPr>
      <w:framePr w:wrap="auto" w:hAnchor="text" w:y="6049"/>
    </w:pPr>
    <w:rPr>
      <w:color w:val="000000"/>
      <w:sz w:val="40"/>
    </w:rPr>
  </w:style>
  <w:style w:type="paragraph" w:customStyle="1" w:styleId="TOCTitle">
    <w:name w:val="TOCTitle"/>
    <w:basedOn w:val="Heading1"/>
    <w:rsid w:val="00334249"/>
    <w:pPr>
      <w:spacing w:after="240"/>
      <w:jc w:val="center"/>
      <w:outlineLvl w:val="9"/>
    </w:pPr>
    <w:rPr>
      <w:caps/>
    </w:rPr>
  </w:style>
  <w:style w:type="paragraph" w:customStyle="1" w:styleId="Version">
    <w:name w:val="Version"/>
    <w:rsid w:val="00334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249"/>
    <w:pPr>
      <w:keepNext w:val="0"/>
      <w:tabs>
        <w:tab w:val="right" w:pos="4176"/>
      </w:tabs>
      <w:ind w:left="198" w:hanging="198"/>
    </w:pPr>
    <w:rPr>
      <w:rFonts w:ascii="Garamond" w:hAnsi="Garamond"/>
    </w:rPr>
  </w:style>
  <w:style w:type="paragraph" w:styleId="IndexHeading">
    <w:name w:val="index heading"/>
    <w:basedOn w:val="Normal"/>
    <w:next w:val="Index1"/>
    <w:semiHidden/>
    <w:rsid w:val="00334249"/>
    <w:pPr>
      <w:spacing w:before="120" w:after="120"/>
    </w:pPr>
    <w:rPr>
      <w:rFonts w:ascii="Arial" w:hAnsi="Arial"/>
      <w:b/>
      <w:color w:val="918585"/>
      <w:sz w:val="24"/>
    </w:rPr>
  </w:style>
  <w:style w:type="paragraph" w:customStyle="1" w:styleId="Chapter">
    <w:name w:val="Chapter"/>
    <w:basedOn w:val="Normal"/>
    <w:rsid w:val="00334249"/>
    <w:pPr>
      <w:spacing w:before="240"/>
    </w:pPr>
    <w:rPr>
      <w:rFonts w:ascii="Times New Roman" w:hAnsi="Times New Roman"/>
      <w:smallCaps/>
      <w:spacing w:val="80"/>
      <w:sz w:val="28"/>
    </w:rPr>
  </w:style>
  <w:style w:type="paragraph" w:customStyle="1" w:styleId="InChapter">
    <w:name w:val="InChapter"/>
    <w:basedOn w:val="Heading3"/>
    <w:rsid w:val="00334249"/>
    <w:pPr>
      <w:spacing w:after="240"/>
      <w:outlineLvl w:val="9"/>
    </w:pPr>
    <w:rPr>
      <w:noProof/>
    </w:rPr>
  </w:style>
  <w:style w:type="paragraph" w:styleId="Index2">
    <w:name w:val="index 2"/>
    <w:basedOn w:val="Normal"/>
    <w:next w:val="Normal"/>
    <w:semiHidden/>
    <w:rsid w:val="00334249"/>
    <w:pPr>
      <w:tabs>
        <w:tab w:val="right" w:pos="4176"/>
      </w:tabs>
      <w:ind w:left="568" w:hanging="284"/>
    </w:pPr>
    <w:rPr>
      <w:rFonts w:ascii="Garamond" w:hAnsi="Garamond"/>
    </w:rPr>
  </w:style>
  <w:style w:type="paragraph" w:customStyle="1" w:styleId="Byline">
    <w:name w:val="Byline"/>
    <w:rsid w:val="00334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249"/>
    <w:pPr>
      <w:tabs>
        <w:tab w:val="clear" w:pos="3600"/>
        <w:tab w:val="clear" w:pos="3958"/>
      </w:tabs>
      <w:jc w:val="right"/>
    </w:pPr>
  </w:style>
  <w:style w:type="character" w:styleId="Emphasis">
    <w:name w:val="Emphasis"/>
    <w:basedOn w:val="DefaultParagraphFont"/>
    <w:qFormat/>
    <w:rsid w:val="00334249"/>
    <w:rPr>
      <w:i/>
    </w:rPr>
  </w:style>
  <w:style w:type="paragraph" w:styleId="Caption">
    <w:name w:val="caption"/>
    <w:basedOn w:val="BodyText"/>
    <w:next w:val="Normal"/>
    <w:qFormat/>
    <w:rsid w:val="00334249"/>
    <w:pPr>
      <w:framePr w:w="2268" w:hSpace="181" w:vSpace="181" w:wrap="around" w:vAnchor="text" w:hAnchor="page" w:x="1135" w:y="285" w:anchorLock="1"/>
    </w:pPr>
    <w:rPr>
      <w:i/>
    </w:rPr>
  </w:style>
  <w:style w:type="paragraph" w:customStyle="1" w:styleId="MiniTOCTitle">
    <w:name w:val="MiniTOCTitle"/>
    <w:basedOn w:val="Heading4"/>
    <w:rsid w:val="00334249"/>
    <w:pPr>
      <w:spacing w:before="240"/>
      <w:outlineLvl w:val="9"/>
    </w:pPr>
    <w:rPr>
      <w:noProof/>
      <w:sz w:val="24"/>
    </w:rPr>
  </w:style>
  <w:style w:type="paragraph" w:customStyle="1" w:styleId="MiniTOCItem">
    <w:name w:val="MiniTOCItem"/>
    <w:basedOn w:val="ListBullet"/>
    <w:rsid w:val="00334249"/>
    <w:pPr>
      <w:numPr>
        <w:numId w:val="0"/>
      </w:numPr>
      <w:tabs>
        <w:tab w:val="right" w:leader="dot" w:pos="6521"/>
      </w:tabs>
      <w:spacing w:before="0" w:after="0"/>
    </w:pPr>
  </w:style>
  <w:style w:type="paragraph" w:customStyle="1" w:styleId="TOFTitle">
    <w:name w:val="TOFTitle"/>
    <w:basedOn w:val="TOCTitle"/>
    <w:rsid w:val="00334249"/>
  </w:style>
  <w:style w:type="paragraph" w:styleId="TableofFigures">
    <w:name w:val="table of figures"/>
    <w:basedOn w:val="Normal"/>
    <w:next w:val="Normal"/>
    <w:semiHidden/>
    <w:rsid w:val="00334249"/>
    <w:pPr>
      <w:tabs>
        <w:tab w:val="right" w:leader="dot" w:pos="9072"/>
      </w:tabs>
      <w:ind w:left="970" w:hanging="403"/>
    </w:pPr>
    <w:rPr>
      <w:rFonts w:ascii="Times New Roman" w:hAnsi="Times New Roman"/>
      <w:b/>
    </w:rPr>
  </w:style>
  <w:style w:type="paragraph" w:styleId="ListNumber">
    <w:name w:val="List Number"/>
    <w:basedOn w:val="List"/>
    <w:rsid w:val="00334249"/>
    <w:pPr>
      <w:numPr>
        <w:numId w:val="12"/>
      </w:numPr>
    </w:pPr>
  </w:style>
  <w:style w:type="character" w:customStyle="1" w:styleId="WingdingSymbols">
    <w:name w:val="Wingding Symbols"/>
    <w:rsid w:val="00334249"/>
    <w:rPr>
      <w:rFonts w:ascii="Wingdings" w:hAnsi="Wingdings"/>
    </w:rPr>
  </w:style>
  <w:style w:type="paragraph" w:customStyle="1" w:styleId="TableHeading">
    <w:name w:val="Table Heading"/>
    <w:basedOn w:val="HeadingBase"/>
    <w:rsid w:val="00334249"/>
    <w:pPr>
      <w:keepLines/>
      <w:pBdr>
        <w:bottom w:val="single" w:sz="6" w:space="1" w:color="918585"/>
      </w:pBdr>
      <w:spacing w:before="240"/>
    </w:pPr>
  </w:style>
  <w:style w:type="character" w:customStyle="1" w:styleId="HotSpot">
    <w:name w:val="HotSpot"/>
    <w:rsid w:val="00334249"/>
    <w:rPr>
      <w:color w:val="0033CC"/>
      <w:u w:val="none"/>
    </w:rPr>
  </w:style>
  <w:style w:type="paragraph" w:customStyle="1" w:styleId="BodyTextRight">
    <w:name w:val="Body Text Right"/>
    <w:basedOn w:val="BodyText"/>
    <w:rsid w:val="00334249"/>
    <w:pPr>
      <w:spacing w:before="0" w:after="0"/>
      <w:jc w:val="right"/>
    </w:pPr>
  </w:style>
  <w:style w:type="paragraph" w:styleId="Index3">
    <w:name w:val="index 3"/>
    <w:basedOn w:val="ListNumber2"/>
    <w:next w:val="Normal"/>
    <w:semiHidden/>
    <w:rsid w:val="00334249"/>
    <w:pPr>
      <w:numPr>
        <w:numId w:val="0"/>
      </w:numPr>
      <w:tabs>
        <w:tab w:val="right" w:leader="dot" w:pos="4176"/>
      </w:tabs>
    </w:pPr>
  </w:style>
  <w:style w:type="paragraph" w:styleId="ListNumber2">
    <w:name w:val="List Number 2"/>
    <w:basedOn w:val="List2"/>
    <w:rsid w:val="00334249"/>
    <w:pPr>
      <w:numPr>
        <w:numId w:val="11"/>
      </w:numPr>
      <w:tabs>
        <w:tab w:val="clear" w:pos="1060"/>
      </w:tabs>
    </w:pPr>
  </w:style>
  <w:style w:type="paragraph" w:customStyle="1" w:styleId="MarginNote">
    <w:name w:val="Margin Note"/>
    <w:basedOn w:val="BodyText"/>
    <w:rsid w:val="00334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249"/>
    <w:rPr>
      <w:sz w:val="32"/>
    </w:rPr>
  </w:style>
  <w:style w:type="paragraph" w:customStyle="1" w:styleId="HeadingProcedure">
    <w:name w:val="Heading Procedure"/>
    <w:basedOn w:val="HeadingBase"/>
    <w:next w:val="Normal"/>
    <w:rsid w:val="00334249"/>
    <w:pPr>
      <w:tabs>
        <w:tab w:val="left" w:pos="0"/>
      </w:tabs>
      <w:spacing w:before="120" w:after="60"/>
    </w:pPr>
    <w:rPr>
      <w:i/>
      <w:color w:val="918585"/>
      <w:sz w:val="22"/>
    </w:rPr>
  </w:style>
  <w:style w:type="paragraph" w:customStyle="1" w:styleId="TableBodyText">
    <w:name w:val="Table Body Text"/>
    <w:basedOn w:val="BodyText"/>
    <w:rsid w:val="00334249"/>
    <w:pPr>
      <w:spacing w:before="60" w:after="60"/>
    </w:pPr>
  </w:style>
  <w:style w:type="paragraph" w:styleId="ListContinue">
    <w:name w:val="List Continue"/>
    <w:basedOn w:val="List"/>
    <w:rsid w:val="00334249"/>
    <w:pPr>
      <w:ind w:firstLine="0"/>
    </w:pPr>
  </w:style>
  <w:style w:type="paragraph" w:customStyle="1" w:styleId="ListNote">
    <w:name w:val="List Note"/>
    <w:basedOn w:val="List"/>
    <w:rsid w:val="00334249"/>
    <w:pPr>
      <w:pBdr>
        <w:top w:val="single" w:sz="6" w:space="2" w:color="918585"/>
        <w:bottom w:val="single" w:sz="6" w:space="2" w:color="918585"/>
      </w:pBdr>
      <w:tabs>
        <w:tab w:val="left" w:pos="1021"/>
      </w:tabs>
      <w:ind w:firstLine="0"/>
    </w:pPr>
  </w:style>
  <w:style w:type="paragraph" w:customStyle="1" w:styleId="Warning">
    <w:name w:val="Warning"/>
    <w:basedOn w:val="BodyText"/>
    <w:rsid w:val="00334249"/>
    <w:pPr>
      <w:shd w:val="clear" w:color="auto" w:fill="D9D9D9"/>
      <w:tabs>
        <w:tab w:val="left" w:pos="992"/>
      </w:tabs>
      <w:ind w:left="119" w:right="119"/>
    </w:pPr>
    <w:rPr>
      <w:sz w:val="20"/>
    </w:rPr>
  </w:style>
  <w:style w:type="paragraph" w:customStyle="1" w:styleId="MarginIcons">
    <w:name w:val="Margin Icons"/>
    <w:basedOn w:val="BodyText"/>
    <w:rsid w:val="00334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249"/>
    <w:rPr>
      <w:rFonts w:ascii="Courier New" w:hAnsi="Courier New"/>
    </w:rPr>
  </w:style>
  <w:style w:type="paragraph" w:customStyle="1" w:styleId="NoteBullet">
    <w:name w:val="Note Bullet"/>
    <w:basedOn w:val="Note"/>
    <w:rsid w:val="00334249"/>
    <w:pPr>
      <w:tabs>
        <w:tab w:val="clear" w:pos="680"/>
      </w:tabs>
      <w:spacing w:before="60" w:after="60"/>
    </w:pPr>
  </w:style>
  <w:style w:type="paragraph" w:customStyle="1" w:styleId="SubHeading2">
    <w:name w:val="SubHeading2"/>
    <w:basedOn w:val="HeadingBase"/>
    <w:rsid w:val="00334249"/>
    <w:pPr>
      <w:spacing w:before="240" w:after="60"/>
    </w:pPr>
    <w:rPr>
      <w:sz w:val="20"/>
    </w:rPr>
  </w:style>
  <w:style w:type="paragraph" w:customStyle="1" w:styleId="SubHeading1">
    <w:name w:val="SubHeading1"/>
    <w:basedOn w:val="HeadingBase"/>
    <w:rsid w:val="00334249"/>
    <w:pPr>
      <w:spacing w:before="240" w:after="60"/>
    </w:pPr>
    <w:rPr>
      <w:color w:val="918585"/>
      <w:sz w:val="22"/>
    </w:rPr>
  </w:style>
  <w:style w:type="paragraph" w:customStyle="1" w:styleId="SideHeading">
    <w:name w:val="Side Heading"/>
    <w:basedOn w:val="HeadingBase"/>
    <w:rsid w:val="00334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249"/>
    <w:pPr>
      <w:numPr>
        <w:numId w:val="13"/>
      </w:numPr>
    </w:pPr>
  </w:style>
  <w:style w:type="paragraph" w:styleId="PlainText">
    <w:name w:val="Plain Text"/>
    <w:basedOn w:val="Normal"/>
    <w:link w:val="PlainTextChar"/>
    <w:rsid w:val="00334249"/>
    <w:rPr>
      <w:sz w:val="20"/>
    </w:rPr>
  </w:style>
  <w:style w:type="character" w:customStyle="1" w:styleId="PlainTextChar">
    <w:name w:val="Plain Text Char"/>
    <w:basedOn w:val="DefaultParagraphFont"/>
    <w:link w:val="PlainText"/>
    <w:rsid w:val="003342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249"/>
    <w:rPr>
      <w:b/>
      <w:smallCaps/>
    </w:rPr>
  </w:style>
  <w:style w:type="paragraph" w:customStyle="1" w:styleId="TableListNumber">
    <w:name w:val="Table List Number"/>
    <w:basedOn w:val="ListNumber"/>
    <w:rsid w:val="00334249"/>
    <w:pPr>
      <w:numPr>
        <w:numId w:val="0"/>
      </w:numPr>
    </w:pPr>
  </w:style>
  <w:style w:type="paragraph" w:styleId="TOC4">
    <w:name w:val="toc 4"/>
    <w:basedOn w:val="TOCBase"/>
    <w:next w:val="Normal"/>
    <w:semiHidden/>
    <w:rsid w:val="00334249"/>
    <w:pPr>
      <w:tabs>
        <w:tab w:val="right" w:leader="dot" w:pos="9071"/>
      </w:tabs>
      <w:ind w:left="1701"/>
    </w:pPr>
  </w:style>
  <w:style w:type="paragraph" w:customStyle="1" w:styleId="ListAlpha">
    <w:name w:val="List Alpha"/>
    <w:basedOn w:val="List"/>
    <w:rsid w:val="00334249"/>
    <w:pPr>
      <w:numPr>
        <w:numId w:val="10"/>
      </w:numPr>
    </w:pPr>
  </w:style>
  <w:style w:type="paragraph" w:customStyle="1" w:styleId="ListAlpha2">
    <w:name w:val="List Alpha 2"/>
    <w:basedOn w:val="List2"/>
    <w:rsid w:val="00334249"/>
    <w:pPr>
      <w:numPr>
        <w:numId w:val="9"/>
      </w:numPr>
    </w:pPr>
  </w:style>
  <w:style w:type="paragraph" w:styleId="List2">
    <w:name w:val="List 2"/>
    <w:basedOn w:val="BodyText"/>
    <w:rsid w:val="00334249"/>
    <w:pPr>
      <w:tabs>
        <w:tab w:val="left" w:pos="680"/>
      </w:tabs>
      <w:spacing w:before="60" w:after="60"/>
      <w:ind w:left="680" w:hanging="340"/>
    </w:pPr>
  </w:style>
  <w:style w:type="paragraph" w:styleId="List3">
    <w:name w:val="List 3"/>
    <w:basedOn w:val="BodyText"/>
    <w:rsid w:val="00334249"/>
    <w:pPr>
      <w:tabs>
        <w:tab w:val="left" w:pos="1021"/>
      </w:tabs>
      <w:spacing w:before="60" w:after="60"/>
      <w:ind w:left="1020" w:hanging="340"/>
    </w:pPr>
  </w:style>
  <w:style w:type="paragraph" w:styleId="List4">
    <w:name w:val="List 4"/>
    <w:basedOn w:val="BodyText"/>
    <w:rsid w:val="00334249"/>
    <w:pPr>
      <w:tabs>
        <w:tab w:val="left" w:pos="1361"/>
      </w:tabs>
      <w:spacing w:before="60" w:after="60"/>
      <w:ind w:left="1361" w:hanging="340"/>
    </w:pPr>
  </w:style>
  <w:style w:type="paragraph" w:styleId="List5">
    <w:name w:val="List 5"/>
    <w:basedOn w:val="BodyText"/>
    <w:rsid w:val="00334249"/>
    <w:pPr>
      <w:tabs>
        <w:tab w:val="left" w:pos="1701"/>
      </w:tabs>
      <w:spacing w:before="60" w:after="60"/>
      <w:ind w:left="1701" w:hanging="340"/>
    </w:pPr>
  </w:style>
  <w:style w:type="paragraph" w:styleId="ListBullet4">
    <w:name w:val="List Bullet 4"/>
    <w:basedOn w:val="List4"/>
    <w:rsid w:val="00334249"/>
    <w:pPr>
      <w:numPr>
        <w:numId w:val="4"/>
      </w:numPr>
    </w:pPr>
  </w:style>
  <w:style w:type="paragraph" w:styleId="ListBullet5">
    <w:name w:val="List Bullet 5"/>
    <w:basedOn w:val="List5"/>
    <w:rsid w:val="00334249"/>
    <w:pPr>
      <w:numPr>
        <w:numId w:val="5"/>
      </w:numPr>
    </w:pPr>
  </w:style>
  <w:style w:type="paragraph" w:styleId="ListContinue2">
    <w:name w:val="List Continue 2"/>
    <w:basedOn w:val="List2"/>
    <w:rsid w:val="00334249"/>
    <w:pPr>
      <w:ind w:firstLine="0"/>
    </w:pPr>
  </w:style>
  <w:style w:type="paragraph" w:styleId="ListContinue3">
    <w:name w:val="List Continue 3"/>
    <w:basedOn w:val="List3"/>
    <w:rsid w:val="00334249"/>
    <w:pPr>
      <w:ind w:left="1021" w:firstLine="0"/>
    </w:pPr>
  </w:style>
  <w:style w:type="paragraph" w:styleId="ListContinue4">
    <w:name w:val="List Continue 4"/>
    <w:basedOn w:val="List4"/>
    <w:rsid w:val="00334249"/>
    <w:pPr>
      <w:ind w:firstLine="0"/>
    </w:pPr>
  </w:style>
  <w:style w:type="paragraph" w:styleId="ListContinue5">
    <w:name w:val="List Continue 5"/>
    <w:basedOn w:val="List5"/>
    <w:rsid w:val="00334249"/>
    <w:pPr>
      <w:ind w:firstLine="0"/>
    </w:pPr>
  </w:style>
  <w:style w:type="paragraph" w:styleId="ListNumber3">
    <w:name w:val="List Number 3"/>
    <w:basedOn w:val="List3"/>
    <w:rsid w:val="00334249"/>
    <w:pPr>
      <w:numPr>
        <w:numId w:val="6"/>
      </w:numPr>
    </w:pPr>
  </w:style>
  <w:style w:type="paragraph" w:styleId="ListNumber4">
    <w:name w:val="List Number 4"/>
    <w:basedOn w:val="List4"/>
    <w:rsid w:val="00334249"/>
    <w:pPr>
      <w:numPr>
        <w:numId w:val="7"/>
      </w:numPr>
    </w:pPr>
  </w:style>
  <w:style w:type="paragraph" w:styleId="ListNumber5">
    <w:name w:val="List Number 5"/>
    <w:basedOn w:val="List5"/>
    <w:rsid w:val="00334249"/>
    <w:pPr>
      <w:numPr>
        <w:numId w:val="8"/>
      </w:numPr>
    </w:pPr>
  </w:style>
  <w:style w:type="paragraph" w:styleId="BlockText">
    <w:name w:val="Block Text"/>
    <w:basedOn w:val="Normal"/>
    <w:rsid w:val="00334249"/>
    <w:pPr>
      <w:spacing w:after="120"/>
      <w:ind w:left="1440" w:right="1440"/>
    </w:pPr>
  </w:style>
  <w:style w:type="character" w:customStyle="1" w:styleId="Subscript">
    <w:name w:val="Subscript"/>
    <w:basedOn w:val="DefaultParagraphFont"/>
    <w:rsid w:val="00334249"/>
    <w:rPr>
      <w:sz w:val="16"/>
      <w:vertAlign w:val="subscript"/>
    </w:rPr>
  </w:style>
  <w:style w:type="character" w:customStyle="1" w:styleId="Superscript">
    <w:name w:val="Superscript"/>
    <w:basedOn w:val="DefaultParagraphFont"/>
    <w:rsid w:val="00334249"/>
    <w:rPr>
      <w:sz w:val="16"/>
      <w:vertAlign w:val="superscript"/>
    </w:rPr>
  </w:style>
  <w:style w:type="character" w:customStyle="1" w:styleId="Symbols">
    <w:name w:val="Symbols"/>
    <w:basedOn w:val="DefaultParagraphFont"/>
    <w:rsid w:val="00334249"/>
    <w:rPr>
      <w:rFonts w:ascii="Symbol" w:hAnsi="Symbol"/>
    </w:rPr>
  </w:style>
  <w:style w:type="character" w:customStyle="1" w:styleId="MenuOptions">
    <w:name w:val="Menu Options"/>
    <w:basedOn w:val="DefaultParagraphFont"/>
    <w:rsid w:val="00334249"/>
    <w:rPr>
      <w:rFonts w:ascii="Arial Narrow" w:hAnsi="Arial Narrow"/>
      <w:smallCaps/>
    </w:rPr>
  </w:style>
  <w:style w:type="character" w:customStyle="1" w:styleId="Buttons">
    <w:name w:val="Buttons"/>
    <w:basedOn w:val="DefaultParagraphFont"/>
    <w:rsid w:val="00334249"/>
    <w:rPr>
      <w:b/>
    </w:rPr>
  </w:style>
  <w:style w:type="character" w:customStyle="1" w:styleId="Underlined">
    <w:name w:val="Underlined"/>
    <w:basedOn w:val="DefaultParagraphFont"/>
    <w:rsid w:val="00334249"/>
    <w:rPr>
      <w:u w:val="single"/>
    </w:rPr>
  </w:style>
  <w:style w:type="paragraph" w:customStyle="1" w:styleId="TableBodyTextRight">
    <w:name w:val="Table Body Text Right"/>
    <w:basedOn w:val="TableBodyText"/>
    <w:rsid w:val="00334249"/>
    <w:pPr>
      <w:widowControl w:val="0"/>
      <w:autoSpaceDE w:val="0"/>
      <w:autoSpaceDN w:val="0"/>
      <w:adjustRightInd w:val="0"/>
      <w:jc w:val="right"/>
    </w:pPr>
    <w:rPr>
      <w:rFonts w:cs="Arial"/>
      <w:szCs w:val="18"/>
    </w:rPr>
  </w:style>
  <w:style w:type="paragraph" w:customStyle="1" w:styleId="CopyrightText">
    <w:name w:val="Copyright Text"/>
    <w:basedOn w:val="BodyText"/>
    <w:rsid w:val="00334249"/>
    <w:rPr>
      <w:sz w:val="18"/>
    </w:rPr>
  </w:style>
  <w:style w:type="paragraph" w:customStyle="1" w:styleId="BodySmallRight">
    <w:name w:val="Body Small Right"/>
    <w:basedOn w:val="BodyTextRight"/>
    <w:rsid w:val="00334249"/>
    <w:rPr>
      <w:sz w:val="18"/>
      <w:szCs w:val="18"/>
    </w:rPr>
  </w:style>
  <w:style w:type="paragraph" w:customStyle="1" w:styleId="MarginEdition">
    <w:name w:val="Margin Edition"/>
    <w:basedOn w:val="MarginNote"/>
    <w:rsid w:val="00334249"/>
    <w:pPr>
      <w:spacing w:before="0" w:after="0"/>
    </w:pPr>
    <w:rPr>
      <w:rFonts w:ascii="Times New Roman" w:hAnsi="Times New Roman"/>
      <w:color w:val="999999"/>
    </w:rPr>
  </w:style>
  <w:style w:type="paragraph" w:customStyle="1" w:styleId="Spacer">
    <w:name w:val="Spacer"/>
    <w:basedOn w:val="Normal"/>
    <w:rsid w:val="00334249"/>
    <w:rPr>
      <w:sz w:val="2"/>
      <w:szCs w:val="2"/>
    </w:rPr>
  </w:style>
  <w:style w:type="character" w:customStyle="1" w:styleId="Small">
    <w:name w:val="Small"/>
    <w:basedOn w:val="DefaultParagraphFont"/>
    <w:rsid w:val="00334249"/>
    <w:rPr>
      <w:sz w:val="16"/>
    </w:rPr>
  </w:style>
  <w:style w:type="paragraph" w:customStyle="1" w:styleId="WideTable">
    <w:name w:val="Wide Table"/>
    <w:basedOn w:val="Normal"/>
    <w:rsid w:val="00334249"/>
    <w:pPr>
      <w:ind w:left="-1418"/>
    </w:pPr>
    <w:rPr>
      <w:sz w:val="2"/>
      <w:szCs w:val="2"/>
    </w:rPr>
  </w:style>
  <w:style w:type="character" w:styleId="PageNumber">
    <w:name w:val="page number"/>
    <w:basedOn w:val="DefaultParagraphFont"/>
    <w:rsid w:val="00334249"/>
  </w:style>
  <w:style w:type="paragraph" w:styleId="Quote">
    <w:name w:val="Quote"/>
    <w:basedOn w:val="Heading1"/>
    <w:link w:val="QuoteChar"/>
    <w:qFormat/>
    <w:rsid w:val="00334249"/>
    <w:rPr>
      <w:b w:val="0"/>
      <w:sz w:val="72"/>
      <w:szCs w:val="72"/>
      <w:lang w:val="en-NZ"/>
    </w:rPr>
  </w:style>
  <w:style w:type="character" w:customStyle="1" w:styleId="QuoteChar">
    <w:name w:val="Quote Char"/>
    <w:basedOn w:val="DefaultParagraphFont"/>
    <w:link w:val="Quote"/>
    <w:rsid w:val="00334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249"/>
    <w:pPr>
      <w:pageBreakBefore/>
    </w:pPr>
  </w:style>
  <w:style w:type="paragraph" w:customStyle="1" w:styleId="Border">
    <w:name w:val="Border"/>
    <w:basedOn w:val="Normal"/>
    <w:qFormat/>
    <w:rsid w:val="00334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249"/>
    <w:rPr>
      <w:b/>
      <w:bCs/>
      <w:i/>
      <w:iCs/>
      <w:color w:val="auto"/>
    </w:rPr>
  </w:style>
  <w:style w:type="paragraph" w:styleId="IntenseQuote">
    <w:name w:val="Intense Quote"/>
    <w:basedOn w:val="Normal"/>
    <w:next w:val="Normal"/>
    <w:link w:val="IntenseQuoteChar"/>
    <w:uiPriority w:val="30"/>
    <w:qFormat/>
    <w:rsid w:val="00334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2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249"/>
    <w:rPr>
      <w:smallCaps/>
      <w:color w:val="auto"/>
      <w:u w:val="single"/>
    </w:rPr>
  </w:style>
  <w:style w:type="character" w:styleId="IntenseReference">
    <w:name w:val="Intense Reference"/>
    <w:basedOn w:val="DefaultParagraphFont"/>
    <w:uiPriority w:val="32"/>
    <w:qFormat/>
    <w:rsid w:val="00334249"/>
    <w:rPr>
      <w:b/>
      <w:bCs/>
      <w:smallCaps/>
      <w:color w:val="auto"/>
      <w:spacing w:val="5"/>
      <w:u w:val="single"/>
    </w:rPr>
  </w:style>
  <w:style w:type="paragraph" w:customStyle="1" w:styleId="2ColumnHeading">
    <w:name w:val="2Column Heading"/>
    <w:basedOn w:val="BodyText"/>
    <w:qFormat/>
    <w:rsid w:val="00334249"/>
    <w:pPr>
      <w:spacing w:after="60"/>
      <w:ind w:left="-2268"/>
    </w:pPr>
    <w:rPr>
      <w:b/>
    </w:rPr>
  </w:style>
  <w:style w:type="paragraph" w:customStyle="1" w:styleId="Heading1TOC">
    <w:name w:val="Heading1 TOC"/>
    <w:basedOn w:val="Normal"/>
    <w:qFormat/>
    <w:rsid w:val="00334249"/>
    <w:pPr>
      <w:spacing w:before="240" w:after="120"/>
    </w:pPr>
    <w:rPr>
      <w:rFonts w:ascii="Times New Roman" w:hAnsi="Times New Roman"/>
      <w:b/>
      <w:sz w:val="32"/>
    </w:rPr>
  </w:style>
  <w:style w:type="paragraph" w:customStyle="1" w:styleId="Heading2TOC">
    <w:name w:val="Heading2 TOC"/>
    <w:basedOn w:val="Normal"/>
    <w:qFormat/>
    <w:rsid w:val="00334249"/>
    <w:pPr>
      <w:spacing w:before="240" w:after="60"/>
    </w:pPr>
    <w:rPr>
      <w:rFonts w:ascii="Times New Roman" w:hAnsi="Times New Roman"/>
      <w:b/>
      <w:sz w:val="28"/>
    </w:rPr>
  </w:style>
  <w:style w:type="character" w:customStyle="1" w:styleId="Underline">
    <w:name w:val="Underline"/>
    <w:basedOn w:val="DefaultParagraphFont"/>
    <w:qFormat/>
    <w:rsid w:val="00334249"/>
    <w:rPr>
      <w:u w:val="single"/>
    </w:rPr>
  </w:style>
  <w:style w:type="character" w:customStyle="1" w:styleId="BoldandItalics">
    <w:name w:val="Bold and Italics"/>
    <w:qFormat/>
    <w:rsid w:val="00334249"/>
    <w:rPr>
      <w:b/>
      <w:i/>
      <w:u w:val="none"/>
    </w:rPr>
  </w:style>
  <w:style w:type="paragraph" w:styleId="BalloonText">
    <w:name w:val="Balloon Text"/>
    <w:basedOn w:val="Normal"/>
    <w:link w:val="BalloonTextChar"/>
    <w:rsid w:val="00334249"/>
    <w:rPr>
      <w:rFonts w:ascii="Tahoma" w:hAnsi="Tahoma" w:cs="Tahoma"/>
      <w:sz w:val="16"/>
      <w:szCs w:val="16"/>
    </w:rPr>
  </w:style>
  <w:style w:type="character" w:customStyle="1" w:styleId="BalloonTextChar">
    <w:name w:val="Balloon Text Char"/>
    <w:basedOn w:val="DefaultParagraphFont"/>
    <w:link w:val="BalloonText"/>
    <w:rsid w:val="00334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2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3874</Words>
  <Characters>24563</Characters>
  <Application>Microsoft Office Word</Application>
  <DocSecurity>0</DocSecurity>
  <Lines>761</Lines>
  <Paragraphs>313</Paragraphs>
  <ScaleCrop>false</ScaleCrop>
  <Company>Author-it Software Corporation Ltd.</Company>
  <LinksUpToDate>false</LinksUpToDate>
  <CharactersWithSpaces>28256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UETTDRDS33A Draft and layout a power system street lighting system</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2012-05-26T12:06:00Z</dcterms:created>
  <dcterms:modified xsi:type="dcterms:W3CDTF">2012-05-26T12:06:00Z</dcterms:modified>
</cp:coreProperties>
</file>