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79E" w:rsidP="0081679E">
      <w:pPr>
        <w:pStyle w:val="Title"/>
      </w:pPr>
      <w:r>
        <w:fldChar w:fldCharType="begin"/>
      </w:r>
      <w:r>
        <w:instrText xml:space="preserve"> TITLE   \* MERGEFORMAT </w:instrText>
      </w:r>
      <w:r>
        <w:fldChar w:fldCharType="separate"/>
      </w:r>
      <w:r>
        <w:t>UETTDRDS31A Draft and layout a power system overhead distribution extension</w:t>
      </w:r>
      <w:r>
        <w:fldChar w:fldCharType="end"/>
      </w:r>
    </w:p>
    <w:p w:rsidR="0081679E" w:rsidP="0081679E">
      <w:pPr>
        <w:pStyle w:val="Version"/>
        <w:sectPr w:rsidSect="00D46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B89" w:rsidP="00D46B89">
      <w:pPr>
        <w:pStyle w:val="SuperHeading"/>
      </w:pPr>
      <w:r w:rsidRPr="00D46B89">
        <w:t>UETTDRDS31A Draft and layout a power system overhead distribution extension</w:t>
      </w:r>
    </w:p>
    <w:p w:rsidR="00000000" w:rsidRPr="00D46B89" w:rsidP="00D46B89">
      <w:pPr>
        <w:pStyle w:val="Heading1"/>
      </w:pPr>
      <w:bookmarkStart w:id="1" w:name="O_463297"/>
      <w:bookmarkEnd w:id="1"/>
      <w:r w:rsidRPr="00D46B89">
        <w:t>Modification History</w:t>
      </w:r>
    </w:p>
    <w:p w:rsidR="00000000" w:rsidRPr="00D46B89" w:rsidP="00D46B89">
      <w:pPr>
        <w:pStyle w:val="BodyText"/>
      </w:pPr>
      <w:r w:rsidRPr="00D46B89">
        <w:t>Not applicable.</w:t>
      </w:r>
    </w:p>
    <w:p w:rsidR="00000000" w:rsidRPr="00D46B89" w:rsidP="00D46B89">
      <w:pPr>
        <w:pStyle w:val="AllowPageBreak"/>
      </w:pPr>
    </w:p>
    <w:p w:rsidR="00000000" w:rsidRPr="00D46B89" w:rsidP="00D46B89">
      <w:pPr>
        <w:pStyle w:val="Heading1"/>
      </w:pPr>
      <w:bookmarkStart w:id="2" w:name="O_463295"/>
      <w:bookmarkEnd w:id="2"/>
      <w:r w:rsidRPr="00D46B89">
        <w:t>Unit Descriptor</w:t>
      </w:r>
    </w:p>
    <w:tbl>
      <w:tblPr>
        <w:tblW w:w="0" w:type="auto"/>
        <w:tblLayout w:type="fixed"/>
        <w:tblCellMar>
          <w:left w:w="62" w:type="dxa"/>
          <w:right w:w="62" w:type="dxa"/>
        </w:tblCellMar>
        <w:tblLook w:val="0000"/>
      </w:tblPr>
      <w:tblGrid>
        <w:gridCol w:w="2700"/>
        <w:gridCol w:w="5760"/>
      </w:tblGrid>
      <w:tr w:rsidTr="008167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1)</w:t>
            </w:r>
            <w:r w:rsidRPr="00D46B89">
              <w:t xml:space="preserve"> </w:t>
            </w:r>
            <w:r w:rsidRPr="00D46B89">
              <w:rPr>
                <w:rStyle w:val="SpecialBold"/>
              </w:rPr>
              <w:t>Scope:</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6B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1.1) Descriptor</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This Competency Standard Unit covers the planning and layout of one or two pole minor overhead distribution extensions, including the estimating of the costs and/or resources for the work to be undertaken. It also encompasses on-the-job design, surveying t</w:t>
            </w:r>
            <w:r w:rsidRPr="00D46B89">
              <w:t xml:space="preserve">echniques and layout to the field locations as per enterprise requirements. </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3" w:name="O_463284"/>
      <w:bookmarkEnd w:id="3"/>
      <w:r w:rsidRPr="00D46B89">
        <w:t>Application of the Unit</w:t>
      </w:r>
    </w:p>
    <w:tbl>
      <w:tblPr>
        <w:tblW w:w="0" w:type="auto"/>
        <w:tblLayout w:type="fixed"/>
        <w:tblCellMar>
          <w:left w:w="62" w:type="dxa"/>
          <w:right w:w="62" w:type="dxa"/>
        </w:tblCellMar>
        <w:tblLook w:val="0000"/>
      </w:tblPr>
      <w:tblGrid>
        <w:gridCol w:w="2672"/>
        <w:gridCol w:w="5699"/>
      </w:tblGrid>
      <w:tr w:rsidTr="0081679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2)</w:t>
            </w:r>
          </w:p>
        </w:tc>
      </w:tr>
      <w:tr w:rsidTr="0081679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This Competency Standard Unit is intended to augment formally acquired competencies. It is suitable for employment-based programs under an approved contract of training.</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4" w:name="O_463291"/>
      <w:bookmarkEnd w:id="4"/>
      <w:r w:rsidRPr="00D46B89">
        <w:t>Licensing/Regulatory Information</w:t>
      </w:r>
    </w:p>
    <w:tbl>
      <w:tblPr>
        <w:tblW w:w="0" w:type="auto"/>
        <w:tblLayout w:type="fixed"/>
        <w:tblCellMar>
          <w:left w:w="62" w:type="dxa"/>
          <w:right w:w="62" w:type="dxa"/>
        </w:tblCellMar>
        <w:tblLook w:val="0000"/>
      </w:tblPr>
      <w:tblGrid>
        <w:gridCol w:w="2700"/>
        <w:gridCol w:w="5760"/>
      </w:tblGrid>
      <w:tr w:rsidTr="008167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 xml:space="preserve">3) </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The skil</w:t>
            </w:r>
            <w:r w:rsidRPr="00D46B89">
              <w:t>ls and knowledge described in this unit may require a licence/registration to practice in the work place subject to regulations for undertaking of electrical work. Practice in workplace and during training is also subject to regulations directly related to</w:t>
            </w:r>
            <w:r w:rsidRPr="00D46B89">
              <w:t xml:space="preserve"> Occupational Health and Safety, electricity/telecommunications/gas/water industry safety and compliance, industrial relations, environmental protection, anti discrimination and training. </w:t>
            </w:r>
            <w:r w:rsidRPr="00D46B89">
              <w:t>Commonwealth, State/Territory or Local Government legislation and re</w:t>
            </w:r>
            <w:r w:rsidRPr="00D46B89">
              <w:t>gulations may exist that limits the age of operating certain equipment.</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5" w:name="O_463292"/>
      <w:bookmarkEnd w:id="5"/>
      <w:r w:rsidRPr="00D46B89">
        <w:t>Pre-Requisites</w:t>
      </w:r>
    </w:p>
    <w:tbl>
      <w:tblPr>
        <w:tblW w:w="0" w:type="auto"/>
        <w:tblLayout w:type="fixed"/>
        <w:tblCellMar>
          <w:left w:w="62" w:type="dxa"/>
          <w:right w:w="62" w:type="dxa"/>
        </w:tblCellMar>
        <w:tblLook w:val="0000"/>
      </w:tblPr>
      <w:tblGrid>
        <w:gridCol w:w="2700"/>
        <w:gridCol w:w="2070"/>
        <w:gridCol w:w="3690"/>
      </w:tblGrid>
      <w:tr w:rsidTr="008167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 xml:space="preserve">4) </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4.1)</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G</w:t>
            </w:r>
            <w:r w:rsidRPr="00D46B89">
              <w:t>ranting of competency in this unit shall be made only after competency in the following unit(s) has/have been confirmed.</w:t>
            </w:r>
          </w:p>
          <w:p w:rsidR="00000000" w:rsidRPr="00D46B89" w:rsidP="00D46B89">
            <w:pPr>
              <w:pStyle w:val="BodyText"/>
            </w:pPr>
            <w:r w:rsidRPr="00D46B89">
              <w:t>Where pre-requisite pathways have been identified. All competencies in the Common Unit Group must be have been completed plus all the c</w:t>
            </w:r>
            <w:r w:rsidRPr="00D46B89">
              <w:t>ompetencies in one (1) of the identified Pathway Unit Group(s):</w:t>
            </w:r>
          </w:p>
          <w:p w:rsidR="00000000" w:rsidP="00D46B89">
            <w:pPr>
              <w:pStyle w:val="BodyText"/>
              <w:rPr>
                <w:lang w:val="en-NZ"/>
              </w:rPr>
            </w:pPr>
            <w:r w:rsidRPr="00D46B89">
              <w:t>Common Unit Group</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Unit Code</w:t>
            </w:r>
            <w:r w:rsidRPr="00D46B89">
              <w:tab/>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Unit Title</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Apply Occupational Health and Safety regulations, codes and practices in the workplace</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Fabricate, assemble and dismantle utilities industry components</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Solve problems in d.c. Circuits</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Use drawings, diagrams, schedules, standards, codes and specifications</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Solve problems in electromagnetic devices and related circuits</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Solve problems in electromagnetic devices and related circuits</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Apply sustainable energy and environmental procedures</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D46B89">
            <w:pPr>
              <w:pStyle w:val="BodyText"/>
              <w:rPr>
                <w:lang w:val="en-NZ"/>
              </w:rPr>
            </w:pPr>
            <w:r w:rsidRPr="00D46B89">
              <w:t>Working safely near live electrica</w:t>
            </w:r>
            <w:r w:rsidRPr="00D46B89">
              <w:t xml:space="preserve">l apparatus </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D46B89">
            <w:pPr>
              <w:pStyle w:val="BodyText"/>
              <w:rPr>
                <w:lang w:val="en-NZ"/>
              </w:rPr>
            </w:pPr>
            <w:r w:rsidRPr="00D46B89">
              <w:t>Implement and monitor the power system organisational OHS policies, procedures and programs</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D46B89" w:rsidP="00D46B89">
            <w:pPr>
              <w:pStyle w:val="BodyText"/>
            </w:pPr>
            <w:r w:rsidRPr="00D46B89">
              <w:t>Implement and monitor the power system environmental and sustainable energy management policies and procedures</w:t>
            </w:r>
          </w:p>
        </w:tc>
      </w:tr>
    </w:tbl>
    <w:p w:rsidR="00000000" w:rsidRPr="00D46B89" w:rsidP="00D46B8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1679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 xml:space="preserve">4.2) </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Participants are best equipped to achieve this unit if they have reading, writing and numeracy skills indicated by the following scales. Description of each scale is given in Volume 2, Part 3 “Literacy and Numeracy</w:t>
            </w:r>
            <w:r w:rsidRPr="00D46B89">
              <w:t>”</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Reading</w:t>
            </w:r>
          </w:p>
        </w:tc>
        <w:tc>
          <w:tcPr>
            <w:tcW w:w="81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4</w:t>
            </w:r>
          </w:p>
        </w:tc>
        <w:tc>
          <w:tcPr>
            <w:tcW w:w="99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Writing</w:t>
            </w: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4</w:t>
            </w:r>
          </w:p>
        </w:tc>
        <w:tc>
          <w:tcPr>
            <w:tcW w:w="12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Numeracy</w:t>
            </w:r>
          </w:p>
        </w:tc>
        <w:tc>
          <w:tcPr>
            <w:tcW w:w="72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4</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6" w:name="O_463288"/>
      <w:bookmarkEnd w:id="6"/>
      <w:r w:rsidRPr="00D46B89">
        <w:t>Employability Skills Information</w:t>
      </w:r>
    </w:p>
    <w:tbl>
      <w:tblPr>
        <w:tblW w:w="0" w:type="auto"/>
        <w:tblLayout w:type="fixed"/>
        <w:tblCellMar>
          <w:left w:w="62" w:type="dxa"/>
          <w:right w:w="62" w:type="dxa"/>
        </w:tblCellMar>
        <w:tblLook w:val="0000"/>
      </w:tblPr>
      <w:tblGrid>
        <w:gridCol w:w="2700"/>
        <w:gridCol w:w="5760"/>
      </w:tblGrid>
      <w:tr w:rsidTr="008167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 xml:space="preserve">5) </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 xml:space="preserve">The required outcomes described in this unit of competency contain applicable facets of Employability </w:t>
            </w:r>
            <w:r w:rsidRPr="00D46B89">
              <w:t>Skills. The Employability Skills Summary of the qualification in which this unit of competency is packaged will assist in identifying Employability Skill requirements.</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7" w:name="O_463287"/>
      <w:bookmarkEnd w:id="7"/>
      <w:r w:rsidRPr="00D46B89">
        <w:t>Elements and Performance Criteria Pre-Content</w:t>
      </w:r>
    </w:p>
    <w:tbl>
      <w:tblPr>
        <w:tblW w:w="0" w:type="auto"/>
        <w:tblLayout w:type="fixed"/>
        <w:tblCellMar>
          <w:left w:w="62" w:type="dxa"/>
          <w:right w:w="62" w:type="dxa"/>
        </w:tblCellMar>
        <w:tblLook w:val="0000"/>
      </w:tblPr>
      <w:tblGrid>
        <w:gridCol w:w="2700"/>
        <w:gridCol w:w="5760"/>
      </w:tblGrid>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6)</w:t>
            </w:r>
            <w:r w:rsidRPr="00D46B89">
              <w:t xml:space="preserve"> Elements describe th</w:t>
            </w:r>
            <w:r w:rsidRPr="00D46B89">
              <w:t>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Performance Criteria describe the required performance needed to demonstrate achievement of the element. Assessment of performance is to be consistent with the Evidence Guide.</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8" w:name="O_463286"/>
      <w:bookmarkEnd w:id="8"/>
      <w:r w:rsidRPr="00D46B89">
        <w:t>Elements and Performance Criteria</w:t>
      </w:r>
    </w:p>
    <w:tbl>
      <w:tblPr>
        <w:tblW w:w="0" w:type="auto"/>
        <w:tblLayout w:type="fixed"/>
        <w:tblCellMar>
          <w:left w:w="62" w:type="dxa"/>
          <w:right w:w="62" w:type="dxa"/>
        </w:tblCellMar>
        <w:tblLook w:val="0000"/>
      </w:tblPr>
      <w:tblGrid>
        <w:gridCol w:w="418"/>
        <w:gridCol w:w="2282"/>
        <w:gridCol w:w="900"/>
        <w:gridCol w:w="4860"/>
      </w:tblGrid>
      <w:tr w:rsidTr="0081679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PERFORMANCE CRITERIA</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w:t>
            </w:r>
          </w:p>
        </w:tc>
        <w:tc>
          <w:tcPr>
            <w:tcW w:w="2282" w:type="dxa"/>
            <w:vMerge w:val="restart"/>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Prepare/plan to draft and layout an overhead distribution extension</w:t>
            </w: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1.1</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Works schedule(s), including drawings, plans, requirements, established procedures, and material lists, are obtained</w:t>
            </w:r>
            <w:r w:rsidRPr="00D46B89">
              <w:t xml:space="preserve"> and analysed, if necessary, by site inspection and the extent of the work determined for planning and coordination.</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1.2</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Work is prioritised and sequenced for the most efficient and effective outcome following consultation with others for completion within acceptable timeframes, to a quality standard and in accordance with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1.3</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Risk control measures</w:t>
            </w:r>
            <w:r w:rsidRPr="00D46B89">
              <w:t xml:space="preserve"> are identified, prioritised and evaluated against the work schedule.</w:t>
            </w:r>
          </w:p>
        </w:tc>
      </w:tr>
      <w:tr w:rsidTr="0081679E">
        <w:tblPrEx>
          <w:tblW w:w="0" w:type="auto"/>
          <w:tblLayout w:type="fixed"/>
          <w:tblCellMar>
            <w:left w:w="62" w:type="dxa"/>
            <w:right w:w="62" w:type="dxa"/>
          </w:tblCellMar>
          <w:tblLook w:val="0000"/>
        </w:tblPrEx>
        <w:trPr>
          <w:trHeight w:val="843"/>
        </w:trPr>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1.4</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Relevant requirements and established procedures for the work are communicated to all personnel and identified for all work sites.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1.5</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Hazards are identified, OHS risks assessed and control measures are prioritised, implemented and monitored including emergency exits kept clear, to ensure safe systems of work are followed and according to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1.6</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Relevant work permi</w:t>
            </w:r>
            <w:r w:rsidRPr="00D46B89">
              <w:t>ts are secured to coordinate the performance of work according to requirements and/or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1.7</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 xml:space="preserve">Resources including personnel, equipment, tools and personal protective </w:t>
            </w:r>
            <w:r w:rsidRPr="00D46B89">
              <w:t>equipment required for the job are identified, scheduled and coordinated and confirmed in a safe and technical working order.</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1.8</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Clients/Customers are provided with possible solutions and /or options within the scope, acceptable cost and requirements.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1.9</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Liaison and communication issues with other/authorised personnel, authorities, clients and land owners are resolved and activities coordinated to carry out work.</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1.10</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Personnel participating in the work, including plant operators and contractors,</w:t>
            </w:r>
            <w:r w:rsidRPr="00D46B89">
              <w:t xml:space="preserve"> are fully briefed and respective responsibilities coordinated and authorised where applicable in accordance with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1.11</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Site is prepared according to the work schedule and to minimise risk and damage to property, commerce, and individuals in accordance with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1.12</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 xml:space="preserve">Positioning of road signs, barriers and warning devices is planned in accordance with </w:t>
            </w:r>
            <w:r w:rsidRPr="00D46B89">
              <w:t>requirements.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w:t>
            </w:r>
          </w:p>
        </w:tc>
        <w:tc>
          <w:tcPr>
            <w:tcW w:w="2282" w:type="dxa"/>
            <w:vMerge w:val="restart"/>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Carry out drafting and layout of an overhead distribution extension</w:t>
            </w: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2.1</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 xml:space="preserve">OHS and sustainable energy principles and practices to reduce the incidence of accidents and minimise waste are monitored and actioned in accordance with requirements </w:t>
            </w:r>
            <w:r w:rsidRPr="00D46B89">
              <w:t>and/or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2.2</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First Aid, Pole Top Rescue and other related work procedures are performed according to requirements and/or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2.3</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Lifting</w:t>
            </w:r>
            <w:r w:rsidRPr="00D46B89">
              <w:t>, climbing, working in confined spaces and aloft, and use of power tools/equipment, techniques and practices are safely exercised according to requirements.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2.4</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Hazard warnings and safety signs are recognised and hazards and assessed OHS risks are repor</w:t>
            </w:r>
            <w:r w:rsidRPr="00D46B89">
              <w:t>ted to the immediate authorised persons for directions according to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2.5</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Remedial actions are taken to overcome any shortfalls encountered in the work schedule according to requirements and/or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2.6</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The drafting and layout of an overhead distribution extension is carried out, in accordance with the work schedule and requirements and/or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2.7</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Essential knowledge and associated skills are applied for the drafting and layout of a</w:t>
            </w:r>
            <w:r w:rsidRPr="00D46B89">
              <w:t>n overhead distribution extension to ensure completion in an agreed timeframe and, to quality standards with a minimum of waste according to requirements.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2.8</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Solutions to non-routine problems are identified and actioned using acquired essential knowled</w:t>
            </w:r>
            <w:r w:rsidRPr="00D46B89">
              <w:t>ge and associated skills according to requirements.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2.9</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Ongoing checks of quality of the work are undertaken in accordance with requirements and established procedures to ensure a quality outcome is achieved for the client/customer and to a community/in</w:t>
            </w:r>
            <w:r w:rsidRPr="00D46B89">
              <w:t>dustry standard</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3</w:t>
            </w:r>
          </w:p>
        </w:tc>
        <w:tc>
          <w:tcPr>
            <w:tcW w:w="2282" w:type="dxa"/>
            <w:vMerge w:val="restart"/>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Complete drafting and layout of an overhead distribution extension</w:t>
            </w: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3.1</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 xml:space="preserve">Work undertaken is checked against works schedule for conformance with requirements, anomalies reported and solutions identified in accordance </w:t>
            </w:r>
            <w:r w:rsidRPr="00D46B89">
              <w:t>with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3.2</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Accidents and/or injuries are reported and followed up in accordance with requirements/established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3.3</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Work site is rehabilitated, cleaned up and confirmed safe in accordance with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3.4</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Tools, equipment and any surplus resources and materials are, where appropriate, cleaned, checked and returned to storage in accordance with established procedures.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3.5</w:t>
            </w:r>
          </w:p>
        </w:tc>
        <w:tc>
          <w:tcPr>
            <w:tcW w:w="48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 xml:space="preserve">Relevant work permit(s) are signed off and the job is returned to service and </w:t>
            </w:r>
            <w:r w:rsidRPr="00D46B89">
              <w:t>advised to client/customer in accordance with requirements.</w:t>
            </w:r>
          </w:p>
        </w:tc>
      </w:tr>
      <w:tr w:rsidTr="0081679E">
        <w:tblPrEx>
          <w:tblW w:w="0" w:type="auto"/>
          <w:tblLayout w:type="fixed"/>
          <w:tblCellMar>
            <w:left w:w="62" w:type="dxa"/>
            <w:right w:w="62" w:type="dxa"/>
          </w:tblCellMar>
          <w:tblLook w:val="0000"/>
        </w:tblPrEx>
        <w:tc>
          <w:tcPr>
            <w:tcW w:w="4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t>3.6</w:t>
            </w:r>
          </w:p>
        </w:tc>
        <w:tc>
          <w:tcPr>
            <w:tcW w:w="48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Works completion records, reports, as installed /modified drawing(s) and/or documentation and information are confirmed, processed and appropriate personnel notified.</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9" w:name="O_463294"/>
      <w:bookmarkEnd w:id="9"/>
      <w:r w:rsidRPr="00D46B89">
        <w:t>Required Skills and Knowledge</w:t>
      </w:r>
    </w:p>
    <w:tbl>
      <w:tblPr>
        <w:tblW w:w="0" w:type="auto"/>
        <w:tblLayout w:type="fixed"/>
        <w:tblCellMar>
          <w:left w:w="62" w:type="dxa"/>
          <w:right w:w="62" w:type="dxa"/>
        </w:tblCellMar>
        <w:tblLook w:val="0000"/>
      </w:tblPr>
      <w:tblGrid>
        <w:gridCol w:w="8460"/>
      </w:tblGrid>
      <w:tr w:rsidTr="008167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REQUIRED SKILLS AND KNOWLEDGE</w:t>
            </w:r>
          </w:p>
        </w:tc>
      </w:tr>
      <w:tr w:rsidTr="0081679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8)</w:t>
            </w:r>
            <w:r w:rsidRPr="00D46B89">
              <w:t xml:space="preserve"> Essential Knowledge and Associated Skills (EKAS): This describes the essential skills and knowledge and their level, required for this unit.</w:t>
            </w:r>
          </w:p>
          <w:p w:rsidR="00000000" w:rsidRPr="00D46B89" w:rsidP="00D46B89">
            <w:pPr>
              <w:pStyle w:val="BodyText"/>
            </w:pPr>
            <w:r w:rsidRPr="00D46B89">
              <w:t>Evidence shall show that knowledge has been acquire</w:t>
            </w:r>
            <w:r w:rsidRPr="00D46B89">
              <w:t>d of drafting and laying out an overhead distribution extension.</w:t>
            </w:r>
          </w:p>
          <w:p w:rsidR="00000000" w:rsidRPr="00D46B89" w:rsidP="00D46B89">
            <w:pPr>
              <w:pStyle w:val="BodyText"/>
            </w:pPr>
            <w:r w:rsidRPr="00D46B89">
              <w:t>All knowledge and skills detailed in this unit should be contextualised to current industry practices and technologies.</w:t>
            </w:r>
          </w:p>
          <w:p w:rsidR="00000000" w:rsidRPr="00D46B89" w:rsidP="00D46B89">
            <w:pPr>
              <w:pStyle w:val="BodyText"/>
            </w:pPr>
            <w:r w:rsidRPr="00D46B89">
              <w:t xml:space="preserve">KS01-TDS31A </w:t>
            </w:r>
            <w:r w:rsidRPr="00D46B89">
              <w:tab/>
              <w:t>Power system overhead distribution extension</w:t>
            </w:r>
          </w:p>
          <w:p w:rsidR="00000000" w:rsidRPr="00D46B89" w:rsidP="00D46B89">
            <w:pPr>
              <w:pStyle w:val="BodyText"/>
            </w:pPr>
            <w:r w:rsidRPr="00D46B89">
              <w:t>Evidence shal</w:t>
            </w:r>
            <w:r w:rsidRPr="00D46B89">
              <w:t xml:space="preserve">l show an understanding of the power system overhead distribution extension to an extent indicated by the following aspects: </w:t>
            </w:r>
          </w:p>
          <w:p w:rsidR="00000000" w:rsidRPr="00D46B89" w:rsidP="00D46B89">
            <w:pPr>
              <w:pStyle w:val="BodyText"/>
            </w:pPr>
            <w:r w:rsidRPr="00D46B89">
              <w:t>T1</w:t>
            </w:r>
            <w:r w:rsidRPr="00D46B89">
              <w:tab/>
              <w:t>Installation of overhead distribution conductors encompassing:</w:t>
            </w:r>
          </w:p>
          <w:p w:rsidR="00000000" w:rsidRPr="00D46B89" w:rsidP="00D46B89">
            <w:pPr>
              <w:pStyle w:val="ListBullet"/>
            </w:pPr>
            <w:r w:rsidRPr="00D46B89">
              <w:t>Standards, codes, legislation, supply authority regulations and or enterprise requirements applicable to installing conductors and associated equipment</w:t>
            </w:r>
          </w:p>
          <w:p w:rsidR="00000000" w:rsidRPr="00D46B89" w:rsidP="00D46B89">
            <w:pPr>
              <w:pStyle w:val="ListBullet"/>
            </w:pPr>
            <w:r w:rsidRPr="00D46B89">
              <w:t>Requirements for the use of overhead line construction manuals, system diagrams/plans and drawings - mat</w:t>
            </w:r>
            <w:r w:rsidRPr="00D46B89">
              <w:t>erial lists, conductor size, type and route length.</w:t>
            </w:r>
          </w:p>
          <w:p w:rsidR="00000000" w:rsidRPr="00D46B89" w:rsidP="00D46B89">
            <w:pPr>
              <w:pStyle w:val="ListBullet"/>
            </w:pPr>
            <w:r w:rsidRPr="00D46B89">
              <w:t>Constructions types and structures for distribution and sub transmission lines</w:t>
            </w:r>
          </w:p>
          <w:p w:rsidR="00000000" w:rsidRPr="00D46B89" w:rsidP="00D46B89">
            <w:pPr>
              <w:pStyle w:val="ListBullet"/>
            </w:pPr>
            <w:r w:rsidRPr="00D46B89">
              <w:t>Types, sizes and characterises of overhead conductors</w:t>
            </w:r>
          </w:p>
          <w:p w:rsidR="00000000" w:rsidRPr="00D46B89" w:rsidP="00D46B89">
            <w:pPr>
              <w:pStyle w:val="ListBullet"/>
            </w:pPr>
            <w:r w:rsidRPr="00D46B89">
              <w:t>Resources for the stringing and maintenance of conductors - types of lo</w:t>
            </w:r>
            <w:r w:rsidRPr="00D46B89">
              <w:t xml:space="preserve">w and high voltage overhead electrical conductor connections, causes and effects of poor electrical connections, reasons for and methods used to maintain standard phase sequencing, removing, repairing and replacing of damage conductors, minimum clearances </w:t>
            </w:r>
            <w:r w:rsidRPr="00D46B89">
              <w:t>between overhead conductors and low and high voltage structures.</w:t>
            </w:r>
          </w:p>
          <w:p w:rsidR="00000000" w:rsidRPr="00D46B89" w:rsidP="00D46B89">
            <w:pPr>
              <w:pStyle w:val="ListBullet"/>
            </w:pPr>
            <w:r w:rsidRPr="00D46B89">
              <w:t>Techniques for conductor installation - types and application of tools, equipment and hardware, methods of stringing, tensioning and termination of low and high voltage conductors.</w:t>
            </w:r>
          </w:p>
          <w:p w:rsidR="00000000" w:rsidRPr="00D46B89" w:rsidP="00D46B89">
            <w:pPr>
              <w:pStyle w:val="BodyText"/>
            </w:pPr>
            <w:r w:rsidRPr="00D46B89">
              <w:t>T2</w:t>
            </w:r>
            <w:r w:rsidRPr="00D46B89">
              <w:tab/>
              <w:t>Install</w:t>
            </w:r>
            <w:r w:rsidRPr="00D46B89">
              <w:t>ation of poles and or structures and hardware encompassing:</w:t>
            </w:r>
          </w:p>
          <w:p w:rsidR="00000000" w:rsidRPr="00D46B89" w:rsidP="00D46B89">
            <w:pPr>
              <w:pStyle w:val="ListBullet"/>
            </w:pPr>
            <w:r w:rsidRPr="00D46B89">
              <w:t>Standards, codes, legislation, supply authority regulations and or enterprise requirements applicable to installing poles and associated hardware</w:t>
            </w:r>
          </w:p>
          <w:p w:rsidR="00000000" w:rsidRPr="00D46B89" w:rsidP="00D46B89">
            <w:pPr>
              <w:pStyle w:val="ListBullet"/>
            </w:pPr>
            <w:r w:rsidRPr="00D46B89">
              <w:t>Requirements for the use of enterprise constructi</w:t>
            </w:r>
            <w:r w:rsidRPr="00D46B89">
              <w:t>on manuals, system diagrams/plans and drawings - characteristics and applications of different types of poles and associated hardware</w:t>
            </w:r>
          </w:p>
          <w:p w:rsidR="00000000" w:rsidRPr="00D46B89" w:rsidP="00D46B89">
            <w:pPr>
              <w:pStyle w:val="ListBullet"/>
            </w:pPr>
            <w:r w:rsidRPr="00D46B89">
              <w:t>Techniques for installing poles and associated hardware - types of installation equipment/tools, excavation methods, types</w:t>
            </w:r>
            <w:r w:rsidRPr="00D46B89">
              <w:t xml:space="preserve"> of footings/foundations, types of attachments, earthing systems, clearances between conductors, safe methods of erecting and stabling poles and or structures and cross arms.</w:t>
            </w:r>
          </w:p>
          <w:p w:rsidR="00000000" w:rsidRPr="00D46B89" w:rsidP="00D46B89">
            <w:pPr>
              <w:pStyle w:val="ListBullet"/>
            </w:pPr>
            <w:r w:rsidRPr="00D46B89">
              <w:t>Techniques for maintenance of poles and associated hardware - stabilisation techn</w:t>
            </w:r>
            <w:r w:rsidRPr="00D46B89">
              <w:t>iques for unstable poles, methods of strengthen poles, maintenance and replacement of high voltage insulators and cross arms.</w:t>
            </w:r>
          </w:p>
          <w:p w:rsidR="00000000" w:rsidRPr="00D46B89" w:rsidP="00D46B89">
            <w:pPr>
              <w:pStyle w:val="BodyText"/>
            </w:pPr>
            <w:r w:rsidRPr="00D46B89">
              <w:t>T3</w:t>
            </w:r>
            <w:r w:rsidRPr="00D46B89">
              <w:tab/>
              <w:t>Different types and function of distribution components encompassing:</w:t>
            </w:r>
          </w:p>
          <w:p w:rsidR="00000000" w:rsidRPr="00D46B89" w:rsidP="00D46B89">
            <w:pPr>
              <w:pStyle w:val="ListBullet"/>
            </w:pPr>
            <w:r w:rsidRPr="00D46B89">
              <w:t>Commonwealth/State/Territory and local government legisl</w:t>
            </w:r>
            <w:r w:rsidRPr="00D46B89">
              <w:t>ation, Standards, codes, Commonwealth, State/Territory and local government legislation, supply authority regulations and or enterprise requirements applicable to the use and application of distribution components</w:t>
            </w:r>
          </w:p>
          <w:p w:rsidR="00000000" w:rsidRPr="00D46B89" w:rsidP="00D46B89">
            <w:pPr>
              <w:pStyle w:val="ListBullet"/>
            </w:pPr>
            <w:r w:rsidRPr="00D46B89">
              <w:t xml:space="preserve">Requirements for the use of overhead line </w:t>
            </w:r>
            <w:r w:rsidRPr="00D46B89">
              <w:t>construction manuals, system diagrams/plans and drawings</w:t>
            </w:r>
          </w:p>
          <w:p w:rsidR="00000000" w:rsidRPr="00D46B89" w:rsidP="00D46B89">
            <w:pPr>
              <w:pStyle w:val="ListBullet"/>
            </w:pPr>
            <w:r w:rsidRPr="00D46B89">
              <w:t>Types, function and characteristics of distribution components</w:t>
            </w:r>
          </w:p>
          <w:p w:rsidR="00000000" w:rsidRPr="00D46B89" w:rsidP="00D46B89">
            <w:pPr>
              <w:pStyle w:val="ListBullet"/>
            </w:pPr>
            <w:r w:rsidRPr="00D46B89">
              <w:t>Safety policies and procedures precautions related to the handling and installing distribution components.</w:t>
            </w:r>
          </w:p>
          <w:p w:rsidR="00000000" w:rsidRPr="00D46B89" w:rsidP="00D46B89">
            <w:pPr>
              <w:pStyle w:val="BodyText"/>
            </w:pPr>
            <w:r w:rsidRPr="00D46B89">
              <w:t>T4</w:t>
            </w:r>
            <w:r w:rsidRPr="00D46B89">
              <w:tab/>
              <w:t>Enterprise specific switch</w:t>
            </w:r>
            <w:r w:rsidRPr="00D46B89">
              <w:t>ing diagrams and drawing encompassing:</w:t>
            </w:r>
          </w:p>
          <w:p w:rsidR="00000000" w:rsidRPr="00D46B89" w:rsidP="00D46B89">
            <w:pPr>
              <w:pStyle w:val="ListBullet"/>
            </w:pPr>
            <w:r w:rsidRPr="00D46B89">
              <w:t>Types and application of enterprise specific switching drawings and documents - wiring and schematic diagrams and switching symbols, mechanical drawings dealing with switching operations, project charts, switching sc</w:t>
            </w:r>
            <w:r w:rsidRPr="00D46B89">
              <w:t>hedules, graphs, technical manuals and catalogues, instruction/work sheets.</w:t>
            </w:r>
          </w:p>
          <w:p w:rsidR="00000000" w:rsidRPr="00D46B89" w:rsidP="00D46B89">
            <w:pPr>
              <w:pStyle w:val="ListBullet"/>
            </w:pPr>
            <w:r w:rsidRPr="00D46B89">
              <w:t>Interpretation of different system switching diagrams - LV system switching diagrams, DC traction supply sectioning diagrams, HV transmission and distribution system symbols and fe</w:t>
            </w:r>
            <w:r w:rsidRPr="00D46B89">
              <w:t>eder plans, processes of updating switching diagrams.</w:t>
            </w:r>
          </w:p>
          <w:p w:rsidR="00000000" w:rsidRPr="00D46B89" w:rsidP="00D46B89">
            <w:pPr>
              <w:pStyle w:val="BodyText"/>
            </w:pPr>
            <w:r w:rsidRPr="00D46B89">
              <w:t>T5</w:t>
            </w:r>
            <w:r w:rsidRPr="00D46B89">
              <w:tab/>
              <w:t>Power distribution network documentation encompassing:</w:t>
            </w:r>
          </w:p>
          <w:p w:rsidR="00000000" w:rsidRPr="00D46B89" w:rsidP="00D46B89">
            <w:pPr>
              <w:pStyle w:val="ListBullet"/>
            </w:pPr>
            <w:r w:rsidRPr="00D46B89">
              <w:t xml:space="preserve">Requirements for the use of manuals, system diagrams/plans and drawings and for </w:t>
            </w:r>
            <w:r w:rsidRPr="00D46B89">
              <w:t>plans such as work method statements for the control of OHS risks</w:t>
            </w:r>
          </w:p>
          <w:p w:rsidR="00000000" w:rsidRPr="00D46B89" w:rsidP="00D46B89">
            <w:pPr>
              <w:pStyle w:val="ListBullet"/>
            </w:pPr>
            <w:r w:rsidRPr="00D46B89">
              <w:t>Types and application of power distribution network documentation drawings and documents - wiring and schematic diagrams, drawings and switching symbols, mechanical drawings dealing with the</w:t>
            </w:r>
            <w:r w:rsidRPr="00D46B89">
              <w:t xml:space="preserve"> power distribution network, project charts, schedules, graphs, technical manuals and catalogues, instruction/worksheets sheets.</w:t>
            </w:r>
          </w:p>
          <w:p w:rsidR="00000000" w:rsidRPr="00D46B89" w:rsidP="00D46B89">
            <w:pPr>
              <w:pStyle w:val="ListBullet"/>
            </w:pPr>
            <w:r w:rsidRPr="00D46B89">
              <w:t>Interpretation of different diagrams and documentation on LV and HV systems - overhead distribution extensions, underground dis</w:t>
            </w:r>
            <w:r w:rsidRPr="00D46B89">
              <w:t>tribution extensions, distribution substation, street lighting system.</w:t>
            </w:r>
          </w:p>
          <w:p w:rsidR="00000000" w:rsidRPr="00D46B89" w:rsidP="00D46B89">
            <w:pPr>
              <w:pStyle w:val="BodyText"/>
            </w:pPr>
            <w:r w:rsidRPr="00D46B89">
              <w:t>T6</w:t>
            </w:r>
            <w:r w:rsidRPr="00D46B89">
              <w:tab/>
              <w:t>Layout principles for overhead distribution encompassing:</w:t>
            </w:r>
          </w:p>
          <w:p w:rsidR="00000000" w:rsidRPr="00D46B89" w:rsidP="00D46B89">
            <w:pPr>
              <w:pStyle w:val="ListBullet"/>
            </w:pPr>
            <w:r w:rsidRPr="00D46B89">
              <w:t>Commonwealth, State/Territory and local government legislation, Standards, codes, supply authority regulations and or enter</w:t>
            </w:r>
            <w:r w:rsidRPr="00D46B89">
              <w:t>prise requirements applicable to overhead distribution layout</w:t>
            </w:r>
          </w:p>
          <w:p w:rsidR="00000000" w:rsidRPr="00D46B89" w:rsidP="00D46B89">
            <w:pPr>
              <w:pStyle w:val="ListBullet"/>
            </w:pPr>
            <w:r w:rsidRPr="00D46B89">
              <w:t>Requirements for the use of overhead line construction manuals, system diagrams/plans and drawings and for plans such as work method statements for the control of OHS risks</w:t>
            </w:r>
          </w:p>
          <w:p w:rsidR="00000000" w:rsidRPr="00D46B89" w:rsidP="00D46B89">
            <w:pPr>
              <w:pStyle w:val="ListBullet"/>
            </w:pPr>
            <w:r w:rsidRPr="00D46B89">
              <w:t>Methods in determinin</w:t>
            </w:r>
            <w:r w:rsidRPr="00D46B89">
              <w:t>g material, equipment and tool lists - components types and quantity required, spacing of components such as equipment, poles, cross-arms, costings of items and components.</w:t>
            </w:r>
          </w:p>
          <w:p w:rsidR="00000000" w:rsidRPr="00D46B89" w:rsidP="00D46B89">
            <w:pPr>
              <w:pStyle w:val="ListBullet"/>
            </w:pPr>
            <w:r w:rsidRPr="00D46B89">
              <w:t>Purchasing and contractual arrangements to include a requirement to eliminate OHS h</w:t>
            </w:r>
            <w:r w:rsidRPr="00D46B89">
              <w:t>azards, minimise risks and provide residual OHS risk information</w:t>
            </w:r>
          </w:p>
          <w:p w:rsidR="00000000" w:rsidRPr="00D46B89" w:rsidP="00D46B89">
            <w:pPr>
              <w:pStyle w:val="ListBullet"/>
            </w:pPr>
            <w:r w:rsidRPr="00D46B89">
              <w:t>Determination of conductor size, type and route length -</w:t>
            </w:r>
          </w:p>
          <w:p w:rsidR="00000000" w:rsidRPr="00D46B89" w:rsidP="00D46B89">
            <w:pPr>
              <w:pStyle w:val="ListBullet"/>
            </w:pPr>
            <w:r w:rsidRPr="00D46B89">
              <w:t>Resources needed for the stringing and maintenance of conductors</w:t>
            </w:r>
          </w:p>
          <w:p w:rsidR="00000000" w:rsidRPr="00D46B89" w:rsidP="00D46B89">
            <w:pPr>
              <w:pStyle w:val="ListBullet"/>
            </w:pPr>
            <w:r w:rsidRPr="00D46B89">
              <w:t>Types of low LV and HV overhead electrical conductor connections. Min</w:t>
            </w:r>
            <w:r w:rsidRPr="00D46B89">
              <w:t>imum clearances between overhead conductors and low LV and/HV structures</w:t>
            </w:r>
          </w:p>
          <w:p w:rsidR="00000000" w:rsidRPr="00D46B89" w:rsidP="00D46B89">
            <w:pPr>
              <w:pStyle w:val="ListBullet"/>
            </w:pPr>
            <w:r w:rsidRPr="00D46B89">
              <w:t>Estimation of the duration of overhead distribution extension project</w:t>
            </w:r>
          </w:p>
          <w:p w:rsidR="00000000" w:rsidRPr="00D46B89" w:rsidP="00D46B89">
            <w:pPr>
              <w:pStyle w:val="BodyText"/>
            </w:pPr>
            <w:r w:rsidRPr="00D46B89">
              <w:t>T7</w:t>
            </w:r>
            <w:r w:rsidRPr="00D46B89">
              <w:tab/>
              <w:t>Fundamentals of surveying for the purpose of producing an overhead or underground distribution extension encom</w:t>
            </w:r>
            <w:r w:rsidRPr="00D46B89">
              <w:t>passing:</w:t>
            </w:r>
          </w:p>
          <w:p w:rsidR="00000000" w:rsidRPr="00D46B89" w:rsidP="00D46B89">
            <w:pPr>
              <w:pStyle w:val="ListBullet"/>
            </w:pPr>
            <w:r w:rsidRPr="00D46B89">
              <w:t>Commonwealth, State/Territory and local government legislation, Standards, codes, supply and aviation authority regulations and or enterprise requirements applicable to the surveying for an overhead and underground extension</w:t>
            </w:r>
          </w:p>
          <w:p w:rsidR="00000000" w:rsidRPr="00D46B89" w:rsidP="00D46B89">
            <w:pPr>
              <w:pStyle w:val="ListBullet"/>
            </w:pPr>
            <w:r w:rsidRPr="00D46B89">
              <w:t>Techniques in measuri</w:t>
            </w:r>
            <w:r w:rsidRPr="00D46B89">
              <w:t>ng heights and distances</w:t>
            </w:r>
          </w:p>
          <w:p w:rsidR="00000000" w:rsidRPr="00D46B89" w:rsidP="00D46B89">
            <w:pPr>
              <w:pStyle w:val="ListBullet"/>
            </w:pPr>
            <w:r w:rsidRPr="00D46B89">
              <w:t>Techniques in taking bearings angles of deviation using a compass</w:t>
            </w:r>
          </w:p>
          <w:p w:rsidR="00000000" w:rsidRPr="00D46B89" w:rsidP="00D46B89">
            <w:pPr>
              <w:pStyle w:val="ListBullet"/>
            </w:pPr>
            <w:r w:rsidRPr="00D46B89">
              <w:t>Techniques in using a clinometer</w:t>
            </w:r>
          </w:p>
          <w:p w:rsidR="00000000" w:rsidRPr="00D46B89" w:rsidP="00D46B89">
            <w:pPr>
              <w:pStyle w:val="ListBullet"/>
            </w:pPr>
            <w:r w:rsidRPr="00D46B89">
              <w:t>Techniques in recording and storage of data</w:t>
            </w:r>
          </w:p>
          <w:p w:rsidR="00000000" w:rsidRPr="00D46B89" w:rsidP="00D46B89">
            <w:pPr>
              <w:pStyle w:val="ListBullet"/>
            </w:pPr>
            <w:r w:rsidRPr="00D46B89">
              <w:t>Requirements for the use of overhead line construction manuals, system diagrams/plans an</w:t>
            </w:r>
            <w:r w:rsidRPr="00D46B89">
              <w:t>d drawings</w:t>
            </w:r>
          </w:p>
          <w:p w:rsidR="00000000" w:rsidRPr="00D46B89" w:rsidP="00D46B89">
            <w:pPr>
              <w:pStyle w:val="ListBullet"/>
            </w:pPr>
            <w:r w:rsidRPr="00D46B89">
              <w:t>Techniques in plotting long spans - measuring stick, clinometer, trundle wheel, tapes, correction for sloping ground, distance across objects and range rods</w:t>
            </w:r>
          </w:p>
          <w:p w:rsidR="00000000" w:rsidRPr="00D46B89" w:rsidP="00D46B89">
            <w:pPr>
              <w:pStyle w:val="ListBullet"/>
            </w:pPr>
            <w:r w:rsidRPr="00D46B89">
              <w:t>Techniques in pegging pole positions - foot path alignments, types of pegs, pegs of other authorities and locating survey pegs</w:t>
            </w:r>
          </w:p>
          <w:p w:rsidR="00000000" w:rsidRPr="00D46B89" w:rsidP="00D46B89">
            <w:pPr>
              <w:pStyle w:val="BodyText"/>
            </w:pPr>
            <w:r w:rsidRPr="00D46B89">
              <w:t>T8</w:t>
            </w:r>
            <w:r w:rsidRPr="00D46B89">
              <w:tab/>
              <w:t>Fundamentals of computer aided drafting (CAD) for drafting and layout of distribution extension and upgrades encompassing:</w:t>
            </w:r>
          </w:p>
          <w:p w:rsidR="00000000" w:rsidRPr="00D46B89" w:rsidP="00D46B89">
            <w:pPr>
              <w:pStyle w:val="ListBullet"/>
            </w:pPr>
            <w:r w:rsidRPr="00D46B89">
              <w:t>Co</w:t>
            </w:r>
            <w:r w:rsidRPr="00D46B89">
              <w:t>mmonwealth, State/Territory and local government legislation, Standards, codes, supply authority regulations and or enterprise requirements applicable to the drafting and layouts of distribution extensions and upgrades</w:t>
            </w:r>
          </w:p>
          <w:p w:rsidR="00000000" w:rsidRPr="00D46B89" w:rsidP="00D46B89">
            <w:pPr>
              <w:pStyle w:val="ListBullet"/>
            </w:pPr>
            <w:r w:rsidRPr="00D46B89">
              <w:t>Types of computer hardware and softwa</w:t>
            </w:r>
            <w:r w:rsidRPr="00D46B89">
              <w:t>re, tools and equipment for the production of a draft and layout of distribution extension and or upgrade</w:t>
            </w:r>
          </w:p>
          <w:p w:rsidR="00000000" w:rsidRPr="00D46B89" w:rsidP="00D46B89">
            <w:pPr>
              <w:pStyle w:val="ListBullet"/>
            </w:pPr>
            <w:r w:rsidRPr="00D46B89">
              <w:t>Techniques in storing and retrieving programs and files from the computer</w:t>
            </w:r>
          </w:p>
          <w:p w:rsidR="00000000" w:rsidRPr="00D46B89" w:rsidP="00D46B89">
            <w:pPr>
              <w:pStyle w:val="ListBullet"/>
            </w:pPr>
            <w:r w:rsidRPr="00D46B89">
              <w:t xml:space="preserve">Identification and methods of retrieving and manipulating, digital symbols, </w:t>
            </w:r>
            <w:r w:rsidRPr="00D46B89">
              <w:t>designs, layouts, fonts and graphs stored in the computer</w:t>
            </w:r>
          </w:p>
          <w:p w:rsidR="00000000" w:rsidRPr="00D46B89" w:rsidP="00D46B89">
            <w:pPr>
              <w:pStyle w:val="ListBullet"/>
            </w:pPr>
            <w:r w:rsidRPr="00D46B89">
              <w:t>Techniques in using the CAD package in following necessary commands and protocols in accordance with the operating instructions of the CAD software manufacturer</w:t>
            </w:r>
          </w:p>
          <w:p w:rsidR="00000000" w:rsidRPr="00D46B89" w:rsidP="00D46B89">
            <w:pPr>
              <w:pStyle w:val="ListBullet"/>
            </w:pPr>
            <w:r w:rsidRPr="00D46B89">
              <w:t>Note: Examples include using file str</w:t>
            </w:r>
            <w:r w:rsidRPr="00D46B89">
              <w:t>ucture, menu utilisation, system library usage, data banking, achieving, file management and maintenance procedures</w:t>
            </w:r>
          </w:p>
          <w:p w:rsidR="00000000" w:rsidRPr="00D46B89" w:rsidP="00D46B89">
            <w:pPr>
              <w:pStyle w:val="ListBullet"/>
            </w:pPr>
            <w:r w:rsidRPr="00D46B89">
              <w:t>Calculation of dimensions and drafting measurements using the computer</w:t>
            </w:r>
          </w:p>
          <w:p w:rsidR="00000000" w:rsidRPr="00D46B89" w:rsidP="00D46B89">
            <w:pPr>
              <w:pStyle w:val="ListBullet"/>
            </w:pPr>
            <w:r w:rsidRPr="00D46B89">
              <w:t>Techniques in the preparation of preliminary sketches using the compu</w:t>
            </w:r>
            <w:r w:rsidRPr="00D46B89">
              <w:t>ter</w:t>
            </w:r>
          </w:p>
          <w:p w:rsidR="00000000" w:rsidRPr="00D46B89" w:rsidP="00D46B89">
            <w:pPr>
              <w:pStyle w:val="ListBullet"/>
            </w:pPr>
            <w:r w:rsidRPr="00D46B89">
              <w:t>Techniques in using 2D computer graphics system and associated equipment to produce a distribution extension and or upgrade draft or layout</w:t>
            </w:r>
          </w:p>
          <w:p w:rsidR="00000000" w:rsidRPr="00D46B89" w:rsidP="00D46B89">
            <w:pPr>
              <w:pStyle w:val="ListBullet"/>
            </w:pPr>
            <w:r w:rsidRPr="00D46B89">
              <w:t>Techniques to diagnosing basic faults in computer operation</w:t>
            </w:r>
          </w:p>
          <w:p w:rsidR="00000000" w:rsidRPr="00D46B89" w:rsidP="00D46B89">
            <w:pPr>
              <w:pStyle w:val="ListBullet"/>
            </w:pPr>
            <w:r w:rsidRPr="00D46B89">
              <w:t>Requirements for aerial linework - planning, establi</w:t>
            </w:r>
            <w:r w:rsidRPr="00D46B89">
              <w:t>shing and implementing relevant aviation authority clearances, determining system requirements, aircrew familiarisation with network operations and equipment, requirements for effective communications operations for aerial work.</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10" w:name="O_463289"/>
      <w:bookmarkEnd w:id="10"/>
      <w:r w:rsidRPr="00D46B89">
        <w:t>Evidence Guide</w:t>
      </w:r>
    </w:p>
    <w:tbl>
      <w:tblPr>
        <w:tblW w:w="0" w:type="auto"/>
        <w:tblLayout w:type="fixed"/>
        <w:tblCellMar>
          <w:left w:w="62" w:type="dxa"/>
          <w:right w:w="62" w:type="dxa"/>
        </w:tblCellMar>
        <w:tblLook w:val="0000"/>
      </w:tblPr>
      <w:tblGrid>
        <w:gridCol w:w="8460"/>
      </w:tblGrid>
      <w:tr w:rsidTr="008167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EVIDENCE GUIDE</w:t>
            </w:r>
          </w:p>
        </w:tc>
      </w:tr>
      <w:tr w:rsidTr="0081679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9)</w:t>
            </w:r>
            <w:r w:rsidRPr="00D46B89">
              <w:t xml:space="preserve"> This provides essential advice for assessment of the unit of competency and must be read in conjunction with the Performance Criteria and the range statement of the unit of competency and the Training Package Assessment Gu</w:t>
            </w:r>
            <w:r w:rsidRPr="00D46B89">
              <w:t>idelines.</w:t>
            </w:r>
          </w:p>
          <w:p w:rsidR="00000000" w:rsidRPr="00D46B89" w:rsidP="00D46B89">
            <w:pPr>
              <w:pStyle w:val="BodyText"/>
            </w:pPr>
            <w:r w:rsidRPr="00D46B89">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D46B89" w:rsidP="00D46B89">
      <w:pPr>
        <w:pStyle w:val="BodyText"/>
      </w:pPr>
    </w:p>
    <w:tbl>
      <w:tblPr>
        <w:tblW w:w="0" w:type="auto"/>
        <w:tblLayout w:type="fixed"/>
        <w:tblCellMar>
          <w:left w:w="62" w:type="dxa"/>
          <w:right w:w="62" w:type="dxa"/>
        </w:tblCellMar>
        <w:tblLook w:val="0000"/>
      </w:tblPr>
      <w:tblGrid>
        <w:gridCol w:w="1890"/>
        <w:gridCol w:w="6570"/>
      </w:tblGrid>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 xml:space="preserve">Overview of </w:t>
            </w:r>
            <w:r w:rsidRPr="00D46B89">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9.1)</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 xml:space="preserve">Longitudinal competency development approaches to assessment, such as Profiling, require data to be reliably gathered in a form that can be </w:t>
            </w:r>
            <w:r w:rsidRPr="00D46B89">
              <w:t>consistently interpreted over time. This approach is best utilised in Apprenticeship programs and reduces assessment intervention. It is the Industry’s preferred model for apprenticeships. However, where summative (or final) assessment is used it is to inc</w:t>
            </w:r>
            <w:r w:rsidRPr="00D46B89">
              <w:t>lude the application of the competency in the normal work environment or, at a minimum, the application of the competency in a realistically simulated work environment. It is recognised that, in some circumstances, assessment in part or full can occur outs</w:t>
            </w:r>
            <w:r w:rsidRPr="00D46B89">
              <w:t>ide the workplace. However, it must be in accord with Industry and, Regulatory policy in this regard.</w:t>
            </w:r>
          </w:p>
          <w:p w:rsidR="00000000" w:rsidRPr="00D46B89" w:rsidP="00D46B89">
            <w:pPr>
              <w:pStyle w:val="BodyText"/>
            </w:pPr>
            <w:r w:rsidRPr="00D46B89">
              <w:t>Methods chosen for a particular assessment will be influenced by various factors. These include the extent of the assessment, the most effective locations</w:t>
            </w:r>
            <w:r w:rsidRPr="00D46B89">
              <w:t xml:space="preserve"> for the assessment activities to take place, access to physical resources, additional safety measures that may be required and the critical nature of the competencies being assessed.</w:t>
            </w:r>
          </w:p>
          <w:p w:rsidR="00000000" w:rsidRPr="00D46B89" w:rsidP="00D46B89">
            <w:pPr>
              <w:pStyle w:val="BodyText"/>
            </w:pPr>
            <w:r w:rsidRPr="00D46B89">
              <w:t>The critical safety nature of working with electricity, electrical equip</w:t>
            </w:r>
            <w:r w:rsidRPr="00D46B89">
              <w:t>ment, gas or any other hazardous substance/material carries risk in deeming a person competent. Hence, sources of evidence need to be ‘rich’ in nature so as to minimise error in judgment.</w:t>
            </w:r>
          </w:p>
          <w:p w:rsidR="00000000" w:rsidRPr="00D46B89" w:rsidP="00D46B89">
            <w:pPr>
              <w:pStyle w:val="BodyText"/>
            </w:pPr>
            <w:r w:rsidRPr="00D46B89">
              <w:t>Activities associated with normal every day work have a bearing on t</w:t>
            </w:r>
            <w:r w:rsidRPr="00D46B89">
              <w:t>he decision as to how much and how detailed the data gathered will contribute to its ‘richness’. Some skills are more critical to safety and operational requirements while the same skills may be more or less frequently practiced. These points are raised fo</w:t>
            </w:r>
            <w:r w:rsidRPr="00D46B89">
              <w:t>r the assessors to consider when choosing an assessment method and developing assessment instruments. Sample assessment instruments are included for Assessors in the Assessment Guidelines of this Training Package.</w:t>
            </w:r>
          </w:p>
        </w:tc>
      </w:tr>
    </w:tbl>
    <w:p w:rsidR="00000000" w:rsidRPr="00D46B89" w:rsidP="00D46B89">
      <w:pPr>
        <w:pStyle w:val="BodyText"/>
      </w:pPr>
    </w:p>
    <w:tbl>
      <w:tblPr>
        <w:tblW w:w="0" w:type="auto"/>
        <w:tblLayout w:type="fixed"/>
        <w:tblCellMar>
          <w:left w:w="62" w:type="dxa"/>
          <w:right w:w="62" w:type="dxa"/>
        </w:tblCellMar>
        <w:tblLook w:val="0000"/>
      </w:tblPr>
      <w:tblGrid>
        <w:gridCol w:w="1890"/>
        <w:gridCol w:w="720"/>
        <w:gridCol w:w="1209"/>
        <w:gridCol w:w="2211"/>
        <w:gridCol w:w="2430"/>
      </w:tblGrid>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Critical aspects of evidence required to</w:t>
            </w:r>
            <w:r w:rsidRPr="00D46B89">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9.2)</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Before the critical aspects of evidence are considered all prerequisites shall be met.</w:t>
            </w:r>
          </w:p>
          <w:p w:rsidR="00000000" w:rsidRPr="00D46B89" w:rsidP="00D46B89">
            <w:pPr>
              <w:pStyle w:val="BodyText"/>
            </w:pPr>
            <w:r w:rsidRPr="00D46B89">
              <w:t>Evidence for competence in this unit shall be considered holistically. Each element and associated Performance Criteria shall be demonstrated on at least two occasions in accordance with the “Assessment Guidelines – UET12UET12”. Evidence shall also compris</w:t>
            </w:r>
            <w:r w:rsidRPr="00D46B89">
              <w:t>e:</w:t>
            </w:r>
          </w:p>
          <w:p w:rsidR="00000000" w:rsidRPr="00D46B89" w:rsidP="00D46B89">
            <w:pPr>
              <w:pStyle w:val="ListBullet"/>
            </w:pPr>
            <w:r w:rsidRPr="00D46B89">
              <w:t>A representative body of Performance Criteria demonstrated within the timeframes typically expected of the discipline, work function and industrial environment. In particular this shall incorporate evidence that shows a candidate is able to:</w:t>
            </w:r>
          </w:p>
          <w:p w:rsidR="00000000" w:rsidRPr="00D46B89" w:rsidP="00D46B89">
            <w:pPr>
              <w:pStyle w:val="ListBullet2"/>
            </w:pPr>
            <w:r w:rsidRPr="00D46B89">
              <w:t>Implement</w:t>
            </w:r>
            <w:r w:rsidRPr="00D46B89">
              <w:t xml:space="preserve"> Occupational Health and Safety workplace procedures and practices including the use of risk control measures as specified in the Performance Criteria and range; and</w:t>
            </w:r>
          </w:p>
          <w:p w:rsidR="00000000" w:rsidRPr="00D46B89" w:rsidP="00D46B89">
            <w:pPr>
              <w:pStyle w:val="ListBullet2"/>
            </w:pPr>
            <w:r w:rsidRPr="00D46B89">
              <w:t>Apply sustainable energy principles and practices as specified in the Performance Criteria</w:t>
            </w:r>
            <w:r w:rsidRPr="00D46B89">
              <w:t xml:space="preserve"> and range; and</w:t>
            </w:r>
          </w:p>
          <w:p w:rsidR="00000000" w:rsidRPr="00D46B89" w:rsidP="00D46B89">
            <w:pPr>
              <w:pStyle w:val="ListBullet2"/>
            </w:pPr>
            <w:r w:rsidRPr="00D46B89">
              <w:t>Demonstrate an understanding of the essential knowledge and associated skills as described in this unit to such an extent that the learner’s performance outcome is reported in accordance with the preferred approach; namely a percentile grad</w:t>
            </w:r>
            <w:r w:rsidRPr="00D46B89">
              <w:t>ed result, where required by the regulated environment; and</w:t>
            </w:r>
          </w:p>
          <w:p w:rsidR="00000000" w:rsidRPr="00D46B89" w:rsidP="00D46B89">
            <w:pPr>
              <w:pStyle w:val="ListBullet2"/>
            </w:pPr>
            <w:r w:rsidRPr="00D46B89">
              <w:t>Demonstrate an appropriate level of employability skills; and</w:t>
            </w:r>
          </w:p>
          <w:p w:rsidR="00000000" w:rsidRPr="00D46B89" w:rsidP="00D46B89">
            <w:pPr>
              <w:pStyle w:val="ListBullet"/>
            </w:pPr>
            <w:r w:rsidRPr="00D46B89">
              <w:t>Conduct work observing the relevant Anti Discrimination legislation, regulations, policies and workplace procedures; and</w:t>
            </w:r>
          </w:p>
          <w:p w:rsidR="00000000" w:rsidP="00D46B89">
            <w:pPr>
              <w:pStyle w:val="ListBullet2"/>
              <w:rPr>
                <w:lang w:val="en-NZ"/>
              </w:rPr>
            </w:pPr>
            <w:r w:rsidRPr="00D46B89">
              <w:t>Demonstrate</w:t>
            </w:r>
            <w:r w:rsidRPr="00D46B89">
              <w:t>d performance across a representative range of contexts from the prescribed items below:</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46B8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B89">
            <w:pPr>
              <w:pStyle w:val="BodyText"/>
              <w:rPr>
                <w:lang w:val="en-NZ"/>
              </w:rPr>
            </w:pPr>
            <w:r w:rsidRPr="00D46B89">
              <w:rPr>
                <w:rStyle w:val="SpecialBold"/>
              </w:rPr>
              <w:t>Range of tools/equipment/materials/procedures/workplaces/other variables</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46B89">
            <w:pPr>
              <w:pStyle w:val="BodyText"/>
              <w:keepNext w:val="0"/>
              <w:keepLines w:val="0"/>
              <w:contextualSpacing w:val="0"/>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B89" w:rsidP="00D46B89">
            <w:pPr>
              <w:pStyle w:val="BodyText"/>
            </w:pPr>
            <w:r w:rsidRPr="00D46B89">
              <w:rPr>
                <w:rStyle w:val="SpecialBold"/>
              </w:rPr>
              <w:t>Group No</w:t>
            </w:r>
          </w:p>
        </w:tc>
        <w:tc>
          <w:tcPr>
            <w:tcW w:w="2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B89">
            <w:pPr>
              <w:pStyle w:val="BodyText"/>
              <w:rPr>
                <w:lang w:val="en-NZ"/>
              </w:rPr>
            </w:pPr>
            <w:r w:rsidRPr="00D46B8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B89" w:rsidP="00D46B89">
            <w:pPr>
              <w:pStyle w:val="BodyText"/>
            </w:pPr>
          </w:p>
          <w:p w:rsidR="00000000" w:rsidP="00D46B89">
            <w:pPr>
              <w:pStyle w:val="BodyText"/>
              <w:rPr>
                <w:lang w:val="en-NZ"/>
              </w:rPr>
            </w:pPr>
            <w:r w:rsidRPr="00D46B89">
              <w:rPr>
                <w:rStyle w:val="SpecialBold"/>
              </w:rPr>
              <w:t>Item List</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B89">
            <w:pPr>
              <w:pStyle w:val="BodyText"/>
              <w:rPr>
                <w:lang w:val="en-NZ"/>
              </w:rPr>
            </w:pPr>
            <w:r w:rsidRPr="00D46B89">
              <w:t>A</w:t>
            </w:r>
          </w:p>
        </w:tc>
        <w:tc>
          <w:tcPr>
            <w:tcW w:w="2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B89">
            <w:pPr>
              <w:pStyle w:val="BodyText"/>
              <w:rPr>
                <w:lang w:val="en-NZ"/>
              </w:rPr>
            </w:pPr>
            <w:r w:rsidRPr="00D46B89">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B89" w:rsidP="00D46B89">
            <w:pPr>
              <w:pStyle w:val="BodyText"/>
            </w:pPr>
            <w:r w:rsidRPr="00D46B89">
              <w:t>Produce an LV single phase distribution extension plan/layout</w:t>
            </w:r>
          </w:p>
          <w:p w:rsidR="00000000" w:rsidP="00D46B89">
            <w:pPr>
              <w:pStyle w:val="BodyText"/>
              <w:rPr>
                <w:lang w:val="en-NZ"/>
              </w:rPr>
            </w:pPr>
            <w:r w:rsidRPr="00D46B89">
              <w:t>Produce an LV multi-phase distribution extension plan/layout</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B89">
            <w:pPr>
              <w:pStyle w:val="BodyText"/>
              <w:rPr>
                <w:lang w:val="en-NZ"/>
              </w:rPr>
            </w:pPr>
            <w:r w:rsidRPr="00D46B89">
              <w:t>B</w:t>
            </w:r>
          </w:p>
        </w:tc>
        <w:tc>
          <w:tcPr>
            <w:tcW w:w="2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B89">
            <w:pPr>
              <w:pStyle w:val="BodyText"/>
              <w:rPr>
                <w:lang w:val="en-NZ"/>
              </w:rPr>
            </w:pPr>
            <w:r w:rsidRPr="00D46B89">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B89" w:rsidP="00D46B89">
            <w:pPr>
              <w:pStyle w:val="BodyText"/>
            </w:pPr>
            <w:r w:rsidRPr="00D46B89">
              <w:t>Layout a HV single phase distribution extension</w:t>
            </w:r>
          </w:p>
          <w:p w:rsidR="00000000" w:rsidP="00D46B89">
            <w:pPr>
              <w:pStyle w:val="BodyText"/>
              <w:rPr>
                <w:lang w:val="en-NZ"/>
              </w:rPr>
            </w:pPr>
            <w:r w:rsidRPr="00D46B89">
              <w:t>Layout a HV multi-phase distribution extension</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B89">
            <w:pPr>
              <w:pStyle w:val="BodyText"/>
              <w:rPr>
                <w:lang w:val="en-NZ"/>
              </w:rPr>
            </w:pPr>
            <w:r w:rsidRPr="00D46B89">
              <w:t>C</w:t>
            </w:r>
          </w:p>
        </w:tc>
        <w:tc>
          <w:tcPr>
            <w:tcW w:w="2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B89">
            <w:pPr>
              <w:pStyle w:val="BodyText"/>
              <w:rPr>
                <w:lang w:val="en-NZ"/>
              </w:rPr>
            </w:pPr>
            <w:r w:rsidRPr="00D46B8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B89" w:rsidP="00D46B89">
            <w:pPr>
              <w:pStyle w:val="BodyText"/>
            </w:pPr>
            <w:r w:rsidRPr="00D46B89">
              <w:t>Dealing with an unplanned event by drawing on essential knowledge and associated skills to provide appropriate solutions incorporated in the holistic assessment with the above listed</w:t>
            </w:r>
            <w:r w:rsidRPr="00D46B89">
              <w:t xml:space="preserve"> items.</w:t>
            </w:r>
          </w:p>
        </w:tc>
      </w:tr>
    </w:tbl>
    <w:p w:rsidR="00000000" w:rsidRPr="00D46B89" w:rsidP="00D46B89">
      <w:pPr>
        <w:pStyle w:val="BodyText"/>
      </w:pPr>
    </w:p>
    <w:tbl>
      <w:tblPr>
        <w:tblW w:w="0" w:type="auto"/>
        <w:tblLayout w:type="fixed"/>
        <w:tblCellMar>
          <w:left w:w="62" w:type="dxa"/>
          <w:right w:w="62" w:type="dxa"/>
        </w:tblCellMar>
        <w:tblLook w:val="0000"/>
      </w:tblPr>
      <w:tblGrid>
        <w:gridCol w:w="1890"/>
        <w:gridCol w:w="6570"/>
      </w:tblGrid>
      <w:tr w:rsidTr="0081679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9.3)</w:t>
            </w:r>
          </w:p>
        </w:tc>
      </w:tr>
      <w:tr w:rsidTr="0081679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This unit should be assessed as it relates to normal work practice using procedures, information and resources typical of a workplace. This should include:</w:t>
            </w:r>
          </w:p>
          <w:p w:rsidR="00000000" w:rsidRPr="00D46B89" w:rsidP="00D46B89">
            <w:pPr>
              <w:pStyle w:val="ListBullet"/>
            </w:pPr>
            <w:r w:rsidRPr="00D46B89">
              <w:t>OHS policy and work p</w:t>
            </w:r>
            <w:r w:rsidRPr="00D46B89">
              <w:t>rocedures and instructions.</w:t>
            </w:r>
          </w:p>
          <w:p w:rsidR="00000000" w:rsidRPr="00D46B89" w:rsidP="00D46B89">
            <w:pPr>
              <w:pStyle w:val="ListBullet"/>
            </w:pPr>
            <w:r w:rsidRPr="00D46B89">
              <w:t>Suitable work environment, facilities, equipment and materials to undertake actual drafting and layout of an overhead distribution extension.</w:t>
            </w:r>
          </w:p>
          <w:p w:rsidR="00000000" w:rsidRPr="00D46B89" w:rsidP="00D46B89">
            <w:pPr>
              <w:pStyle w:val="BodyText"/>
            </w:pPr>
            <w:r w:rsidRPr="00D46B89">
              <w:t>In addition to the resources listed above, in Context of and specific resources for assessment, evidence should show demonstrated competency working at realistic heights above ground i.e. above 3 metres, in limited spaces, with different structural/constru</w:t>
            </w:r>
            <w:r w:rsidRPr="00D46B89">
              <w:t xml:space="preserve">ction types and method and in a variety of environments. </w:t>
            </w:r>
          </w:p>
        </w:tc>
      </w:tr>
    </w:tbl>
    <w:p w:rsidR="00000000" w:rsidRPr="00D46B89" w:rsidP="00D46B89">
      <w:pPr>
        <w:pStyle w:val="BodyText"/>
      </w:pPr>
    </w:p>
    <w:tbl>
      <w:tblPr>
        <w:tblW w:w="0" w:type="auto"/>
        <w:tblLayout w:type="fixed"/>
        <w:tblCellMar>
          <w:left w:w="62" w:type="dxa"/>
          <w:right w:w="62" w:type="dxa"/>
        </w:tblCellMar>
        <w:tblLook w:val="0000"/>
      </w:tblPr>
      <w:tblGrid>
        <w:gridCol w:w="1890"/>
        <w:gridCol w:w="6570"/>
      </w:tblGrid>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9.4)</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This Competency Standard Unit shall be assessed by methods given in Volume 1, Part 3 “Assessment Guidelines”.</w:t>
            </w:r>
          </w:p>
          <w:p w:rsidR="00000000" w:rsidRPr="00D46B89" w:rsidP="00D46B89">
            <w:pPr>
              <w:pStyle w:val="BodyText"/>
            </w:pPr>
            <w:r w:rsidRPr="00D46B89">
              <w:t>Note:</w:t>
            </w:r>
          </w:p>
          <w:p w:rsidR="00000000" w:rsidRPr="00D46B89" w:rsidP="00D46B89">
            <w:pPr>
              <w:pStyle w:val="BodyText"/>
            </w:pPr>
            <w:r w:rsidRPr="00D46B89">
              <w:t>Competent performance with inherent safe working practices is expected in the Industry to which this Competency Standard Unit applies. This requires that the specified essential knowledge and associated skills are assessed in a structured environment which</w:t>
            </w:r>
            <w:r w:rsidRPr="00D46B89">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D46B89" w:rsidP="00D46B89">
      <w:pPr>
        <w:pStyle w:val="BodyText"/>
      </w:pPr>
    </w:p>
    <w:tbl>
      <w:tblPr>
        <w:tblW w:w="0" w:type="auto"/>
        <w:tblLayout w:type="fixed"/>
        <w:tblCellMar>
          <w:left w:w="62" w:type="dxa"/>
          <w:right w:w="62" w:type="dxa"/>
        </w:tblCellMar>
        <w:tblLook w:val="0000"/>
      </w:tblPr>
      <w:tblGrid>
        <w:gridCol w:w="1890"/>
        <w:gridCol w:w="6570"/>
      </w:tblGrid>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Concurrent assessment and relationship wi</w:t>
            </w:r>
            <w:r w:rsidRPr="00D46B89">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9.5)</w:t>
            </w:r>
          </w:p>
        </w:tc>
      </w:tr>
      <w:tr w:rsidTr="008167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There are no recommended concurrencies for this unit.</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11" w:name="O_463293"/>
      <w:bookmarkEnd w:id="11"/>
      <w:r w:rsidRPr="00D46B89">
        <w:t>Range Statement</w:t>
      </w:r>
    </w:p>
    <w:tbl>
      <w:tblPr>
        <w:tblW w:w="0" w:type="auto"/>
        <w:tblLayout w:type="fixed"/>
        <w:tblCellMar>
          <w:left w:w="62" w:type="dxa"/>
          <w:right w:w="62" w:type="dxa"/>
        </w:tblCellMar>
        <w:tblLook w:val="0000"/>
      </w:tblPr>
      <w:tblGrid>
        <w:gridCol w:w="8460"/>
      </w:tblGrid>
      <w:tr w:rsidTr="008167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RANGE STATEMENT</w:t>
            </w:r>
          </w:p>
        </w:tc>
      </w:tr>
      <w:tr w:rsidTr="0081679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10)</w:t>
            </w:r>
            <w:r w:rsidRPr="00D46B89">
              <w:t xml:space="preserve"> This relates to the unit of competency as a whole providing the range of contexts and conditions </w:t>
            </w:r>
            <w:r w:rsidRPr="00D46B89">
              <w:t>to which the Performance Criteria apply. It allows for different work environments and situations that will affect performance.</w:t>
            </w:r>
          </w:p>
          <w:p w:rsidR="00000000" w:rsidRPr="00D46B89" w:rsidP="00D46B89">
            <w:pPr>
              <w:pStyle w:val="BodyText"/>
            </w:pPr>
            <w:r w:rsidRPr="00D46B89">
              <w:t>This Unit shall be demonstrated in relation to undertaking a draft and layout of an overhead distribution extension and may incl</w:t>
            </w:r>
            <w:r w:rsidRPr="00D46B89">
              <w:t>ude the following equipment:</w:t>
            </w:r>
          </w:p>
          <w:p w:rsidR="00000000" w:rsidRPr="00D46B89" w:rsidP="00D46B89">
            <w:pPr>
              <w:pStyle w:val="BodyText"/>
            </w:pPr>
            <w:r w:rsidRPr="00D46B89">
              <w:t>Pole, including wood, concrete, steel and composite), associated hardware, including conductors (bare wire and aerial bundle cable), crossarms, insulators, ACR, regulator, earthing, air break switches, gas switches, capacitor u</w:t>
            </w:r>
            <w:r w:rsidRPr="00D46B89">
              <w:t>nits, transformers, links, fuses, sectionalisers, lead arrestors, HV switchgear, LV switchgear, control boxes, communications equipment, lanterns, signage, supervisory cable, cable TV, substations, relevant protection systems and associated civil works.</w:t>
            </w:r>
          </w:p>
          <w:p w:rsidR="00000000" w:rsidRPr="00D46B89" w:rsidP="00D46B89">
            <w:pPr>
              <w:pStyle w:val="BodyText"/>
            </w:pPr>
            <w:r w:rsidRPr="00D46B89">
              <w:t>Dr</w:t>
            </w:r>
            <w:r w:rsidRPr="00D46B89">
              <w:t>afting equipment, computer or manual Powerline design software, mechanical and/or electrical survey equipment including; measuring tapes and chains, levels, inclinometer, measuring wheels and integrated survey stations.</w:t>
            </w:r>
          </w:p>
          <w:p w:rsidR="00000000" w:rsidRPr="00D46B89" w:rsidP="00D46B89">
            <w:pPr>
              <w:pStyle w:val="BodyText"/>
            </w:pPr>
            <w:r w:rsidRPr="00D46B89">
              <w:t>The following constants and variable</w:t>
            </w:r>
            <w:r w:rsidRPr="00D46B89">
              <w:t>s included in the Element/Performance Criteria in this unit are fully described in the Definitions Section 1 of this volume. They form an integral part of the Range Statement of this unit:</w:t>
            </w:r>
          </w:p>
          <w:p w:rsidR="00000000" w:rsidRPr="00D46B89" w:rsidP="00D46B89">
            <w:pPr>
              <w:pStyle w:val="ListBullet3"/>
            </w:pPr>
            <w:r w:rsidRPr="00D46B89">
              <w:t>Appropriate and relevant persons (see Personnel)</w:t>
            </w:r>
          </w:p>
          <w:p w:rsidR="00000000" w:rsidRPr="00D46B89" w:rsidP="00D46B89">
            <w:pPr>
              <w:pStyle w:val="ListBullet3"/>
            </w:pPr>
            <w:r w:rsidRPr="00D46B89">
              <w:t>Appropriate autho</w:t>
            </w:r>
            <w:r w:rsidRPr="00D46B89">
              <w:t>rities</w:t>
            </w:r>
          </w:p>
          <w:p w:rsidR="00000000" w:rsidRPr="00D46B89" w:rsidP="00D46B89">
            <w:pPr>
              <w:pStyle w:val="ListBullet3"/>
            </w:pPr>
            <w:r w:rsidRPr="00D46B89">
              <w:t>Appropriate work platform</w:t>
            </w:r>
          </w:p>
          <w:p w:rsidR="00000000" w:rsidRPr="00D46B89" w:rsidP="00D46B89">
            <w:pPr>
              <w:pStyle w:val="ListBullet3"/>
            </w:pPr>
            <w:r w:rsidRPr="00D46B89">
              <w:t>Assessing risk</w:t>
            </w:r>
          </w:p>
          <w:p w:rsidR="00000000" w:rsidRPr="00D46B89" w:rsidP="00D46B89">
            <w:pPr>
              <w:pStyle w:val="ListBullet3"/>
            </w:pPr>
            <w:r w:rsidRPr="00D46B89">
              <w:t>Assessment</w:t>
            </w:r>
          </w:p>
          <w:p w:rsidR="00000000" w:rsidRPr="00D46B89" w:rsidP="00D46B89">
            <w:pPr>
              <w:pStyle w:val="ListBullet3"/>
            </w:pPr>
            <w:r w:rsidRPr="00D46B89">
              <w:t>Authorisation</w:t>
            </w:r>
          </w:p>
          <w:p w:rsidR="00000000" w:rsidRPr="00D46B89" w:rsidP="00D46B89">
            <w:pPr>
              <w:pStyle w:val="ListBullet3"/>
            </w:pPr>
            <w:r w:rsidRPr="00D46B89">
              <w:t>Confined space</w:t>
            </w:r>
          </w:p>
          <w:p w:rsidR="00000000" w:rsidRPr="00D46B89" w:rsidP="00D46B89">
            <w:pPr>
              <w:pStyle w:val="ListBullet3"/>
            </w:pPr>
            <w:r w:rsidRPr="00D46B89">
              <w:t>Diagnostic, testing and restoration</w:t>
            </w:r>
          </w:p>
          <w:p w:rsidR="00000000" w:rsidRPr="00D46B89" w:rsidP="00D46B89">
            <w:pPr>
              <w:pStyle w:val="ListBullet3"/>
            </w:pPr>
            <w:r w:rsidRPr="00D46B89">
              <w:t>Documenting detail work events, record keeping and or storage of information</w:t>
            </w:r>
          </w:p>
          <w:p w:rsidR="00000000" w:rsidRPr="00D46B89" w:rsidP="00D46B89">
            <w:pPr>
              <w:pStyle w:val="ListBullet3"/>
            </w:pPr>
            <w:r w:rsidRPr="00D46B89">
              <w:t>Drawings and specifications</w:t>
            </w:r>
          </w:p>
          <w:p w:rsidR="00000000" w:rsidRPr="00D46B89" w:rsidP="00D46B89">
            <w:pPr>
              <w:pStyle w:val="ListBullet3"/>
            </w:pPr>
            <w:r w:rsidRPr="00D46B89">
              <w:t>Emergency</w:t>
            </w:r>
          </w:p>
          <w:p w:rsidR="00000000" w:rsidRPr="00D46B89" w:rsidP="00D46B89">
            <w:pPr>
              <w:pStyle w:val="ListBullet3"/>
            </w:pPr>
            <w:r w:rsidRPr="00D46B89">
              <w:t>Environmental and sustainable energy procedures</w:t>
            </w:r>
          </w:p>
          <w:p w:rsidR="00000000" w:rsidRPr="00D46B89" w:rsidP="00D46B89">
            <w:pPr>
              <w:pStyle w:val="ListBullet3"/>
            </w:pPr>
            <w:r w:rsidRPr="00D46B89">
              <w:t>Environmental legislation</w:t>
            </w:r>
          </w:p>
          <w:p w:rsidR="00000000" w:rsidRPr="00D46B89" w:rsidP="00D46B89">
            <w:pPr>
              <w:pStyle w:val="ListBullet3"/>
            </w:pPr>
            <w:r w:rsidRPr="00D46B89">
              <w:t>Environmental management documentation</w:t>
            </w:r>
          </w:p>
          <w:p w:rsidR="00000000" w:rsidRPr="00D46B89" w:rsidP="00D46B89">
            <w:pPr>
              <w:pStyle w:val="ListBullet3"/>
            </w:pPr>
            <w:r w:rsidRPr="00D46B89">
              <w:t>Established procedures</w:t>
            </w:r>
          </w:p>
          <w:p w:rsidR="00000000" w:rsidRPr="00D46B89" w:rsidP="00D46B89">
            <w:pPr>
              <w:pStyle w:val="ListBullet3"/>
            </w:pPr>
            <w:r w:rsidRPr="00D46B89">
              <w:t>Fall prevention</w:t>
            </w:r>
          </w:p>
          <w:p w:rsidR="00000000" w:rsidRPr="00D46B89" w:rsidP="00D46B89">
            <w:pPr>
              <w:pStyle w:val="ListBullet3"/>
            </w:pPr>
            <w:r w:rsidRPr="00D46B89">
              <w:t>Hazards</w:t>
            </w:r>
          </w:p>
          <w:p w:rsidR="00000000" w:rsidRPr="00D46B89" w:rsidP="00D46B89">
            <w:pPr>
              <w:pStyle w:val="ListBullet3"/>
            </w:pPr>
            <w:r w:rsidRPr="00D46B89">
              <w:t>Identifying hazards</w:t>
            </w:r>
          </w:p>
          <w:p w:rsidR="00000000" w:rsidRPr="00D46B89" w:rsidP="00D46B89">
            <w:pPr>
              <w:pStyle w:val="ListBullet3"/>
            </w:pPr>
            <w:r w:rsidRPr="00D46B89">
              <w:t>Inspect</w:t>
            </w:r>
          </w:p>
          <w:p w:rsidR="00000000" w:rsidRPr="00D46B89" w:rsidP="00D46B89">
            <w:pPr>
              <w:pStyle w:val="ListBullet3"/>
            </w:pPr>
            <w:r w:rsidRPr="00D46B89">
              <w:t>Legislation</w:t>
            </w:r>
          </w:p>
          <w:p w:rsidR="00000000" w:rsidRPr="00D46B89" w:rsidP="00D46B89">
            <w:pPr>
              <w:pStyle w:val="ListBullet3"/>
            </w:pPr>
            <w:r w:rsidRPr="00D46B89">
              <w:t>MSDS</w:t>
            </w:r>
          </w:p>
          <w:p w:rsidR="00000000" w:rsidRPr="00D46B89" w:rsidP="00D46B89">
            <w:pPr>
              <w:pStyle w:val="ListBullet3"/>
            </w:pPr>
            <w:r w:rsidRPr="00D46B89">
              <w:t>Notification</w:t>
            </w:r>
          </w:p>
          <w:p w:rsidR="00000000" w:rsidRPr="00D46B89" w:rsidP="00D46B89">
            <w:pPr>
              <w:pStyle w:val="ListBullet3"/>
            </w:pPr>
            <w:r w:rsidRPr="00D46B89">
              <w:t>OHS practices</w:t>
            </w:r>
          </w:p>
          <w:p w:rsidR="00000000" w:rsidRPr="00D46B89" w:rsidP="00D46B89">
            <w:pPr>
              <w:pStyle w:val="ListBullet3"/>
            </w:pPr>
            <w:r w:rsidRPr="00D46B89">
              <w:t>OHS issues</w:t>
            </w:r>
          </w:p>
          <w:p w:rsidR="00000000" w:rsidRPr="00D46B89" w:rsidP="00D46B89">
            <w:pPr>
              <w:pStyle w:val="ListBullet3"/>
            </w:pPr>
            <w:r w:rsidRPr="00D46B89">
              <w:t>Permits and/o</w:t>
            </w:r>
            <w:r w:rsidRPr="00D46B89">
              <w:t>r permits to work</w:t>
            </w:r>
          </w:p>
          <w:p w:rsidR="00000000" w:rsidRPr="00D46B89" w:rsidP="00D46B89">
            <w:pPr>
              <w:pStyle w:val="ListBullet3"/>
            </w:pPr>
            <w:r w:rsidRPr="00D46B89">
              <w:t>Personnel</w:t>
            </w:r>
          </w:p>
          <w:p w:rsidR="00000000" w:rsidRPr="00D46B89" w:rsidP="00D46B89">
            <w:pPr>
              <w:pStyle w:val="ListBullet3"/>
            </w:pPr>
            <w:r w:rsidRPr="00D46B89">
              <w:t>Quality assurance systems</w:t>
            </w:r>
          </w:p>
          <w:p w:rsidR="00000000" w:rsidRPr="00D46B89" w:rsidP="00D46B89">
            <w:pPr>
              <w:pStyle w:val="ListBullet3"/>
            </w:pPr>
            <w:r w:rsidRPr="00D46B89">
              <w:t>Requirements</w:t>
            </w:r>
          </w:p>
          <w:p w:rsidR="00000000" w:rsidRPr="00D46B89" w:rsidP="00D46B89">
            <w:pPr>
              <w:pStyle w:val="ListBullet3"/>
            </w:pPr>
            <w:r w:rsidRPr="00D46B89">
              <w:t>Safe design principles</w:t>
            </w:r>
          </w:p>
          <w:p w:rsidR="00000000" w:rsidRPr="00D46B89" w:rsidP="00D46B89">
            <w:pPr>
              <w:pStyle w:val="ListBullet3"/>
            </w:pPr>
            <w:r w:rsidRPr="00D46B89">
              <w:t>Testing procedures</w:t>
            </w:r>
          </w:p>
          <w:p w:rsidR="00000000" w:rsidRPr="00D46B89" w:rsidP="00D46B89">
            <w:pPr>
              <w:pStyle w:val="ListBullet3"/>
            </w:pPr>
            <w:r w:rsidRPr="00D46B89">
              <w:t>Work clearance systems</w:t>
            </w:r>
          </w:p>
        </w:tc>
      </w:tr>
    </w:tbl>
    <w:p w:rsidR="00000000" w:rsidRPr="00D46B89" w:rsidP="00D46B89">
      <w:pPr>
        <w:pStyle w:val="BodyText"/>
      </w:pPr>
    </w:p>
    <w:p w:rsidR="00000000" w:rsidRPr="00D46B89" w:rsidP="00D46B89">
      <w:pPr>
        <w:pStyle w:val="AllowPageBreak"/>
      </w:pPr>
    </w:p>
    <w:p w:rsidR="00000000" w:rsidRPr="00D46B89" w:rsidP="00D46B89">
      <w:pPr>
        <w:pStyle w:val="Heading1"/>
      </w:pPr>
      <w:bookmarkStart w:id="12" w:name="O_463296"/>
      <w:bookmarkEnd w:id="12"/>
      <w:r w:rsidRPr="00D46B89">
        <w:t>Unit Sector(s)</w:t>
      </w:r>
    </w:p>
    <w:p w:rsidR="00000000" w:rsidRPr="00D46B89" w:rsidP="00D46B89">
      <w:pPr>
        <w:pStyle w:val="BodyText"/>
      </w:pPr>
      <w:r w:rsidRPr="00D46B89">
        <w:t>Not applicable.</w:t>
      </w:r>
    </w:p>
    <w:p w:rsidR="00000000" w:rsidRPr="00D46B89" w:rsidP="00D46B89">
      <w:pPr>
        <w:pStyle w:val="AllowPageBreak"/>
      </w:pPr>
    </w:p>
    <w:p w:rsidR="00000000" w:rsidRPr="00D46B89" w:rsidP="00D46B89">
      <w:pPr>
        <w:pStyle w:val="Heading1"/>
      </w:pPr>
      <w:bookmarkStart w:id="13" w:name="O_463285"/>
      <w:bookmarkEnd w:id="13"/>
      <w:r w:rsidRPr="00D46B89">
        <w:t>Competency Field</w:t>
      </w:r>
    </w:p>
    <w:tbl>
      <w:tblPr>
        <w:tblW w:w="0" w:type="auto"/>
        <w:tblLayout w:type="fixed"/>
        <w:tblCellMar>
          <w:left w:w="62" w:type="dxa"/>
          <w:right w:w="62" w:type="dxa"/>
        </w:tblCellMar>
        <w:tblLook w:val="0000"/>
      </w:tblPr>
      <w:tblGrid>
        <w:gridCol w:w="2700"/>
        <w:gridCol w:w="5760"/>
      </w:tblGrid>
      <w:tr w:rsidTr="008167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46B89">
            <w:pPr>
              <w:pStyle w:val="BodyText"/>
              <w:rPr>
                <w:lang w:val="en-NZ"/>
              </w:rPr>
            </w:pPr>
            <w:r w:rsidRPr="00D46B89">
              <w:rPr>
                <w:rStyle w:val="SpecialBold"/>
              </w:rPr>
              <w:t xml:space="preserve">11) </w:t>
            </w:r>
          </w:p>
        </w:tc>
      </w:tr>
      <w:tr w:rsidTr="008167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89" w:rsidP="00D46B89">
            <w:pPr>
              <w:pStyle w:val="BodyText"/>
            </w:pPr>
            <w:r w:rsidRPr="00D46B89">
              <w:t>Design.</w:t>
            </w:r>
          </w:p>
        </w:tc>
      </w:tr>
    </w:tbl>
    <w:p w:rsidR="00000000" w:rsidRPr="00D46B89" w:rsidP="00D46B89">
      <w:pPr>
        <w:pStyle w:val="BodyText"/>
      </w:pPr>
    </w:p>
    <w:p w:rsidR="00000000" w:rsidRPr="00D46B89" w:rsidP="00D46B89"/>
    <w:sectPr w:rsidSect="00D46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79E" w:rsidP="00816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9E" w:rsidP="00D46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1679E" w:rsidP="00D46B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679E" w:rsidP="00D46B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79E" w:rsidP="008167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9E" w:rsidP="00D46B89">
    <w:pPr>
      <w:pStyle w:val="Header"/>
      <w:framePr w:wrap="around"/>
    </w:pPr>
    <w:r>
      <w:fldChar w:fldCharType="begin"/>
    </w:r>
    <w:r>
      <w:instrText xml:space="preserve"> TITLE   \* MERGEFORMAT </w:instrText>
    </w:r>
    <w:r>
      <w:fldChar w:fldCharType="separate"/>
    </w:r>
    <w:r>
      <w:t>UETTDRDS31A Draft and layout a power system overhead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679E" w:rsidP="00D46B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AB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ED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0E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B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6B89"/>
    <w:pPr>
      <w:spacing w:before="360" w:after="60"/>
      <w:outlineLvl w:val="0"/>
    </w:pPr>
    <w:rPr>
      <w:sz w:val="32"/>
    </w:rPr>
  </w:style>
  <w:style w:type="paragraph" w:styleId="Heading2">
    <w:name w:val="heading 2"/>
    <w:basedOn w:val="HeadingBase"/>
    <w:next w:val="BodyText"/>
    <w:link w:val="Heading2Char"/>
    <w:qFormat/>
    <w:rsid w:val="00D46B89"/>
    <w:pPr>
      <w:keepLines/>
      <w:spacing w:before="240" w:after="120"/>
      <w:outlineLvl w:val="1"/>
    </w:pPr>
    <w:rPr>
      <w:sz w:val="28"/>
      <w:szCs w:val="40"/>
    </w:rPr>
  </w:style>
  <w:style w:type="paragraph" w:styleId="Heading3">
    <w:name w:val="heading 3"/>
    <w:basedOn w:val="HeadingBase"/>
    <w:next w:val="BodyText"/>
    <w:link w:val="Heading3Char"/>
    <w:qFormat/>
    <w:rsid w:val="00D46B89"/>
    <w:pPr>
      <w:spacing w:before="180" w:after="120"/>
      <w:outlineLvl w:val="2"/>
    </w:pPr>
    <w:rPr>
      <w:spacing w:val="-10"/>
      <w:kern w:val="32"/>
    </w:rPr>
  </w:style>
  <w:style w:type="paragraph" w:styleId="Heading4">
    <w:name w:val="heading 4"/>
    <w:basedOn w:val="HeadingBase"/>
    <w:next w:val="BodyText"/>
    <w:link w:val="Heading4Char"/>
    <w:qFormat/>
    <w:rsid w:val="00D46B89"/>
    <w:pPr>
      <w:spacing w:before="160" w:after="120"/>
      <w:outlineLvl w:val="3"/>
    </w:pPr>
    <w:rPr>
      <w:sz w:val="22"/>
    </w:rPr>
  </w:style>
  <w:style w:type="paragraph" w:styleId="Heading5">
    <w:name w:val="heading 5"/>
    <w:basedOn w:val="HeadingBase"/>
    <w:next w:val="Normal"/>
    <w:link w:val="Heading5Char"/>
    <w:qFormat/>
    <w:rsid w:val="00D46B89"/>
    <w:pPr>
      <w:spacing w:before="80"/>
      <w:outlineLvl w:val="4"/>
    </w:pPr>
    <w:rPr>
      <w:color w:val="918585"/>
      <w:sz w:val="20"/>
    </w:rPr>
  </w:style>
  <w:style w:type="paragraph" w:styleId="Heading6">
    <w:name w:val="heading 6"/>
    <w:basedOn w:val="HeadingBase"/>
    <w:next w:val="Normal"/>
    <w:link w:val="Heading6Char"/>
    <w:qFormat/>
    <w:rsid w:val="00D46B89"/>
    <w:pPr>
      <w:spacing w:before="60"/>
      <w:outlineLvl w:val="5"/>
    </w:pPr>
    <w:rPr>
      <w:color w:val="918585"/>
      <w:sz w:val="20"/>
    </w:rPr>
  </w:style>
  <w:style w:type="paragraph" w:styleId="Heading7">
    <w:name w:val="heading 7"/>
    <w:basedOn w:val="Normal"/>
    <w:next w:val="Normal"/>
    <w:link w:val="Heading7Char"/>
    <w:qFormat/>
    <w:rsid w:val="00D46B89"/>
    <w:pPr>
      <w:ind w:left="720"/>
      <w:outlineLvl w:val="6"/>
    </w:pPr>
    <w:rPr>
      <w:i/>
    </w:rPr>
  </w:style>
  <w:style w:type="paragraph" w:styleId="Heading8">
    <w:name w:val="heading 8"/>
    <w:basedOn w:val="Normal"/>
    <w:next w:val="Normal"/>
    <w:link w:val="Heading8Char"/>
    <w:qFormat/>
    <w:rsid w:val="00D46B89"/>
    <w:pPr>
      <w:ind w:left="720"/>
      <w:outlineLvl w:val="7"/>
    </w:pPr>
    <w:rPr>
      <w:i/>
    </w:rPr>
  </w:style>
  <w:style w:type="paragraph" w:styleId="Heading9">
    <w:name w:val="heading 9"/>
    <w:basedOn w:val="Normal"/>
    <w:next w:val="Normal"/>
    <w:link w:val="Heading9Char"/>
    <w:qFormat/>
    <w:rsid w:val="00D46B89"/>
    <w:pPr>
      <w:ind w:left="720"/>
      <w:outlineLvl w:val="8"/>
    </w:pPr>
    <w:rPr>
      <w:i/>
    </w:rPr>
  </w:style>
  <w:style w:type="character" w:default="1" w:styleId="DefaultParagraphFont">
    <w:name w:val="Default Paragraph Font"/>
    <w:uiPriority w:val="1"/>
    <w:unhideWhenUsed/>
    <w:rsid w:val="00D46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B89"/>
  </w:style>
  <w:style w:type="character" w:customStyle="1" w:styleId="Heading1Char">
    <w:name w:val="Heading 1 Char"/>
    <w:basedOn w:val="DefaultParagraphFont"/>
    <w:link w:val="Heading1"/>
    <w:rsid w:val="00D46B89"/>
    <w:rPr>
      <w:rFonts w:ascii="Times New Roman" w:eastAsia="Times New Roman" w:hAnsi="Times New Roman" w:cs="Times New Roman"/>
      <w:b/>
      <w:sz w:val="32"/>
      <w:szCs w:val="20"/>
      <w:lang w:eastAsia="en-US"/>
    </w:rPr>
  </w:style>
  <w:style w:type="paragraph" w:styleId="BodyText">
    <w:name w:val="Body Text"/>
    <w:basedOn w:val="Normal"/>
    <w:link w:val="BodyTextChar"/>
    <w:rsid w:val="00D46B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B89"/>
    <w:rPr>
      <w:rFonts w:ascii="Times New Roman" w:eastAsia="Times New Roman" w:hAnsi="Times New Roman" w:cs="Times New Roman"/>
      <w:sz w:val="24"/>
      <w:lang w:val="en-US" w:eastAsia="en-US"/>
    </w:rPr>
  </w:style>
  <w:style w:type="paragraph" w:styleId="Footer">
    <w:name w:val="footer"/>
    <w:basedOn w:val="Normal"/>
    <w:link w:val="FooterChar"/>
    <w:rsid w:val="00D46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B89"/>
    <w:rPr>
      <w:rFonts w:ascii="Times New Roman" w:eastAsia="Times New Roman" w:hAnsi="Times New Roman" w:cs="Times New Roman"/>
      <w:sz w:val="16"/>
      <w:lang w:val="en-US" w:eastAsia="en-US"/>
    </w:rPr>
  </w:style>
  <w:style w:type="paragraph" w:styleId="ListBullet">
    <w:name w:val="List Bullet"/>
    <w:basedOn w:val="List"/>
    <w:rsid w:val="00D46B89"/>
    <w:pPr>
      <w:numPr>
        <w:numId w:val="14"/>
      </w:numPr>
      <w:tabs>
        <w:tab w:val="clear" w:pos="340"/>
      </w:tabs>
      <w:spacing w:before="40" w:after="40"/>
    </w:pPr>
  </w:style>
  <w:style w:type="character" w:customStyle="1" w:styleId="SpecialBold">
    <w:name w:val="Special Bold"/>
    <w:basedOn w:val="DefaultParagraphFont"/>
    <w:rsid w:val="00D46B89"/>
    <w:rPr>
      <w:b/>
      <w:spacing w:val="0"/>
    </w:rPr>
  </w:style>
  <w:style w:type="paragraph" w:styleId="ListBullet2">
    <w:name w:val="List Bullet 2"/>
    <w:basedOn w:val="List2"/>
    <w:rsid w:val="00D46B89"/>
    <w:pPr>
      <w:numPr>
        <w:numId w:val="15"/>
      </w:numPr>
      <w:tabs>
        <w:tab w:val="clear" w:pos="680"/>
      </w:tabs>
    </w:pPr>
  </w:style>
  <w:style w:type="paragraph" w:styleId="Header">
    <w:name w:val="header"/>
    <w:basedOn w:val="Normal"/>
    <w:link w:val="HeaderChar"/>
    <w:rsid w:val="00D46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B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6B89"/>
    <w:pPr>
      <w:spacing w:before="240" w:after="120"/>
      <w:outlineLvl w:val="0"/>
    </w:pPr>
    <w:rPr>
      <w:rFonts w:ascii="Times New Roman" w:hAnsi="Times New Roman"/>
      <w:b/>
      <w:sz w:val="28"/>
    </w:rPr>
  </w:style>
  <w:style w:type="paragraph" w:customStyle="1" w:styleId="AllowPageBreak">
    <w:name w:val="AllowPageBreak"/>
    <w:rsid w:val="00D46B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6B89"/>
    <w:pPr>
      <w:numPr>
        <w:numId w:val="3"/>
      </w:numPr>
      <w:tabs>
        <w:tab w:val="clear" w:pos="1021"/>
      </w:tabs>
      <w:ind w:left="1037" w:hanging="357"/>
    </w:pPr>
  </w:style>
  <w:style w:type="character" w:customStyle="1" w:styleId="Heading2Char">
    <w:name w:val="Heading 2 Char"/>
    <w:basedOn w:val="DefaultParagraphFont"/>
    <w:link w:val="Heading2"/>
    <w:rsid w:val="00D46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B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6B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6B89"/>
    <w:rPr>
      <w:rFonts w:ascii="Courier New" w:eastAsia="Times New Roman" w:hAnsi="Courier New" w:cs="Times New Roman"/>
      <w:i/>
      <w:szCs w:val="20"/>
      <w:lang w:val="en-US" w:eastAsia="en-US"/>
    </w:rPr>
  </w:style>
  <w:style w:type="paragraph" w:customStyle="1" w:styleId="HeadingBase">
    <w:name w:val="Heading Base"/>
    <w:rsid w:val="00D46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B89"/>
    <w:pPr>
      <w:tabs>
        <w:tab w:val="right" w:leader="dot" w:pos="9072"/>
      </w:tabs>
      <w:ind w:left="567"/>
    </w:pPr>
    <w:rPr>
      <w:szCs w:val="22"/>
    </w:rPr>
  </w:style>
  <w:style w:type="paragraph" w:customStyle="1" w:styleId="TOCBase">
    <w:name w:val="TOC Base"/>
    <w:rsid w:val="00D46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B89"/>
    <w:pPr>
      <w:tabs>
        <w:tab w:val="right" w:leader="dot" w:pos="9072"/>
      </w:tabs>
      <w:spacing w:before="40" w:after="40"/>
      <w:ind w:left="284"/>
    </w:pPr>
    <w:rPr>
      <w:rFonts w:ascii="Times New Roman" w:hAnsi="Times New Roman"/>
    </w:rPr>
  </w:style>
  <w:style w:type="paragraph" w:styleId="TOC1">
    <w:name w:val="toc 1"/>
    <w:basedOn w:val="TOCBase"/>
    <w:next w:val="Normal"/>
    <w:rsid w:val="00D46B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B89"/>
    <w:pPr>
      <w:spacing w:before="5040"/>
      <w:jc w:val="center"/>
    </w:pPr>
    <w:rPr>
      <w:sz w:val="48"/>
      <w:szCs w:val="72"/>
      <w:lang w:val="en-US"/>
    </w:rPr>
  </w:style>
  <w:style w:type="character" w:customStyle="1" w:styleId="TitleChar">
    <w:name w:val="Title Char"/>
    <w:basedOn w:val="DefaultParagraphFont"/>
    <w:link w:val="Title"/>
    <w:rsid w:val="00D46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B89"/>
    <w:pPr>
      <w:tabs>
        <w:tab w:val="left" w:pos="3600"/>
        <w:tab w:val="left" w:pos="3958"/>
      </w:tabs>
    </w:pPr>
  </w:style>
  <w:style w:type="paragraph" w:styleId="List">
    <w:name w:val="List"/>
    <w:basedOn w:val="BodyText"/>
    <w:next w:val="BodyText"/>
    <w:rsid w:val="00D46B89"/>
    <w:pPr>
      <w:tabs>
        <w:tab w:val="left" w:pos="340"/>
      </w:tabs>
      <w:spacing w:before="60" w:after="60"/>
      <w:ind w:left="340" w:hanging="340"/>
    </w:pPr>
  </w:style>
  <w:style w:type="paragraph" w:customStyle="1" w:styleId="Note">
    <w:name w:val="Note"/>
    <w:basedOn w:val="BodyText"/>
    <w:rsid w:val="00D46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B89"/>
    <w:pPr>
      <w:framePr w:wrap="auto" w:hAnchor="text" w:y="6049"/>
    </w:pPr>
    <w:rPr>
      <w:color w:val="000000"/>
      <w:sz w:val="40"/>
    </w:rPr>
  </w:style>
  <w:style w:type="paragraph" w:customStyle="1" w:styleId="TOCTitle">
    <w:name w:val="TOCTitle"/>
    <w:basedOn w:val="Heading1"/>
    <w:rsid w:val="00D46B89"/>
    <w:pPr>
      <w:spacing w:after="240"/>
      <w:jc w:val="center"/>
      <w:outlineLvl w:val="9"/>
    </w:pPr>
    <w:rPr>
      <w:caps/>
    </w:rPr>
  </w:style>
  <w:style w:type="paragraph" w:customStyle="1" w:styleId="Version">
    <w:name w:val="Version"/>
    <w:rsid w:val="00D46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B89"/>
    <w:pPr>
      <w:keepNext w:val="0"/>
      <w:tabs>
        <w:tab w:val="right" w:pos="4176"/>
      </w:tabs>
      <w:ind w:left="198" w:hanging="198"/>
    </w:pPr>
    <w:rPr>
      <w:rFonts w:ascii="Garamond" w:hAnsi="Garamond"/>
    </w:rPr>
  </w:style>
  <w:style w:type="paragraph" w:styleId="IndexHeading">
    <w:name w:val="index heading"/>
    <w:basedOn w:val="Normal"/>
    <w:next w:val="Index1"/>
    <w:semiHidden/>
    <w:rsid w:val="00D46B89"/>
    <w:pPr>
      <w:spacing w:before="120" w:after="120"/>
    </w:pPr>
    <w:rPr>
      <w:rFonts w:ascii="Arial" w:hAnsi="Arial"/>
      <w:b/>
      <w:color w:val="918585"/>
      <w:sz w:val="24"/>
    </w:rPr>
  </w:style>
  <w:style w:type="paragraph" w:customStyle="1" w:styleId="Chapter">
    <w:name w:val="Chapter"/>
    <w:basedOn w:val="Normal"/>
    <w:rsid w:val="00D46B89"/>
    <w:pPr>
      <w:spacing w:before="240"/>
    </w:pPr>
    <w:rPr>
      <w:rFonts w:ascii="Times New Roman" w:hAnsi="Times New Roman"/>
      <w:smallCaps/>
      <w:spacing w:val="80"/>
      <w:sz w:val="28"/>
    </w:rPr>
  </w:style>
  <w:style w:type="paragraph" w:customStyle="1" w:styleId="InChapter">
    <w:name w:val="InChapter"/>
    <w:basedOn w:val="Heading3"/>
    <w:rsid w:val="00D46B89"/>
    <w:pPr>
      <w:spacing w:after="240"/>
      <w:outlineLvl w:val="9"/>
    </w:pPr>
    <w:rPr>
      <w:noProof/>
    </w:rPr>
  </w:style>
  <w:style w:type="paragraph" w:styleId="Index2">
    <w:name w:val="index 2"/>
    <w:basedOn w:val="Normal"/>
    <w:next w:val="Normal"/>
    <w:semiHidden/>
    <w:rsid w:val="00D46B89"/>
    <w:pPr>
      <w:tabs>
        <w:tab w:val="right" w:pos="4176"/>
      </w:tabs>
      <w:ind w:left="568" w:hanging="284"/>
    </w:pPr>
    <w:rPr>
      <w:rFonts w:ascii="Garamond" w:hAnsi="Garamond"/>
    </w:rPr>
  </w:style>
  <w:style w:type="paragraph" w:customStyle="1" w:styleId="Byline">
    <w:name w:val="Byline"/>
    <w:rsid w:val="00D46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B89"/>
    <w:pPr>
      <w:tabs>
        <w:tab w:val="clear" w:pos="3600"/>
        <w:tab w:val="clear" w:pos="3958"/>
      </w:tabs>
      <w:jc w:val="right"/>
    </w:pPr>
  </w:style>
  <w:style w:type="character" w:styleId="Emphasis">
    <w:name w:val="Emphasis"/>
    <w:basedOn w:val="DefaultParagraphFont"/>
    <w:qFormat/>
    <w:rsid w:val="00D46B89"/>
    <w:rPr>
      <w:i/>
    </w:rPr>
  </w:style>
  <w:style w:type="paragraph" w:styleId="Caption">
    <w:name w:val="caption"/>
    <w:basedOn w:val="BodyText"/>
    <w:next w:val="Normal"/>
    <w:qFormat/>
    <w:rsid w:val="00D46B89"/>
    <w:pPr>
      <w:framePr w:w="2268" w:hSpace="181" w:vSpace="181" w:wrap="around" w:vAnchor="text" w:hAnchor="page" w:x="1135" w:y="285" w:anchorLock="1"/>
    </w:pPr>
    <w:rPr>
      <w:i/>
    </w:rPr>
  </w:style>
  <w:style w:type="paragraph" w:customStyle="1" w:styleId="MiniTOCTitle">
    <w:name w:val="MiniTOCTitle"/>
    <w:basedOn w:val="Heading4"/>
    <w:rsid w:val="00D46B89"/>
    <w:pPr>
      <w:spacing w:before="240"/>
      <w:outlineLvl w:val="9"/>
    </w:pPr>
    <w:rPr>
      <w:noProof/>
      <w:sz w:val="24"/>
    </w:rPr>
  </w:style>
  <w:style w:type="paragraph" w:customStyle="1" w:styleId="MiniTOCItem">
    <w:name w:val="MiniTOCItem"/>
    <w:basedOn w:val="ListBullet"/>
    <w:rsid w:val="00D46B89"/>
    <w:pPr>
      <w:numPr>
        <w:numId w:val="0"/>
      </w:numPr>
      <w:tabs>
        <w:tab w:val="right" w:leader="dot" w:pos="6521"/>
      </w:tabs>
      <w:spacing w:before="0" w:after="0"/>
    </w:pPr>
  </w:style>
  <w:style w:type="paragraph" w:customStyle="1" w:styleId="TOFTitle">
    <w:name w:val="TOFTitle"/>
    <w:basedOn w:val="TOCTitle"/>
    <w:rsid w:val="00D46B89"/>
  </w:style>
  <w:style w:type="paragraph" w:styleId="TableofFigures">
    <w:name w:val="table of figures"/>
    <w:basedOn w:val="Normal"/>
    <w:next w:val="Normal"/>
    <w:semiHidden/>
    <w:rsid w:val="00D46B89"/>
    <w:pPr>
      <w:tabs>
        <w:tab w:val="right" w:leader="dot" w:pos="9072"/>
      </w:tabs>
      <w:ind w:left="970" w:hanging="403"/>
    </w:pPr>
    <w:rPr>
      <w:rFonts w:ascii="Times New Roman" w:hAnsi="Times New Roman"/>
      <w:b/>
    </w:rPr>
  </w:style>
  <w:style w:type="paragraph" w:styleId="ListNumber">
    <w:name w:val="List Number"/>
    <w:basedOn w:val="List"/>
    <w:rsid w:val="00D46B89"/>
    <w:pPr>
      <w:numPr>
        <w:numId w:val="12"/>
      </w:numPr>
    </w:pPr>
  </w:style>
  <w:style w:type="character" w:customStyle="1" w:styleId="WingdingSymbols">
    <w:name w:val="Wingding Symbols"/>
    <w:rsid w:val="00D46B89"/>
    <w:rPr>
      <w:rFonts w:ascii="Wingdings" w:hAnsi="Wingdings"/>
    </w:rPr>
  </w:style>
  <w:style w:type="paragraph" w:customStyle="1" w:styleId="TableHeading">
    <w:name w:val="Table Heading"/>
    <w:basedOn w:val="HeadingBase"/>
    <w:rsid w:val="00D46B89"/>
    <w:pPr>
      <w:keepLines/>
      <w:pBdr>
        <w:bottom w:val="single" w:sz="6" w:space="1" w:color="918585"/>
      </w:pBdr>
      <w:spacing w:before="240"/>
    </w:pPr>
  </w:style>
  <w:style w:type="character" w:customStyle="1" w:styleId="HotSpot">
    <w:name w:val="HotSpot"/>
    <w:rsid w:val="00D46B89"/>
    <w:rPr>
      <w:color w:val="0033CC"/>
      <w:u w:val="none"/>
    </w:rPr>
  </w:style>
  <w:style w:type="paragraph" w:customStyle="1" w:styleId="BodyTextRight">
    <w:name w:val="Body Text Right"/>
    <w:basedOn w:val="BodyText"/>
    <w:rsid w:val="00D46B89"/>
    <w:pPr>
      <w:spacing w:before="0" w:after="0"/>
      <w:jc w:val="right"/>
    </w:pPr>
  </w:style>
  <w:style w:type="paragraph" w:styleId="Index3">
    <w:name w:val="index 3"/>
    <w:basedOn w:val="ListNumber2"/>
    <w:next w:val="Normal"/>
    <w:semiHidden/>
    <w:rsid w:val="00D46B89"/>
    <w:pPr>
      <w:numPr>
        <w:numId w:val="0"/>
      </w:numPr>
      <w:tabs>
        <w:tab w:val="right" w:leader="dot" w:pos="4176"/>
      </w:tabs>
    </w:pPr>
  </w:style>
  <w:style w:type="paragraph" w:styleId="ListNumber2">
    <w:name w:val="List Number 2"/>
    <w:basedOn w:val="List2"/>
    <w:rsid w:val="00D46B89"/>
    <w:pPr>
      <w:numPr>
        <w:numId w:val="11"/>
      </w:numPr>
      <w:tabs>
        <w:tab w:val="clear" w:pos="1060"/>
      </w:tabs>
    </w:pPr>
  </w:style>
  <w:style w:type="paragraph" w:customStyle="1" w:styleId="MarginNote">
    <w:name w:val="Margin Note"/>
    <w:basedOn w:val="BodyText"/>
    <w:rsid w:val="00D46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B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6B89"/>
    <w:rPr>
      <w:sz w:val="32"/>
    </w:rPr>
  </w:style>
  <w:style w:type="paragraph" w:customStyle="1" w:styleId="HeadingProcedure">
    <w:name w:val="Heading Procedure"/>
    <w:basedOn w:val="HeadingBase"/>
    <w:next w:val="Normal"/>
    <w:rsid w:val="00D46B89"/>
    <w:pPr>
      <w:tabs>
        <w:tab w:val="left" w:pos="0"/>
      </w:tabs>
      <w:spacing w:before="120" w:after="60"/>
    </w:pPr>
    <w:rPr>
      <w:i/>
      <w:color w:val="918585"/>
      <w:sz w:val="22"/>
    </w:rPr>
  </w:style>
  <w:style w:type="paragraph" w:customStyle="1" w:styleId="TableBodyText">
    <w:name w:val="Table Body Text"/>
    <w:basedOn w:val="BodyText"/>
    <w:rsid w:val="00D46B89"/>
    <w:pPr>
      <w:spacing w:before="60" w:after="60"/>
    </w:pPr>
  </w:style>
  <w:style w:type="paragraph" w:styleId="ListContinue">
    <w:name w:val="List Continue"/>
    <w:basedOn w:val="List"/>
    <w:rsid w:val="00D46B89"/>
    <w:pPr>
      <w:ind w:firstLine="0"/>
    </w:pPr>
  </w:style>
  <w:style w:type="paragraph" w:customStyle="1" w:styleId="ListNote">
    <w:name w:val="List Note"/>
    <w:basedOn w:val="List"/>
    <w:rsid w:val="00D46B89"/>
    <w:pPr>
      <w:pBdr>
        <w:top w:val="single" w:sz="6" w:space="2" w:color="918585"/>
        <w:bottom w:val="single" w:sz="6" w:space="2" w:color="918585"/>
      </w:pBdr>
      <w:tabs>
        <w:tab w:val="left" w:pos="1021"/>
      </w:tabs>
      <w:ind w:firstLine="0"/>
    </w:pPr>
  </w:style>
  <w:style w:type="paragraph" w:customStyle="1" w:styleId="Warning">
    <w:name w:val="Warning"/>
    <w:basedOn w:val="BodyText"/>
    <w:rsid w:val="00D46B89"/>
    <w:pPr>
      <w:shd w:val="clear" w:color="auto" w:fill="D9D9D9"/>
      <w:tabs>
        <w:tab w:val="left" w:pos="992"/>
      </w:tabs>
      <w:ind w:left="119" w:right="119"/>
    </w:pPr>
    <w:rPr>
      <w:sz w:val="20"/>
    </w:rPr>
  </w:style>
  <w:style w:type="paragraph" w:customStyle="1" w:styleId="MarginIcons">
    <w:name w:val="Margin Icons"/>
    <w:basedOn w:val="BodyText"/>
    <w:rsid w:val="00D46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B89"/>
    <w:rPr>
      <w:rFonts w:ascii="Courier New" w:hAnsi="Courier New"/>
    </w:rPr>
  </w:style>
  <w:style w:type="paragraph" w:customStyle="1" w:styleId="NoteBullet">
    <w:name w:val="Note Bullet"/>
    <w:basedOn w:val="Note"/>
    <w:rsid w:val="00D46B89"/>
    <w:pPr>
      <w:tabs>
        <w:tab w:val="clear" w:pos="680"/>
      </w:tabs>
      <w:spacing w:before="60" w:after="60"/>
    </w:pPr>
  </w:style>
  <w:style w:type="paragraph" w:customStyle="1" w:styleId="SubHeading2">
    <w:name w:val="SubHeading2"/>
    <w:basedOn w:val="HeadingBase"/>
    <w:rsid w:val="00D46B89"/>
    <w:pPr>
      <w:spacing w:before="240" w:after="60"/>
    </w:pPr>
    <w:rPr>
      <w:sz w:val="20"/>
    </w:rPr>
  </w:style>
  <w:style w:type="paragraph" w:customStyle="1" w:styleId="SubHeading1">
    <w:name w:val="SubHeading1"/>
    <w:basedOn w:val="HeadingBase"/>
    <w:rsid w:val="00D46B89"/>
    <w:pPr>
      <w:spacing w:before="240" w:after="60"/>
    </w:pPr>
    <w:rPr>
      <w:color w:val="918585"/>
      <w:sz w:val="22"/>
    </w:rPr>
  </w:style>
  <w:style w:type="paragraph" w:customStyle="1" w:styleId="SideHeading">
    <w:name w:val="Side Heading"/>
    <w:basedOn w:val="HeadingBase"/>
    <w:rsid w:val="00D46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B89"/>
    <w:pPr>
      <w:numPr>
        <w:numId w:val="13"/>
      </w:numPr>
    </w:pPr>
  </w:style>
  <w:style w:type="paragraph" w:styleId="PlainText">
    <w:name w:val="Plain Text"/>
    <w:basedOn w:val="Normal"/>
    <w:link w:val="PlainTextChar"/>
    <w:rsid w:val="00D46B89"/>
    <w:rPr>
      <w:sz w:val="20"/>
    </w:rPr>
  </w:style>
  <w:style w:type="character" w:customStyle="1" w:styleId="PlainTextChar">
    <w:name w:val="Plain Text Char"/>
    <w:basedOn w:val="DefaultParagraphFont"/>
    <w:link w:val="PlainText"/>
    <w:rsid w:val="00D46B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6B89"/>
    <w:rPr>
      <w:b/>
      <w:smallCaps/>
    </w:rPr>
  </w:style>
  <w:style w:type="paragraph" w:customStyle="1" w:styleId="TableListNumber">
    <w:name w:val="Table List Number"/>
    <w:basedOn w:val="ListNumber"/>
    <w:rsid w:val="00D46B89"/>
    <w:pPr>
      <w:numPr>
        <w:numId w:val="0"/>
      </w:numPr>
    </w:pPr>
  </w:style>
  <w:style w:type="paragraph" w:styleId="TOC4">
    <w:name w:val="toc 4"/>
    <w:basedOn w:val="TOCBase"/>
    <w:next w:val="Normal"/>
    <w:semiHidden/>
    <w:rsid w:val="00D46B89"/>
    <w:pPr>
      <w:tabs>
        <w:tab w:val="right" w:leader="dot" w:pos="9071"/>
      </w:tabs>
      <w:ind w:left="1701"/>
    </w:pPr>
  </w:style>
  <w:style w:type="paragraph" w:customStyle="1" w:styleId="ListAlpha">
    <w:name w:val="List Alpha"/>
    <w:basedOn w:val="List"/>
    <w:rsid w:val="00D46B89"/>
    <w:pPr>
      <w:numPr>
        <w:numId w:val="10"/>
      </w:numPr>
    </w:pPr>
  </w:style>
  <w:style w:type="paragraph" w:customStyle="1" w:styleId="ListAlpha2">
    <w:name w:val="List Alpha 2"/>
    <w:basedOn w:val="List2"/>
    <w:rsid w:val="00D46B89"/>
    <w:pPr>
      <w:numPr>
        <w:numId w:val="9"/>
      </w:numPr>
    </w:pPr>
  </w:style>
  <w:style w:type="paragraph" w:styleId="List2">
    <w:name w:val="List 2"/>
    <w:basedOn w:val="BodyText"/>
    <w:rsid w:val="00D46B89"/>
    <w:pPr>
      <w:tabs>
        <w:tab w:val="left" w:pos="680"/>
      </w:tabs>
      <w:spacing w:before="60" w:after="60"/>
      <w:ind w:left="680" w:hanging="340"/>
    </w:pPr>
  </w:style>
  <w:style w:type="paragraph" w:styleId="List3">
    <w:name w:val="List 3"/>
    <w:basedOn w:val="BodyText"/>
    <w:rsid w:val="00D46B89"/>
    <w:pPr>
      <w:tabs>
        <w:tab w:val="left" w:pos="1021"/>
      </w:tabs>
      <w:spacing w:before="60" w:after="60"/>
      <w:ind w:left="1020" w:hanging="340"/>
    </w:pPr>
  </w:style>
  <w:style w:type="paragraph" w:styleId="List4">
    <w:name w:val="List 4"/>
    <w:basedOn w:val="BodyText"/>
    <w:rsid w:val="00D46B89"/>
    <w:pPr>
      <w:tabs>
        <w:tab w:val="left" w:pos="1361"/>
      </w:tabs>
      <w:spacing w:before="60" w:after="60"/>
      <w:ind w:left="1361" w:hanging="340"/>
    </w:pPr>
  </w:style>
  <w:style w:type="paragraph" w:styleId="List5">
    <w:name w:val="List 5"/>
    <w:basedOn w:val="BodyText"/>
    <w:rsid w:val="00D46B89"/>
    <w:pPr>
      <w:tabs>
        <w:tab w:val="left" w:pos="1701"/>
      </w:tabs>
      <w:spacing w:before="60" w:after="60"/>
      <w:ind w:left="1701" w:hanging="340"/>
    </w:pPr>
  </w:style>
  <w:style w:type="paragraph" w:styleId="ListBullet4">
    <w:name w:val="List Bullet 4"/>
    <w:basedOn w:val="List4"/>
    <w:rsid w:val="00D46B89"/>
    <w:pPr>
      <w:numPr>
        <w:numId w:val="4"/>
      </w:numPr>
    </w:pPr>
  </w:style>
  <w:style w:type="paragraph" w:styleId="ListBullet5">
    <w:name w:val="List Bullet 5"/>
    <w:basedOn w:val="List5"/>
    <w:rsid w:val="00D46B89"/>
    <w:pPr>
      <w:numPr>
        <w:numId w:val="5"/>
      </w:numPr>
    </w:pPr>
  </w:style>
  <w:style w:type="paragraph" w:styleId="ListContinue2">
    <w:name w:val="List Continue 2"/>
    <w:basedOn w:val="List2"/>
    <w:rsid w:val="00D46B89"/>
    <w:pPr>
      <w:ind w:firstLine="0"/>
    </w:pPr>
  </w:style>
  <w:style w:type="paragraph" w:styleId="ListContinue3">
    <w:name w:val="List Continue 3"/>
    <w:basedOn w:val="List3"/>
    <w:rsid w:val="00D46B89"/>
    <w:pPr>
      <w:ind w:left="1021" w:firstLine="0"/>
    </w:pPr>
  </w:style>
  <w:style w:type="paragraph" w:styleId="ListContinue4">
    <w:name w:val="List Continue 4"/>
    <w:basedOn w:val="List4"/>
    <w:rsid w:val="00D46B89"/>
    <w:pPr>
      <w:ind w:firstLine="0"/>
    </w:pPr>
  </w:style>
  <w:style w:type="paragraph" w:styleId="ListContinue5">
    <w:name w:val="List Continue 5"/>
    <w:basedOn w:val="List5"/>
    <w:rsid w:val="00D46B89"/>
    <w:pPr>
      <w:ind w:firstLine="0"/>
    </w:pPr>
  </w:style>
  <w:style w:type="paragraph" w:styleId="ListNumber3">
    <w:name w:val="List Number 3"/>
    <w:basedOn w:val="List3"/>
    <w:rsid w:val="00D46B89"/>
    <w:pPr>
      <w:numPr>
        <w:numId w:val="6"/>
      </w:numPr>
    </w:pPr>
  </w:style>
  <w:style w:type="paragraph" w:styleId="ListNumber4">
    <w:name w:val="List Number 4"/>
    <w:basedOn w:val="List4"/>
    <w:rsid w:val="00D46B89"/>
    <w:pPr>
      <w:numPr>
        <w:numId w:val="7"/>
      </w:numPr>
    </w:pPr>
  </w:style>
  <w:style w:type="paragraph" w:styleId="ListNumber5">
    <w:name w:val="List Number 5"/>
    <w:basedOn w:val="List5"/>
    <w:rsid w:val="00D46B89"/>
    <w:pPr>
      <w:numPr>
        <w:numId w:val="8"/>
      </w:numPr>
    </w:pPr>
  </w:style>
  <w:style w:type="paragraph" w:styleId="BlockText">
    <w:name w:val="Block Text"/>
    <w:basedOn w:val="Normal"/>
    <w:rsid w:val="00D46B89"/>
    <w:pPr>
      <w:spacing w:after="120"/>
      <w:ind w:left="1440" w:right="1440"/>
    </w:pPr>
  </w:style>
  <w:style w:type="character" w:customStyle="1" w:styleId="Subscript">
    <w:name w:val="Subscript"/>
    <w:basedOn w:val="DefaultParagraphFont"/>
    <w:rsid w:val="00D46B89"/>
    <w:rPr>
      <w:sz w:val="16"/>
      <w:vertAlign w:val="subscript"/>
    </w:rPr>
  </w:style>
  <w:style w:type="character" w:customStyle="1" w:styleId="Superscript">
    <w:name w:val="Superscript"/>
    <w:basedOn w:val="DefaultParagraphFont"/>
    <w:rsid w:val="00D46B89"/>
    <w:rPr>
      <w:sz w:val="16"/>
      <w:vertAlign w:val="superscript"/>
    </w:rPr>
  </w:style>
  <w:style w:type="character" w:customStyle="1" w:styleId="Symbols">
    <w:name w:val="Symbols"/>
    <w:basedOn w:val="DefaultParagraphFont"/>
    <w:rsid w:val="00D46B89"/>
    <w:rPr>
      <w:rFonts w:ascii="Symbol" w:hAnsi="Symbol"/>
    </w:rPr>
  </w:style>
  <w:style w:type="character" w:customStyle="1" w:styleId="MenuOptions">
    <w:name w:val="Menu Options"/>
    <w:basedOn w:val="DefaultParagraphFont"/>
    <w:rsid w:val="00D46B89"/>
    <w:rPr>
      <w:rFonts w:ascii="Arial Narrow" w:hAnsi="Arial Narrow"/>
      <w:smallCaps/>
    </w:rPr>
  </w:style>
  <w:style w:type="character" w:customStyle="1" w:styleId="Buttons">
    <w:name w:val="Buttons"/>
    <w:basedOn w:val="DefaultParagraphFont"/>
    <w:rsid w:val="00D46B89"/>
    <w:rPr>
      <w:b/>
    </w:rPr>
  </w:style>
  <w:style w:type="character" w:customStyle="1" w:styleId="Underlined">
    <w:name w:val="Underlined"/>
    <w:basedOn w:val="DefaultParagraphFont"/>
    <w:rsid w:val="00D46B89"/>
    <w:rPr>
      <w:u w:val="single"/>
    </w:rPr>
  </w:style>
  <w:style w:type="paragraph" w:customStyle="1" w:styleId="TableBodyTextRight">
    <w:name w:val="Table Body Text Right"/>
    <w:basedOn w:val="TableBodyText"/>
    <w:rsid w:val="00D46B89"/>
    <w:pPr>
      <w:widowControl w:val="0"/>
      <w:autoSpaceDE w:val="0"/>
      <w:autoSpaceDN w:val="0"/>
      <w:adjustRightInd w:val="0"/>
      <w:jc w:val="right"/>
    </w:pPr>
    <w:rPr>
      <w:rFonts w:cs="Arial"/>
      <w:szCs w:val="18"/>
    </w:rPr>
  </w:style>
  <w:style w:type="paragraph" w:customStyle="1" w:styleId="CopyrightText">
    <w:name w:val="Copyright Text"/>
    <w:basedOn w:val="BodyText"/>
    <w:rsid w:val="00D46B89"/>
    <w:rPr>
      <w:sz w:val="18"/>
    </w:rPr>
  </w:style>
  <w:style w:type="paragraph" w:customStyle="1" w:styleId="BodySmallRight">
    <w:name w:val="Body Small Right"/>
    <w:basedOn w:val="BodyTextRight"/>
    <w:rsid w:val="00D46B89"/>
    <w:rPr>
      <w:sz w:val="18"/>
      <w:szCs w:val="18"/>
    </w:rPr>
  </w:style>
  <w:style w:type="paragraph" w:customStyle="1" w:styleId="MarginEdition">
    <w:name w:val="Margin Edition"/>
    <w:basedOn w:val="MarginNote"/>
    <w:rsid w:val="00D46B89"/>
    <w:pPr>
      <w:spacing w:before="0" w:after="0"/>
    </w:pPr>
    <w:rPr>
      <w:rFonts w:ascii="Times New Roman" w:hAnsi="Times New Roman"/>
      <w:color w:val="999999"/>
    </w:rPr>
  </w:style>
  <w:style w:type="paragraph" w:customStyle="1" w:styleId="Spacer">
    <w:name w:val="Spacer"/>
    <w:basedOn w:val="Normal"/>
    <w:rsid w:val="00D46B89"/>
    <w:rPr>
      <w:sz w:val="2"/>
      <w:szCs w:val="2"/>
    </w:rPr>
  </w:style>
  <w:style w:type="character" w:customStyle="1" w:styleId="Small">
    <w:name w:val="Small"/>
    <w:basedOn w:val="DefaultParagraphFont"/>
    <w:rsid w:val="00D46B89"/>
    <w:rPr>
      <w:sz w:val="16"/>
    </w:rPr>
  </w:style>
  <w:style w:type="paragraph" w:customStyle="1" w:styleId="WideTable">
    <w:name w:val="Wide Table"/>
    <w:basedOn w:val="Normal"/>
    <w:rsid w:val="00D46B89"/>
    <w:pPr>
      <w:ind w:left="-1418"/>
    </w:pPr>
    <w:rPr>
      <w:sz w:val="2"/>
      <w:szCs w:val="2"/>
    </w:rPr>
  </w:style>
  <w:style w:type="character" w:styleId="PageNumber">
    <w:name w:val="page number"/>
    <w:basedOn w:val="DefaultParagraphFont"/>
    <w:rsid w:val="00D46B89"/>
  </w:style>
  <w:style w:type="paragraph" w:styleId="Quote">
    <w:name w:val="Quote"/>
    <w:basedOn w:val="Heading1"/>
    <w:link w:val="QuoteChar"/>
    <w:qFormat/>
    <w:rsid w:val="00D46B89"/>
    <w:rPr>
      <w:b w:val="0"/>
      <w:sz w:val="72"/>
      <w:szCs w:val="72"/>
      <w:lang w:val="en-NZ"/>
    </w:rPr>
  </w:style>
  <w:style w:type="character" w:customStyle="1" w:styleId="QuoteChar">
    <w:name w:val="Quote Char"/>
    <w:basedOn w:val="DefaultParagraphFont"/>
    <w:link w:val="Quote"/>
    <w:rsid w:val="00D46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B89"/>
    <w:pPr>
      <w:pageBreakBefore/>
    </w:pPr>
  </w:style>
  <w:style w:type="paragraph" w:customStyle="1" w:styleId="Border">
    <w:name w:val="Border"/>
    <w:basedOn w:val="Normal"/>
    <w:qFormat/>
    <w:rsid w:val="00D46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B89"/>
    <w:rPr>
      <w:b/>
      <w:bCs/>
      <w:i/>
      <w:iCs/>
      <w:color w:val="auto"/>
    </w:rPr>
  </w:style>
  <w:style w:type="paragraph" w:styleId="IntenseQuote">
    <w:name w:val="Intense Quote"/>
    <w:basedOn w:val="Normal"/>
    <w:next w:val="Normal"/>
    <w:link w:val="IntenseQuoteChar"/>
    <w:uiPriority w:val="30"/>
    <w:qFormat/>
    <w:rsid w:val="00D46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B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6B89"/>
    <w:rPr>
      <w:smallCaps/>
      <w:color w:val="auto"/>
      <w:u w:val="single"/>
    </w:rPr>
  </w:style>
  <w:style w:type="character" w:styleId="IntenseReference">
    <w:name w:val="Intense Reference"/>
    <w:basedOn w:val="DefaultParagraphFont"/>
    <w:uiPriority w:val="32"/>
    <w:qFormat/>
    <w:rsid w:val="00D46B89"/>
    <w:rPr>
      <w:b/>
      <w:bCs/>
      <w:smallCaps/>
      <w:color w:val="auto"/>
      <w:spacing w:val="5"/>
      <w:u w:val="single"/>
    </w:rPr>
  </w:style>
  <w:style w:type="paragraph" w:customStyle="1" w:styleId="2ColumnHeading">
    <w:name w:val="2Column Heading"/>
    <w:basedOn w:val="BodyText"/>
    <w:qFormat/>
    <w:rsid w:val="00D46B89"/>
    <w:pPr>
      <w:spacing w:after="60"/>
      <w:ind w:left="-2268"/>
    </w:pPr>
    <w:rPr>
      <w:b/>
    </w:rPr>
  </w:style>
  <w:style w:type="paragraph" w:customStyle="1" w:styleId="Heading1TOC">
    <w:name w:val="Heading1 TOC"/>
    <w:basedOn w:val="Normal"/>
    <w:qFormat/>
    <w:rsid w:val="00D46B89"/>
    <w:pPr>
      <w:spacing w:before="240" w:after="120"/>
    </w:pPr>
    <w:rPr>
      <w:rFonts w:ascii="Times New Roman" w:hAnsi="Times New Roman"/>
      <w:b/>
      <w:sz w:val="32"/>
    </w:rPr>
  </w:style>
  <w:style w:type="paragraph" w:customStyle="1" w:styleId="Heading2TOC">
    <w:name w:val="Heading2 TOC"/>
    <w:basedOn w:val="Normal"/>
    <w:qFormat/>
    <w:rsid w:val="00D46B89"/>
    <w:pPr>
      <w:spacing w:before="240" w:after="60"/>
    </w:pPr>
    <w:rPr>
      <w:rFonts w:ascii="Times New Roman" w:hAnsi="Times New Roman"/>
      <w:b/>
      <w:sz w:val="28"/>
    </w:rPr>
  </w:style>
  <w:style w:type="character" w:customStyle="1" w:styleId="Underline">
    <w:name w:val="Underline"/>
    <w:basedOn w:val="DefaultParagraphFont"/>
    <w:qFormat/>
    <w:rsid w:val="00D46B89"/>
    <w:rPr>
      <w:u w:val="single"/>
    </w:rPr>
  </w:style>
  <w:style w:type="character" w:customStyle="1" w:styleId="BoldandItalics">
    <w:name w:val="Bold and Italics"/>
    <w:qFormat/>
    <w:rsid w:val="00D46B89"/>
    <w:rPr>
      <w:b/>
      <w:i/>
      <w:u w:val="none"/>
    </w:rPr>
  </w:style>
  <w:style w:type="paragraph" w:styleId="BalloonText">
    <w:name w:val="Balloon Text"/>
    <w:basedOn w:val="Normal"/>
    <w:link w:val="BalloonTextChar"/>
    <w:rsid w:val="00D46B89"/>
    <w:rPr>
      <w:rFonts w:ascii="Tahoma" w:hAnsi="Tahoma" w:cs="Tahoma"/>
      <w:sz w:val="16"/>
      <w:szCs w:val="16"/>
    </w:rPr>
  </w:style>
  <w:style w:type="character" w:customStyle="1" w:styleId="BalloonTextChar">
    <w:name w:val="Balloon Text Char"/>
    <w:basedOn w:val="DefaultParagraphFont"/>
    <w:link w:val="BalloonText"/>
    <w:rsid w:val="00D46B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6B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B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3371</Words>
  <Characters>21479</Characters>
  <Application>Microsoft Office Word</Application>
  <DocSecurity>0</DocSecurity>
  <Lines>718</Lines>
  <Paragraphs>282</Paragraphs>
  <ScaleCrop>false</ScaleCrop>
  <Company>Author-it Software Corporation Ltd.</Company>
  <LinksUpToDate>false</LinksUpToDate>
  <CharactersWithSpaces>24665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UETTDRDS31A Draft and layout a power system overhead distribution extension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2012-05-26T12:06:00Z</dcterms:created>
  <dcterms:modified xsi:type="dcterms:W3CDTF">2012-05-26T12:06:00Z</dcterms:modified>
</cp:coreProperties>
</file>