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73F0" w:rsidP="003D73F0">
      <w:pPr>
        <w:pStyle w:val="Title"/>
      </w:pPr>
      <w:bookmarkStart w:id="0" w:name="_GoBack"/>
      <w:bookmarkEnd w:id="0"/>
      <w:r>
        <w:fldChar w:fldCharType="begin"/>
      </w:r>
      <w:r>
        <w:instrText xml:space="preserve"> TITLE   \* MERGEFORMAT </w:instrText>
      </w:r>
      <w:r>
        <w:fldChar w:fldCharType="separate"/>
      </w:r>
      <w:r>
        <w:t>UETTDRDP15A Inspect, maintain and restore energised low voltage overhead distribution network infrastructure</w:t>
      </w:r>
      <w:r>
        <w:fldChar w:fldCharType="end"/>
      </w:r>
    </w:p>
    <w:p w:rsidR="003D73F0" w:rsidP="003D73F0">
      <w:pPr>
        <w:pStyle w:val="Version"/>
        <w:sectPr w:rsidSect="004773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3AF" w:rsidP="004773AF">
      <w:pPr>
        <w:pStyle w:val="SuperHeading"/>
      </w:pPr>
      <w:r w:rsidRPr="004773AF">
        <w:t>UETTDRDP15A Inspect, maintain and restore energised low voltage overhead distribution network infrastructure</w:t>
      </w:r>
    </w:p>
    <w:p w:rsidR="00000000" w:rsidRPr="004773AF" w:rsidP="004773AF">
      <w:pPr>
        <w:pStyle w:val="Heading1"/>
      </w:pPr>
      <w:bookmarkStart w:id="1" w:name="O_465560"/>
      <w:bookmarkEnd w:id="1"/>
      <w:r w:rsidRPr="004773AF">
        <w:t>Modification History</w:t>
      </w:r>
    </w:p>
    <w:p w:rsidR="00000000" w:rsidRPr="004773AF" w:rsidP="004773AF">
      <w:pPr>
        <w:pStyle w:val="BodyText"/>
      </w:pPr>
      <w:r w:rsidRPr="004773AF">
        <w:t>Not applicable.</w:t>
      </w:r>
    </w:p>
    <w:p w:rsidR="00000000" w:rsidRPr="004773AF" w:rsidP="004773AF">
      <w:pPr>
        <w:pStyle w:val="AllowPageBreak"/>
      </w:pPr>
    </w:p>
    <w:p w:rsidR="00000000" w:rsidRPr="004773AF" w:rsidP="004773AF">
      <w:pPr>
        <w:pStyle w:val="Heading1"/>
      </w:pPr>
      <w:bookmarkStart w:id="2" w:name="O_465558"/>
      <w:bookmarkEnd w:id="2"/>
      <w:r w:rsidRPr="004773AF">
        <w:t>Unit Descriptor</w:t>
      </w:r>
    </w:p>
    <w:tbl>
      <w:tblPr>
        <w:tblW w:w="0" w:type="auto"/>
        <w:tblLayout w:type="fixed"/>
        <w:tblCellMar>
          <w:left w:w="62" w:type="dxa"/>
          <w:right w:w="62" w:type="dxa"/>
        </w:tblCellMar>
        <w:tblLook w:val="0000"/>
      </w:tblPr>
      <w:tblGrid>
        <w:gridCol w:w="2700"/>
        <w:gridCol w:w="5760"/>
      </w:tblGrid>
      <w:tr w:rsidTr="003D7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1)</w:t>
            </w:r>
            <w:r w:rsidRPr="004773AF">
              <w:t xml:space="preserve"> </w:t>
            </w:r>
            <w:r w:rsidRPr="004773AF">
              <w:rPr>
                <w:rStyle w:val="SpecialBold"/>
              </w:rPr>
              <w:t>Scope:</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73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1.1) Descriptor</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 xml:space="preserve">This Competency Standard Unit covers the inspection of overhead structures such as poles and/or other structures other than towers and the </w:t>
            </w:r>
            <w:r w:rsidRPr="004773AF">
              <w:t>maintenance of overhead energised low voltage conductors and cables. It includes the conducting of low voltage switching operations involving the operation of circuit breaking and isolation devices from a given switching schedule and in accordance with ent</w:t>
            </w:r>
            <w:r w:rsidRPr="004773AF">
              <w:t>erprise procedures. It covers low voltage distribution systems in field situations but also includes paralleling in accordance with the switching schedule. It also includes inspection of electrical apparatus such as, overhead conductors and or cables, unde</w:t>
            </w:r>
            <w:r w:rsidRPr="004773AF">
              <w:t>rground and overhead transition points, electrical equipment, such as pole-mounted transformers, switchgear, hardware and or earthing systems. It encompasses the completion of inspection reports and other relevant documentation in accordance with requireme</w:t>
            </w:r>
            <w:r w:rsidRPr="004773AF">
              <w:t>nts.</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3" w:name="O_465547"/>
      <w:bookmarkEnd w:id="3"/>
      <w:r w:rsidRPr="004773AF">
        <w:t>Application of the Unit</w:t>
      </w:r>
    </w:p>
    <w:tbl>
      <w:tblPr>
        <w:tblW w:w="0" w:type="auto"/>
        <w:tblLayout w:type="fixed"/>
        <w:tblCellMar>
          <w:left w:w="62" w:type="dxa"/>
          <w:right w:w="62" w:type="dxa"/>
        </w:tblCellMar>
        <w:tblLook w:val="0000"/>
      </w:tblPr>
      <w:tblGrid>
        <w:gridCol w:w="2672"/>
        <w:gridCol w:w="5699"/>
      </w:tblGrid>
      <w:tr w:rsidTr="003D73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2)</w:t>
            </w:r>
          </w:p>
        </w:tc>
      </w:tr>
      <w:tr w:rsidTr="003D73F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This Competency Standard Unit is intended to augment formally acquired competencies. It is suitable for employment-based programs under an approved contract of training.</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4" w:name="O_465554"/>
      <w:bookmarkEnd w:id="4"/>
      <w:r w:rsidRPr="004773AF">
        <w:t>Licensing/Regulatory Information</w:t>
      </w:r>
    </w:p>
    <w:tbl>
      <w:tblPr>
        <w:tblW w:w="0" w:type="auto"/>
        <w:tblLayout w:type="fixed"/>
        <w:tblCellMar>
          <w:left w:w="62" w:type="dxa"/>
          <w:right w:w="62" w:type="dxa"/>
        </w:tblCellMar>
        <w:tblLook w:val="0000"/>
      </w:tblPr>
      <w:tblGrid>
        <w:gridCol w:w="2700"/>
        <w:gridCol w:w="5760"/>
      </w:tblGrid>
      <w:tr w:rsidTr="003D7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 xml:space="preserve">3)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 xml:space="preserve">The skills and knowledge described in this unit requires a licence/registration to practice in the work place subject to regulations for undertaking of electrical work. Practice in </w:t>
            </w:r>
            <w:r w:rsidRPr="004773AF">
              <w:t>workplace and during training is also subject to regulations directly related to Occupational Health and Safety, electricity/telecommunications/gas/water industry safety and compliance, industrial relations, environmental protection, anti discrimination an</w:t>
            </w:r>
            <w:r w:rsidRPr="004773AF">
              <w:t>d training. Commonwealth, State/Territory or Local Government legislation and regulations may exist that limits the age of operating certain equipment.</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5" w:name="O_465555"/>
      <w:bookmarkEnd w:id="5"/>
      <w:r w:rsidRPr="004773AF">
        <w:t>Pre-Requisites</w:t>
      </w:r>
    </w:p>
    <w:tbl>
      <w:tblPr>
        <w:tblW w:w="0" w:type="auto"/>
        <w:tblLayout w:type="fixed"/>
        <w:tblCellMar>
          <w:left w:w="62" w:type="dxa"/>
          <w:right w:w="62" w:type="dxa"/>
        </w:tblCellMar>
        <w:tblLook w:val="0000"/>
      </w:tblPr>
      <w:tblGrid>
        <w:gridCol w:w="2700"/>
        <w:gridCol w:w="2070"/>
        <w:gridCol w:w="3690"/>
      </w:tblGrid>
      <w:tr w:rsidTr="003D7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 xml:space="preserve">4)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4.1)</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Granting of competency in this unit shall be made only after competency in the following unit(s) has/have been confirmed.</w:t>
            </w:r>
          </w:p>
          <w:p w:rsidR="00000000" w:rsidRPr="004773AF" w:rsidP="004773AF">
            <w:pPr>
              <w:pStyle w:val="BodyText"/>
            </w:pPr>
            <w:r w:rsidRPr="004773AF">
              <w:t xml:space="preserve">Where pre-requisite pathways have been identified. All competencies in the Common Unit Group must be have been completed plus all the </w:t>
            </w:r>
            <w:r w:rsidRPr="004773AF">
              <w:t>competencies in one (1) of the identified Pathway Unit Group(s):</w:t>
            </w:r>
          </w:p>
          <w:p w:rsidR="00000000" w:rsidP="004773AF">
            <w:pPr>
              <w:pStyle w:val="BodyText"/>
              <w:rPr>
                <w:lang w:val="en-NZ"/>
              </w:rPr>
            </w:pPr>
            <w:r w:rsidRPr="004773AF">
              <w:t>Common Unit Group</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Unit Code</w:t>
            </w:r>
            <w:r w:rsidRPr="004773AF">
              <w:tab/>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Unit Title</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Apply Occupational Health and Safety regulations, codes and practices in the workplace</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Fabricate, assemble and dismantle utilities industry components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Solve problems in d.c.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Fix and secure electrotechnology equipment</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Use drawings, diagrams, schedules, standards, codes and specifications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Document and apply measures to control OHS risks associated with electrotechnology work</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Solve problems in single and three phase low voltage machines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 xml:space="preserve">Solve problems in single and three phase electrical apparatus and </w:t>
            </w:r>
            <w:r w:rsidRPr="004773AF">
              <w:t>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Arrange circuits, control and protection for general electrical installations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Solve problems in electromagnetic devices and related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Solve problems in electromagnetic devices and related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Install low voltage wiring and accessories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Install appliances, switchgear and associated accessories for low voltage electrical installations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Verify compliance and functionality of low voltage general electrical ins</w:t>
            </w:r>
            <w:r w:rsidRPr="004773AF">
              <w:t>tallations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Terminate cables, cords and accessories for low voltage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Select wiring systems and cables for low voltage general electrical installations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Trouble-shoot and repair faults in low voltage electrical apparatus and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Develop and connect electrical control circuits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Apply environmentally and sustainable energy procedures in the energy sector</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UETTDREL16A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 xml:space="preserve">Working </w:t>
            </w:r>
            <w:r w:rsidRPr="004773AF">
              <w:t xml:space="preserve">safely near live electrical apparatus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UETTDRIS46A</w:t>
            </w:r>
          </w:p>
        </w:tc>
        <w:tc>
          <w:tcPr>
            <w:tcW w:w="3690" w:type="dxa"/>
            <w:tcBorders>
              <w:top w:val="nil"/>
              <w:left w:val="nil"/>
              <w:bottom w:val="nil"/>
              <w:right w:val="nil"/>
            </w:tcBorders>
            <w:tcMar>
              <w:top w:w="0" w:type="dxa"/>
              <w:left w:w="62" w:type="dxa"/>
              <w:bottom w:w="0" w:type="dxa"/>
              <w:right w:w="62" w:type="dxa"/>
            </w:tcMar>
            <w:vAlign w:val="bottom"/>
          </w:tcPr>
          <w:p w:rsidR="00000000" w:rsidP="004773AF">
            <w:pPr>
              <w:pStyle w:val="BodyText"/>
              <w:rPr>
                <w:lang w:val="en-NZ"/>
              </w:rPr>
            </w:pPr>
            <w:r w:rsidRPr="004773AF">
              <w:t>Install and maintain ESI network infrastructure electrical equipment</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4773AF">
            <w:pPr>
              <w:pStyle w:val="BodyText"/>
              <w:rPr>
                <w:lang w:val="en-NZ"/>
              </w:rPr>
            </w:pPr>
            <w:r w:rsidRPr="004773AF">
              <w:t>Implement and monitor the power system organisational OHS policies, procedures and programs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4773AF">
            <w:pPr>
              <w:pStyle w:val="BodyText"/>
              <w:rPr>
                <w:lang w:val="en-NZ"/>
              </w:rPr>
            </w:pPr>
            <w:r w:rsidRPr="004773AF">
              <w:t>Implement and monitor the power system environmental and sustainable energy management policies and procedures</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UETTDRIS67A</w:t>
            </w:r>
          </w:p>
        </w:tc>
        <w:tc>
          <w:tcPr>
            <w:tcW w:w="3690" w:type="dxa"/>
            <w:tcBorders>
              <w:top w:val="nil"/>
              <w:left w:val="nil"/>
              <w:bottom w:val="nil"/>
              <w:right w:val="nil"/>
            </w:tcBorders>
            <w:tcMar>
              <w:top w:w="0" w:type="dxa"/>
              <w:left w:w="62" w:type="dxa"/>
              <w:bottom w:w="0" w:type="dxa"/>
              <w:right w:w="62" w:type="dxa"/>
            </w:tcMar>
            <w:vAlign w:val="center"/>
          </w:tcPr>
          <w:p w:rsidR="00000000" w:rsidRPr="004773AF" w:rsidP="004773AF">
            <w:pPr>
              <w:pStyle w:val="BodyText"/>
            </w:pPr>
            <w:r w:rsidRPr="004773AF">
              <w:t>Solve problems in energy supply network equipment</w:t>
            </w:r>
          </w:p>
        </w:tc>
      </w:tr>
    </w:tbl>
    <w:p w:rsidR="00000000" w:rsidRPr="004773AF" w:rsidP="004773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D73F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 xml:space="preserve">4.2)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Participants are best equipped to achieve this unit if they have reading, writing and numeracy skills indicated by the following scales. Description of each scale is given in Volume 2, Part 3 “Literacy and Numeracy”</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Reading</w:t>
            </w:r>
          </w:p>
        </w:tc>
        <w:tc>
          <w:tcPr>
            <w:tcW w:w="81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4</w:t>
            </w:r>
          </w:p>
        </w:tc>
        <w:tc>
          <w:tcPr>
            <w:tcW w:w="99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Writing</w:t>
            </w:r>
          </w:p>
        </w:tc>
        <w:tc>
          <w:tcPr>
            <w:tcW w:w="90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4</w:t>
            </w:r>
          </w:p>
        </w:tc>
        <w:tc>
          <w:tcPr>
            <w:tcW w:w="12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Numeracy</w:t>
            </w:r>
          </w:p>
        </w:tc>
        <w:tc>
          <w:tcPr>
            <w:tcW w:w="72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4</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6" w:name="O_465551"/>
      <w:bookmarkEnd w:id="6"/>
      <w:r w:rsidRPr="004773AF">
        <w:t>Employability Skills Information</w:t>
      </w:r>
    </w:p>
    <w:tbl>
      <w:tblPr>
        <w:tblW w:w="0" w:type="auto"/>
        <w:tblLayout w:type="fixed"/>
        <w:tblCellMar>
          <w:left w:w="62" w:type="dxa"/>
          <w:right w:w="62" w:type="dxa"/>
        </w:tblCellMar>
        <w:tblLook w:val="0000"/>
      </w:tblPr>
      <w:tblGrid>
        <w:gridCol w:w="2700"/>
        <w:gridCol w:w="5760"/>
      </w:tblGrid>
      <w:tr w:rsidTr="003D7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 xml:space="preserve">5)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The required outcomes described in this unit of competency contain applicable facets of Employability Skills. The Employability Skills Summary of the qualification in w</w:t>
            </w:r>
            <w:r w:rsidRPr="004773AF">
              <w:t>hich this unit of competency is packaged will assist in identifying Employability Skill requirements.</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7" w:name="O_465550"/>
      <w:bookmarkEnd w:id="7"/>
      <w:r w:rsidRPr="004773AF">
        <w:t>Elements and Performance Criteria Pre-Content</w:t>
      </w:r>
    </w:p>
    <w:tbl>
      <w:tblPr>
        <w:tblW w:w="0" w:type="auto"/>
        <w:tblLayout w:type="fixed"/>
        <w:tblCellMar>
          <w:left w:w="62" w:type="dxa"/>
          <w:right w:w="62" w:type="dxa"/>
        </w:tblCellMar>
        <w:tblLook w:val="0000"/>
      </w:tblPr>
      <w:tblGrid>
        <w:gridCol w:w="2700"/>
        <w:gridCol w:w="5760"/>
      </w:tblGrid>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6)</w:t>
            </w:r>
            <w:r w:rsidRPr="004773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Performance Cri</w:t>
            </w:r>
            <w:r w:rsidRPr="004773AF">
              <w:t>teria describe the required performance needed to demonstrate achievement of the element. Assessment of performance is to be consistent with the Evidence Guide.</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8" w:name="O_465549"/>
      <w:bookmarkEnd w:id="8"/>
      <w:r w:rsidRPr="004773AF">
        <w:t>Elements and Performance Criteria</w:t>
      </w:r>
    </w:p>
    <w:tbl>
      <w:tblPr>
        <w:tblW w:w="0" w:type="auto"/>
        <w:tblLayout w:type="fixed"/>
        <w:tblCellMar>
          <w:left w:w="62" w:type="dxa"/>
          <w:right w:w="62" w:type="dxa"/>
        </w:tblCellMar>
        <w:tblLook w:val="0000"/>
      </w:tblPr>
      <w:tblGrid>
        <w:gridCol w:w="405"/>
        <w:gridCol w:w="2155"/>
        <w:gridCol w:w="50"/>
        <w:gridCol w:w="921"/>
        <w:gridCol w:w="4764"/>
        <w:gridCol w:w="165"/>
      </w:tblGrid>
      <w:tr w:rsidTr="003D73F0">
        <w:tblPrEx>
          <w:tblW w:w="0" w:type="auto"/>
          <w:tblLayout w:type="fixed"/>
          <w:tblCellMar>
            <w:left w:w="62" w:type="dxa"/>
            <w:right w:w="62" w:type="dxa"/>
          </w:tblCellMar>
          <w:tblLook w:val="0000"/>
        </w:tblPrEx>
        <w:trPr>
          <w:tblHeader/>
        </w:trPr>
        <w:tc>
          <w:tcPr>
            <w:tcW w:w="2610" w:type="dxa"/>
            <w:gridSpan w:val="3"/>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ELEMENT</w:t>
            </w:r>
          </w:p>
        </w:tc>
        <w:tc>
          <w:tcPr>
            <w:tcW w:w="5850" w:type="dxa"/>
            <w:gridSpan w:val="3"/>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PERFORMANCE CRITERIA</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w:t>
            </w:r>
          </w:p>
        </w:tc>
        <w:tc>
          <w:tcPr>
            <w:tcW w:w="2155" w:type="dxa"/>
            <w:vMerge w:val="restart"/>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Prepare for the inspection, maintenance and restoration of overhead distribution network infrastructure</w:t>
            </w: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Works schedule(s), including drawings, plans, requirements, established procedures, and material lists, are received, analysed and confirmed, if nec</w:t>
            </w:r>
            <w:r w:rsidRPr="004773AF">
              <w:t>essary, by site inspection.</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1.2</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Relevant requirements and established procedures for the work are communicated to all personnel and identified for all work sites.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1.3</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OHS policies and procedures related to requirements and established procedures for the, inspection of overhead structures and electrical apparatus used on poles and/or structures, the maintenance of overhead energised LV conductors and cables and LV switch</w:t>
            </w:r>
            <w:r w:rsidRPr="004773AF">
              <w:t>ing, are obtained and confirmed for the purposes of the work to be performed and communicated.</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1.4</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Physical loads and calculations are confirmed according to requirements, using essential knowledge and appropriate skill.</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1.5</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Work is prioritised and s</w:t>
            </w:r>
            <w:r w:rsidRPr="004773AF">
              <w:t>equenced following consultation with others for completion within acceptable timeframes and in accordance with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1.6</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Hazards are identified, OHS risks assessed and control measures are prioritised, implemented and monitored including emergency exits kept clear according to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1.7</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Relevant work permits are obtained to access and perform work accord</w:t>
            </w:r>
            <w:r w:rsidRPr="004773AF">
              <w:t>ing to requirements and/or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1.8</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Resources including personnel, equipment, tools and personal protective equipment required for the job are obtained and confirmed in working order.</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1.9</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Specialist equipment for live working is in</w:t>
            </w:r>
            <w:r w:rsidRPr="004773AF">
              <w:t>spected and confined in working order as per requirements and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1.10</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Relevant personnel at worksite are confirmed current in First Aid, Pole Top Rescue and other related work procedures according to requirements.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1.11</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Liaison and communication issues with other/authorised personnel, authorities, clients and land owners are resolved to carry out work where necessary.</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1.12</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Site is prepared according to the work schedule and to minimise risk and damage to property, comm</w:t>
            </w:r>
            <w:r w:rsidRPr="004773AF">
              <w:t>erce, and individuals in accordance with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1.13</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Personnel participating in the work, including plant operators and contractors, are fully briefed and respective responsibilities confirmed where applicable in accordance with establi</w:t>
            </w:r>
            <w:r w:rsidRPr="004773AF">
              <w:t>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1.14</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Traffic management plan is identified and implemented.</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w:t>
            </w:r>
          </w:p>
        </w:tc>
        <w:tc>
          <w:tcPr>
            <w:tcW w:w="2155" w:type="dxa"/>
            <w:vMerge w:val="restart"/>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Carry out inspection, maintenance and restoration of overhead distribution network infrastructure</w:t>
            </w: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2.1</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 xml:space="preserve">OHS, sustainable energy and </w:t>
            </w:r>
            <w:r w:rsidRPr="004773AF">
              <w:t>environmental principles and practices to reduce the incidents of accidents and minimise waste are monitored and followed in accordance with requirements and/or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2.2</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Lifting, climbing, working in confined spaces and aloft, and use</w:t>
            </w:r>
            <w:r w:rsidRPr="004773AF">
              <w:t xml:space="preserve"> of power tools/equipment, techniques and practices are safely followed and, currency according to requirements confirmed.</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2.3</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Essential knowledge and associated skills are applied in the safe maintenance and restoration of overhead distribution network infrastructure to ensure completion in an agreed timeframe and, to quality standards with a minimum of waste according to require</w:t>
            </w:r>
            <w:r w:rsidRPr="004773AF">
              <w:t>ments.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2.4</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Inspection of overhead structures and electrical apparatus used on poles and/or structures is carried out, in accordance with the work schedule and requirements/established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2.5</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Maintenance, including repair and/or replacement o</w:t>
            </w:r>
            <w:r w:rsidRPr="004773AF">
              <w:t>f poles and/or structures is carried out, in accordance with the work schedule and requirements/established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2.6</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Communications with Switching Control Officer are established and maintained throughout the isolation operation according to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2.7</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Electrical equipment and associated circuits line/network or work site to be switched including para</w:t>
            </w:r>
            <w:r w:rsidRPr="004773AF">
              <w:t>lleling is isolated and proved de-energised using appropriate devices and earthed where required according to requirements and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2.8</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Hazard warnings and safety signs are recognised and hazards and assessed OHS risks are reported to</w:t>
            </w:r>
            <w:r w:rsidRPr="004773AF">
              <w:t xml:space="preserve"> the immediate authorised persons for directions according to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2.9</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Unplanned events during the inspection, maintenance or switching procedures are undertaken within the scope of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2.10</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Known solutions to a variety of problems are applied using acquired essential knowledge and associated skills.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2.11</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Ongoing checks of quality of the work are undertaken in accordance with instructions and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w:t>
            </w:r>
          </w:p>
        </w:tc>
        <w:tc>
          <w:tcPr>
            <w:tcW w:w="2155" w:type="dxa"/>
            <w:vMerge w:val="restart"/>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Complete the inspecti</w:t>
            </w:r>
            <w:r w:rsidRPr="004773AF">
              <w:t>on, maintenance and restoration of overhead distribution network infrastructure</w:t>
            </w: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3.1</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Work undertaken is checked against works schedule for conformance with requirements and anomalies reported in accordance with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3.2</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Accidents and/or injuries are reported in accordance with requirements/established procedures, where applicable.</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3.3</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Work site is rehabilitated, cleaned up and made safe in accordance with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3.4</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 xml:space="preserve">Tools, equipment and any surplus </w:t>
            </w:r>
            <w:r w:rsidRPr="004773AF">
              <w:t>resources and materials are, where appropriate, cleaned, checked and returned to storage or disposed of in accordance with established procedures.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3.5</w:t>
            </w:r>
          </w:p>
        </w:tc>
        <w:tc>
          <w:tcPr>
            <w:tcW w:w="4764"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Relevant work permit(s) are signed off and, overhead structures and electrical apparatus used on poles and/or structures are returned to service in accordance with requirements.</w:t>
            </w:r>
          </w:p>
        </w:tc>
      </w:tr>
      <w:tr w:rsidTr="003D73F0">
        <w:tblPrEx>
          <w:tblW w:w="0" w:type="auto"/>
          <w:tblLayout w:type="fixed"/>
          <w:tblCellMar>
            <w:left w:w="62" w:type="dxa"/>
            <w:right w:w="62" w:type="dxa"/>
          </w:tblCellMar>
          <w:tblLook w:val="0000"/>
        </w:tblPrEx>
        <w:trPr>
          <w:gridAfter w:val="1"/>
          <w:wAfter w:w="165" w:type="dxa"/>
        </w:trPr>
        <w:tc>
          <w:tcPr>
            <w:tcW w:w="4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gridSpan w:val="2"/>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t>3.6</w:t>
            </w:r>
          </w:p>
        </w:tc>
        <w:tc>
          <w:tcPr>
            <w:tcW w:w="4764"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Works completion records, reports, as installed /modified drawing and/o</w:t>
            </w:r>
            <w:r w:rsidRPr="004773AF">
              <w:t>r documentation and information are finalised and processed and appropriate personnel notified.</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9" w:name="O_465557"/>
      <w:bookmarkEnd w:id="9"/>
      <w:r w:rsidRPr="004773AF">
        <w:t>Required Skills and Knowledge</w:t>
      </w:r>
    </w:p>
    <w:tbl>
      <w:tblPr>
        <w:tblW w:w="0" w:type="auto"/>
        <w:tblLayout w:type="fixed"/>
        <w:tblCellMar>
          <w:left w:w="62" w:type="dxa"/>
          <w:right w:w="62" w:type="dxa"/>
        </w:tblCellMar>
        <w:tblLook w:val="0000"/>
      </w:tblPr>
      <w:tblGrid>
        <w:gridCol w:w="8460"/>
      </w:tblGrid>
      <w:tr w:rsidTr="003D73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REQUIRED SKILLS AND KNOWLEDGE</w:t>
            </w:r>
          </w:p>
        </w:tc>
      </w:tr>
      <w:tr w:rsidTr="003D73F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8)</w:t>
            </w:r>
            <w:r w:rsidRPr="004773AF">
              <w:t xml:space="preserve"> Essential Knowledge and Associated Skills (EKAS): This describes the essentia</w:t>
            </w:r>
            <w:r w:rsidRPr="004773AF">
              <w:t>l skills and knowledge and their level, required for this unit.</w:t>
            </w:r>
          </w:p>
          <w:p w:rsidR="00000000" w:rsidRPr="004773AF" w:rsidP="004773AF">
            <w:pPr>
              <w:pStyle w:val="BodyText"/>
            </w:pPr>
            <w:r w:rsidRPr="004773AF">
              <w:t>Evidence shall show that knowledge has been acquired of inspecting, maintenance and restoration of overhead distribution network infrastructure.</w:t>
            </w:r>
          </w:p>
          <w:p w:rsidR="00000000" w:rsidRPr="004773AF" w:rsidP="004773AF">
            <w:pPr>
              <w:pStyle w:val="BodyText"/>
            </w:pPr>
            <w:r w:rsidRPr="004773AF">
              <w:t>All knowledge and skills detailed in this unit should be contextualised to current industry practices and technologies.</w:t>
            </w:r>
          </w:p>
          <w:p w:rsidR="00000000" w:rsidRPr="004773AF" w:rsidP="004773AF">
            <w:pPr>
              <w:pStyle w:val="BodyText"/>
            </w:pPr>
            <w:r w:rsidRPr="004773AF">
              <w:t xml:space="preserve">KS01-TDP15A </w:t>
            </w:r>
            <w:r w:rsidRPr="004773AF">
              <w:tab/>
              <w:t xml:space="preserve">Network infrastructure LV overhead distribution </w:t>
            </w:r>
          </w:p>
          <w:p w:rsidR="00000000" w:rsidRPr="004773AF" w:rsidP="004773AF">
            <w:pPr>
              <w:pStyle w:val="BodyText"/>
            </w:pPr>
            <w:r w:rsidRPr="004773AF">
              <w:t>Evidence shall show an understanding of the network infrastructure inspect</w:t>
            </w:r>
            <w:r w:rsidRPr="004773AF">
              <w:t>ion, maintenance and restoration of energised low voltage overhead distribution to an extent indicated by the following aspects:</w:t>
            </w:r>
          </w:p>
          <w:p w:rsidR="00000000" w:rsidRPr="004773AF" w:rsidP="004773AF">
            <w:pPr>
              <w:pStyle w:val="BodyText"/>
            </w:pPr>
            <w:r w:rsidRPr="004773AF">
              <w:t>T1</w:t>
            </w:r>
            <w:r w:rsidRPr="004773AF">
              <w:tab/>
              <w:t>Powerline safety practices encompassing:</w:t>
            </w:r>
          </w:p>
          <w:p w:rsidR="00000000" w:rsidRPr="004773AF" w:rsidP="004773AF">
            <w:pPr>
              <w:pStyle w:val="ListBullet"/>
            </w:pPr>
            <w:r w:rsidRPr="004773AF">
              <w:t>Protective apparatus and apparel for linework - responsibilities for the selection,</w:t>
            </w:r>
            <w:r w:rsidRPr="004773AF">
              <w:t xml:space="preserve"> use, maintenance and storage of protective apparatus and apparel and the types of protective apparatus and apparel used for the line worker</w:t>
            </w:r>
          </w:p>
          <w:p w:rsidR="00000000" w:rsidRPr="004773AF" w:rsidP="004773AF">
            <w:pPr>
              <w:pStyle w:val="ListBullet"/>
            </w:pPr>
            <w:r w:rsidRPr="004773AF">
              <w:t>Requirements for the use of ladders - carrying, erecting, collapsing and lowering different types of extension ladd</w:t>
            </w:r>
            <w:r w:rsidRPr="004773AF">
              <w:t>er against a standing pole, maintenance checks on different types of ladders, renewal of extension ropes and the safety issues relating to clearances from overhead conductors</w:t>
            </w:r>
          </w:p>
          <w:p w:rsidR="00000000" w:rsidRPr="004773AF" w:rsidP="004773AF">
            <w:pPr>
              <w:pStyle w:val="ListBullet"/>
            </w:pPr>
            <w:r w:rsidRPr="004773AF">
              <w:t xml:space="preserve">Requirements for climbing and working aloft - methods used to identify a pole is </w:t>
            </w:r>
            <w:r w:rsidRPr="004773AF">
              <w:t>safe to climb, methods used to inspect a line worker’s body belt, application of knots and hitches appropriate to the requirements of a line worker, height safety principles including personal fall protection, prevention and related requirements, and the p</w:t>
            </w:r>
            <w:r w:rsidRPr="004773AF">
              <w:t>ractical procedure of climbing an overhead structure and fitting a pole chair</w:t>
            </w:r>
          </w:p>
          <w:p w:rsidR="00000000" w:rsidRPr="004773AF" w:rsidP="004773AF">
            <w:pPr>
              <w:pStyle w:val="ListBullet"/>
            </w:pPr>
            <w:r w:rsidRPr="004773AF">
              <w:t>Traffic management - purpose of traffic management and a line worker’s responsibilities in accordance with relevant statutory requirements and electricity supply industry require</w:t>
            </w:r>
            <w:r w:rsidRPr="004773AF">
              <w:t>ments, demonstration of the procedure used to provide an effective traffic management scheme and the use of a two-way radio</w:t>
            </w:r>
          </w:p>
          <w:p w:rsidR="00000000" w:rsidRPr="004773AF" w:rsidP="004773AF">
            <w:pPr>
              <w:pStyle w:val="ListBullet"/>
            </w:pPr>
            <w:r w:rsidRPr="004773AF">
              <w:t>Control of small fires - identification, selection and operation of the appropriate extinguishing mediums for various types of fires</w:t>
            </w:r>
            <w:r w:rsidRPr="004773AF">
              <w:t>, general fire prevention methods and the precautions for personal protection when fighting small fires</w:t>
            </w:r>
          </w:p>
          <w:p w:rsidR="00000000" w:rsidRPr="004773AF" w:rsidP="004773AF">
            <w:pPr>
              <w:pStyle w:val="ListBullet"/>
            </w:pPr>
            <w:r w:rsidRPr="004773AF">
              <w:t xml:space="preserve">Rescue victims from heights and confined spaces - planning, identifying, the procedures, and establishing responses, developing techniques, involvement </w:t>
            </w:r>
            <w:r w:rsidRPr="004773AF">
              <w:t>of external emergency services and practical demonstration/rehearsals of rescuing a person from heights and from confined spaces and emergency procedures for the rescue of an electric shock victim including CPR</w:t>
            </w:r>
          </w:p>
          <w:p w:rsidR="00000000" w:rsidRPr="004773AF" w:rsidP="004773AF">
            <w:pPr>
              <w:pStyle w:val="ListBullet"/>
            </w:pPr>
            <w:r w:rsidRPr="004773AF">
              <w:t xml:space="preserve">Requirements for aerial linework - planning, </w:t>
            </w:r>
            <w:r w:rsidRPr="004773AF">
              <w:t>establishing and implementing relevant aviation authority clearances, determining system requirements, aircrew familiarisation with network operations and equipment, requirements for effective communications operations for aerial work.</w:t>
            </w:r>
          </w:p>
          <w:p w:rsidR="00000000" w:rsidRPr="004773AF" w:rsidP="004773AF">
            <w:pPr>
              <w:pStyle w:val="BodyText"/>
            </w:pPr>
            <w:r w:rsidRPr="004773AF">
              <w:t>T2</w:t>
            </w:r>
            <w:r w:rsidRPr="004773AF">
              <w:tab/>
              <w:t>Low voltage - ene</w:t>
            </w:r>
            <w:r w:rsidRPr="004773AF">
              <w:t>rgised low voltage equipment working practices for substations encompassing:</w:t>
            </w:r>
          </w:p>
          <w:p w:rsidR="00000000" w:rsidRPr="004773AF" w:rsidP="004773AF">
            <w:pPr>
              <w:pStyle w:val="ListBullet"/>
            </w:pPr>
            <w:r w:rsidRPr="004773AF">
              <w:t>Standards, codes, Commonwealth, State/Territory/local government legislation, supply authority regulations and or enterprise requirements</w:t>
            </w:r>
          </w:p>
          <w:p w:rsidR="00000000" w:rsidRPr="004773AF" w:rsidP="004773AF">
            <w:pPr>
              <w:pStyle w:val="ListBullet"/>
            </w:pPr>
            <w:r w:rsidRPr="004773AF">
              <w:t>Safety precautions specific to working on</w:t>
            </w:r>
            <w:r w:rsidRPr="004773AF">
              <w:t xml:space="preserve"> or near energised low voltage conductors - safe working practices and procedures, identification of hazards, assessment and control of OHS risks, types, selection, maintenance and use of personal protective equipment.</w:t>
            </w:r>
          </w:p>
          <w:p w:rsidR="00000000" w:rsidRPr="004773AF" w:rsidP="004773AF">
            <w:pPr>
              <w:pStyle w:val="ListBullet"/>
            </w:pPr>
            <w:r w:rsidRPr="004773AF">
              <w:t>Work on or near energised LV conducto</w:t>
            </w:r>
            <w:r w:rsidRPr="004773AF">
              <w:t xml:space="preserve">rs - types and function of specialised tools, safe working practices when using specialised tools, methods of using specialised tools, safe procedures for work on panels and in cubicles on or near energised LV conductors, release and rescue procedures for </w:t>
            </w:r>
            <w:r w:rsidRPr="004773AF">
              <w:t>work on or near exposed energised LV conductors.</w:t>
            </w:r>
          </w:p>
          <w:p w:rsidR="00000000" w:rsidRPr="004773AF" w:rsidP="004773AF">
            <w:pPr>
              <w:pStyle w:val="BodyText"/>
            </w:pPr>
            <w:r w:rsidRPr="004773AF">
              <w:t>T3</w:t>
            </w:r>
            <w:r w:rsidRPr="004773AF">
              <w:tab/>
              <w:t>Poles and structures inspection principles encompassing:</w:t>
            </w:r>
          </w:p>
          <w:p w:rsidR="00000000" w:rsidRPr="004773AF" w:rsidP="004773AF">
            <w:pPr>
              <w:pStyle w:val="ListBullet"/>
            </w:pPr>
            <w:r w:rsidRPr="004773AF">
              <w:t>Standards, codes, legislation, supply authority regulations and or enterprise requirements</w:t>
            </w:r>
          </w:p>
          <w:p w:rsidR="00000000" w:rsidRPr="004773AF" w:rsidP="004773AF">
            <w:pPr>
              <w:pStyle w:val="ListBullet"/>
            </w:pPr>
            <w:r w:rsidRPr="004773AF">
              <w:t>Characteristics of wood used for structures within the e</w:t>
            </w:r>
            <w:r w:rsidRPr="004773AF">
              <w:t>lectrical distribution system - relationship between timber and water, faults that occur that influence the integrity of the structure, affects of fungal activity, affects of termite and borer activity, affects of dry rot.</w:t>
            </w:r>
          </w:p>
          <w:p w:rsidR="00000000" w:rsidRPr="004773AF" w:rsidP="004773AF">
            <w:pPr>
              <w:pStyle w:val="ListBullet"/>
            </w:pPr>
            <w:r w:rsidRPr="004773AF">
              <w:t>Chemical treatment principles - t</w:t>
            </w:r>
            <w:r w:rsidRPr="004773AF">
              <w:t>ypes of chemical used to treat timber, regulations and procedures in handling and transporting chemicals safely, application procedures of chemicals to wood</w:t>
            </w:r>
          </w:p>
          <w:p w:rsidR="00000000" w:rsidRPr="004773AF" w:rsidP="004773AF">
            <w:pPr>
              <w:pStyle w:val="ListBullet"/>
            </w:pPr>
            <w:r w:rsidRPr="004773AF">
              <w:t>Deterioration prevention techniques - relationship between steel, concrete and wood, inspection pro</w:t>
            </w:r>
            <w:r w:rsidRPr="004773AF">
              <w:t>cedures for deterioration, deterioration prevention procedures in steel, concrete and wood, procedures for the repair of deterioration in steel, concrete and wood</w:t>
            </w:r>
          </w:p>
          <w:p w:rsidR="00000000" w:rsidRPr="004773AF" w:rsidP="004773AF">
            <w:pPr>
              <w:pStyle w:val="BodyText"/>
            </w:pPr>
            <w:r w:rsidRPr="004773AF">
              <w:t>T4</w:t>
            </w:r>
            <w:r w:rsidRPr="004773AF">
              <w:tab/>
              <w:t>Powerline inspection principles encompassing:</w:t>
            </w:r>
          </w:p>
          <w:p w:rsidR="00000000" w:rsidRPr="004773AF" w:rsidP="004773AF">
            <w:pPr>
              <w:pStyle w:val="ListBullet"/>
            </w:pPr>
            <w:r w:rsidRPr="004773AF">
              <w:t>Standards, codes, legislation, supply author</w:t>
            </w:r>
            <w:r w:rsidRPr="004773AF">
              <w:t>ity regulations and or enterprise requirements</w:t>
            </w:r>
          </w:p>
          <w:p w:rsidR="00000000" w:rsidRPr="004773AF" w:rsidP="004773AF">
            <w:pPr>
              <w:pStyle w:val="ListBullet"/>
            </w:pPr>
            <w:r w:rsidRPr="004773AF">
              <w:t>Ground line inspection procedures of electrical distribution structures - requirements for pole inspection on electrical distribution structures, use of specific equipment and testing devices during testing/in</w:t>
            </w:r>
            <w:r w:rsidRPr="004773AF">
              <w:t>spection, methods of recording data</w:t>
            </w:r>
          </w:p>
          <w:p w:rsidR="00000000" w:rsidRPr="004773AF" w:rsidP="004773AF">
            <w:pPr>
              <w:pStyle w:val="ListBullet"/>
            </w:pPr>
            <w:r w:rsidRPr="004773AF">
              <w:t>Overhead line inspection procedures of electrical distribution structures - methods and requirements for overhead line inspection on electrical distribution structures, clearances for overhead conductors, cables and stru</w:t>
            </w:r>
            <w:r w:rsidRPr="004773AF">
              <w:t>ctures, use of specific equipment and testing devices during testing/inspection, methods of recording data</w:t>
            </w:r>
          </w:p>
          <w:p w:rsidR="00000000" w:rsidRPr="004773AF" w:rsidP="004773AF">
            <w:pPr>
              <w:pStyle w:val="ListBullet"/>
            </w:pPr>
            <w:r w:rsidRPr="004773AF">
              <w:t>Underground cable inspection procedures in the electrical distribution system - state industry policy and regulations, methods and requirements for l</w:t>
            </w:r>
            <w:r w:rsidRPr="004773AF">
              <w:t>ine inspection on underground cable terminations</w:t>
            </w:r>
          </w:p>
          <w:p w:rsidR="00000000" w:rsidRPr="004773AF" w:rsidP="004773AF">
            <w:pPr>
              <w:pStyle w:val="BodyText"/>
            </w:pPr>
            <w:r w:rsidRPr="004773AF">
              <w:t>T5</w:t>
            </w:r>
            <w:r w:rsidRPr="004773AF">
              <w:tab/>
              <w:t>Installation of switchgear and associated equipment encompassing:</w:t>
            </w:r>
          </w:p>
          <w:p w:rsidR="00000000" w:rsidRPr="004773AF" w:rsidP="004773AF">
            <w:pPr>
              <w:pStyle w:val="ListBullet"/>
            </w:pPr>
            <w:r w:rsidRPr="004773AF">
              <w:t xml:space="preserve">Types and function of various switchgear - isolators, air-break switches, gas-filled switches, vacuum type, links, fuses, </w:t>
            </w:r>
            <w:r w:rsidRPr="004773AF">
              <w:t>oil disconnectors, fuse switches, circuit breakers, operating characteristics, advantages and disadvantages of different types switchgear, installation procedures, earthing, requirements and techniques</w:t>
            </w:r>
          </w:p>
          <w:p w:rsidR="00000000" w:rsidRPr="004773AF" w:rsidP="004773AF">
            <w:pPr>
              <w:pStyle w:val="ListBullet"/>
            </w:pPr>
            <w:r w:rsidRPr="004773AF">
              <w:t>Types of equipment - transformers, reactors, regulator</w:t>
            </w:r>
            <w:r w:rsidRPr="004773AF">
              <w:t>s, capacitors, relays, surge arrestors, fault indicators and mobile generators</w:t>
            </w:r>
          </w:p>
          <w:p w:rsidR="00000000" w:rsidRPr="004773AF" w:rsidP="004773AF">
            <w:pPr>
              <w:pStyle w:val="ListBullet"/>
            </w:pPr>
            <w:r w:rsidRPr="004773AF">
              <w:t>Installation procedures for switchgear and equipment - standards, codes, legislation, supply authority regulations and or enterprise requirements, assembly and erecting procedur</w:t>
            </w:r>
            <w:r w:rsidRPr="004773AF">
              <w:t>es, earthing requirements and techniques, pole mounted locations</w:t>
            </w:r>
          </w:p>
          <w:p w:rsidR="00000000" w:rsidRPr="004773AF" w:rsidP="004773AF">
            <w:pPr>
              <w:pStyle w:val="ListBullet"/>
            </w:pPr>
            <w:r w:rsidRPr="004773AF">
              <w:t xml:space="preserve">Maintenance procedures for switchgear and equipment - diagnosing and rectifying faults according to electricity supply industry standards and procedures, </w:t>
            </w:r>
          </w:p>
          <w:p w:rsidR="00000000" w:rsidRPr="004773AF" w:rsidP="004773AF">
            <w:pPr>
              <w:pStyle w:val="ListBullet"/>
            </w:pPr>
            <w:r w:rsidRPr="004773AF">
              <w:t>Testing and commissioning - electric</w:t>
            </w:r>
            <w:r w:rsidRPr="004773AF">
              <w:t>ity supply industry standards and procedures</w:t>
            </w:r>
          </w:p>
          <w:p w:rsidR="00000000" w:rsidRPr="004773AF" w:rsidP="004773AF">
            <w:pPr>
              <w:pStyle w:val="BodyText"/>
            </w:pPr>
            <w:r w:rsidRPr="004773AF">
              <w:t>T6</w:t>
            </w:r>
            <w:r w:rsidRPr="004773AF">
              <w:tab/>
              <w:t>Low voltage switching principles encompassing:</w:t>
            </w:r>
          </w:p>
          <w:p w:rsidR="00000000" w:rsidRPr="004773AF" w:rsidP="004773AF">
            <w:pPr>
              <w:pStyle w:val="ListBullet"/>
            </w:pPr>
            <w:r w:rsidRPr="004773AF">
              <w:t>Standards, codes, legislation, supply authority regulations and or enterprise requirements applicable to switching of low voltage to a given schedule</w:t>
            </w:r>
          </w:p>
          <w:p w:rsidR="00000000" w:rsidRPr="004773AF" w:rsidP="004773AF">
            <w:pPr>
              <w:pStyle w:val="ListBullet"/>
            </w:pPr>
            <w:r w:rsidRPr="004773AF">
              <w:t>Requirement</w:t>
            </w:r>
            <w:r w:rsidRPr="004773AF">
              <w:t xml:space="preserve">s for the use of manuals, system diagrams/plans and drawings - types, characteristics and capabilities of electrical apparatus, use, characteristics and capabilities of specialised tools and testing equipment, LV network interconnectors source of possible </w:t>
            </w:r>
            <w:r w:rsidRPr="004773AF">
              <w:t>backfeed</w:t>
            </w:r>
          </w:p>
          <w:p w:rsidR="00000000" w:rsidRPr="004773AF" w:rsidP="004773AF">
            <w:pPr>
              <w:pStyle w:val="ListBullet"/>
            </w:pPr>
            <w:r w:rsidRPr="004773AF">
              <w:t>Low voltage switching techniques - identifying hazards, assessing and controlling risks associated with LV switching operations, electrical access permit(s), operational procedures, earthing procedures</w:t>
            </w:r>
          </w:p>
          <w:p w:rsidR="00000000" w:rsidRPr="004773AF" w:rsidP="004773AF">
            <w:pPr>
              <w:pStyle w:val="ListBullet"/>
            </w:pPr>
            <w:r w:rsidRPr="004773AF">
              <w:t>Personnel protective equipment (PPE) for LV s</w:t>
            </w:r>
            <w:r w:rsidRPr="004773AF">
              <w:t>witching</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10" w:name="O_465552"/>
      <w:bookmarkEnd w:id="10"/>
      <w:r w:rsidRPr="004773AF">
        <w:t>Evidence Guide</w:t>
      </w:r>
    </w:p>
    <w:tbl>
      <w:tblPr>
        <w:tblW w:w="0" w:type="auto"/>
        <w:tblLayout w:type="fixed"/>
        <w:tblCellMar>
          <w:left w:w="62" w:type="dxa"/>
          <w:right w:w="62" w:type="dxa"/>
        </w:tblCellMar>
        <w:tblLook w:val="0000"/>
      </w:tblPr>
      <w:tblGrid>
        <w:gridCol w:w="8460"/>
      </w:tblGrid>
      <w:tr w:rsidTr="003D73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EVIDENCE GUIDE</w:t>
            </w:r>
          </w:p>
        </w:tc>
      </w:tr>
      <w:tr w:rsidTr="003D73F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9)</w:t>
            </w:r>
            <w:r w:rsidRPr="004773AF">
              <w:t xml:space="preserve"> This provides essential advice for assessment of the unit of competency and must be read in conjunction with the performance criteria and the range statement of the unit of competen</w:t>
            </w:r>
            <w:r w:rsidRPr="004773AF">
              <w:t>cy and the Training Package Assessment Guidelines.</w:t>
            </w:r>
          </w:p>
          <w:p w:rsidR="00000000" w:rsidRPr="004773AF" w:rsidP="004773AF">
            <w:pPr>
              <w:pStyle w:val="BodyText"/>
            </w:pPr>
            <w:r w:rsidRPr="004773AF">
              <w:t>The Evidence Guide forms an integral part of this Competency Standard Unit and shall be used in conjunction with all component parts of this unit and, performed in accordance with the Assessment Guidelines</w:t>
            </w:r>
            <w:r w:rsidRPr="004773AF">
              <w:t xml:space="preserve"> of this Training Package.</w:t>
            </w:r>
          </w:p>
        </w:tc>
      </w:tr>
    </w:tbl>
    <w:p w:rsidR="00000000" w:rsidRPr="004773AF" w:rsidP="004773AF">
      <w:pPr>
        <w:pStyle w:val="BodyText"/>
      </w:pPr>
    </w:p>
    <w:tbl>
      <w:tblPr>
        <w:tblW w:w="0" w:type="auto"/>
        <w:tblLayout w:type="fixed"/>
        <w:tblCellMar>
          <w:left w:w="62" w:type="dxa"/>
          <w:right w:w="62" w:type="dxa"/>
        </w:tblCellMar>
        <w:tblLook w:val="0000"/>
      </w:tblPr>
      <w:tblGrid>
        <w:gridCol w:w="1890"/>
        <w:gridCol w:w="6570"/>
      </w:tblGrid>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9.1)</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Longitudinal competency development approaches to assessment, such as Profiling, require data to be reliably gathered in a form that can be consistently interpreted over time. This approach is best</w:t>
            </w:r>
            <w:r w:rsidRPr="004773AF">
              <w:t xml:space="preserve"> utilised in Apprenticeship programs and reduces assessment intervention. It is the Industry’s preferred model for apprenticeships. However, where summative (or final) assessment is used it is to include the application of the competency in the normal work</w:t>
            </w:r>
            <w:r w:rsidRPr="004773AF">
              <w:t xml:space="preserve"> environment or, at a minimum, the application of the competency in a realistically simulated work environment. It is recognised that, in some circumstances, assessment in part or full can occur outside the workplace. However, it must be in accord with Ind</w:t>
            </w:r>
            <w:r w:rsidRPr="004773AF">
              <w:t>ustry and, Regulatory policy in this regard.</w:t>
            </w:r>
          </w:p>
          <w:p w:rsidR="00000000" w:rsidRPr="004773AF" w:rsidP="004773AF">
            <w:pPr>
              <w:pStyle w:val="BodyText"/>
            </w:pPr>
            <w:r w:rsidRPr="004773AF">
              <w:t>Methods chosen for a particular assessment will be influenced by various factors. These include the extent of the assessment, the most effective locations for the assessment activities to take place, access to p</w:t>
            </w:r>
            <w:r w:rsidRPr="004773AF">
              <w:t>hysical resources, additional safety measures that may be required and the critical nature of the competencies being assessed.</w:t>
            </w:r>
          </w:p>
          <w:p w:rsidR="00000000" w:rsidRPr="004773AF" w:rsidP="004773AF">
            <w:pPr>
              <w:pStyle w:val="BodyText"/>
            </w:pPr>
            <w:r w:rsidRPr="004773AF">
              <w:t>The critical safety nature of working with electricity, electrical equipment, gas or any other hazardous substance/material carri</w:t>
            </w:r>
            <w:r w:rsidRPr="004773AF">
              <w:t>es risk in deeming a person competent. Hence, sources of evidence need to be ‘rich’ in nature so as to minimise error in judgment.</w:t>
            </w:r>
          </w:p>
          <w:p w:rsidR="00000000" w:rsidRPr="004773AF" w:rsidP="004773AF">
            <w:pPr>
              <w:pStyle w:val="BodyText"/>
            </w:pPr>
            <w:r w:rsidRPr="004773A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4773AF">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4773AF">
              <w:t>of this Training Package.</w:t>
            </w:r>
          </w:p>
        </w:tc>
      </w:tr>
    </w:tbl>
    <w:p w:rsidR="00000000" w:rsidRPr="004773AF" w:rsidP="004773AF">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9.2)</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Before the critical aspects of evidence are considered all prerequisites shall be met.</w:t>
            </w:r>
          </w:p>
          <w:p w:rsidR="00000000" w:rsidRPr="004773AF" w:rsidP="004773AF">
            <w:pPr>
              <w:pStyle w:val="BodyText"/>
            </w:pPr>
            <w:r w:rsidRPr="004773AF">
              <w:t>Evidence for competence in this unit shall be consider</w:t>
            </w:r>
            <w:r w:rsidRPr="004773AF">
              <w:t>ed holistically. Each element and associated performance criteria shall be demonstrated on at least two occasions in accordance with the “Assessment Guidelines – UET12”. Evidence shall also comprise:</w:t>
            </w:r>
          </w:p>
          <w:p w:rsidR="00000000" w:rsidRPr="004773AF" w:rsidP="004773AF">
            <w:pPr>
              <w:pStyle w:val="ListBullet"/>
            </w:pPr>
            <w:r w:rsidRPr="004773AF">
              <w:t>A representative body of performance criteria demonstrat</w:t>
            </w:r>
            <w:r w:rsidRPr="004773AF">
              <w:t>ed within the timeframes typically expected of the discipline, work function and industrial environment. In particular this shall incorporate evidence that shows a candidate is able to:</w:t>
            </w:r>
          </w:p>
          <w:p w:rsidR="00000000" w:rsidRPr="004773AF" w:rsidP="004773AF">
            <w:pPr>
              <w:pStyle w:val="ListBullet2"/>
            </w:pPr>
            <w:r w:rsidRPr="004773AF">
              <w:t>Implement Occupational Health and Safety workplace procedures and practices including the use of risk control measures as specified in the performance criteria and range; and</w:t>
            </w:r>
          </w:p>
          <w:p w:rsidR="00000000" w:rsidRPr="004773AF" w:rsidP="004773AF">
            <w:pPr>
              <w:pStyle w:val="ListBullet2"/>
            </w:pPr>
            <w:r w:rsidRPr="004773AF">
              <w:t>Apply sustainable energy principles and practices as specified in the performance</w:t>
            </w:r>
            <w:r w:rsidRPr="004773AF">
              <w:t xml:space="preserve"> criteria and range; and</w:t>
            </w:r>
          </w:p>
          <w:p w:rsidR="00000000" w:rsidRPr="004773AF" w:rsidP="004773AF">
            <w:pPr>
              <w:pStyle w:val="ListBullet2"/>
            </w:pPr>
            <w:r w:rsidRPr="004773AF">
              <w:t>Demonstrate an understanding of the essential knowledge and associated skills as described in this unit to such an extent that the learner’s performance outcome is reported in accordance with the preferred approach; namely a percen</w:t>
            </w:r>
            <w:r w:rsidRPr="004773AF">
              <w:t>tile graded result, where required by the regulated environment; and</w:t>
            </w:r>
          </w:p>
          <w:p w:rsidR="00000000" w:rsidRPr="004773AF" w:rsidP="004773AF">
            <w:pPr>
              <w:pStyle w:val="ListBullet2"/>
            </w:pPr>
            <w:r w:rsidRPr="004773AF">
              <w:t>Demonstrate an appropriate level of employability skills; and</w:t>
            </w:r>
          </w:p>
          <w:p w:rsidR="00000000" w:rsidRPr="004773AF" w:rsidP="004773AF">
            <w:pPr>
              <w:pStyle w:val="ListBullet"/>
            </w:pPr>
            <w:r w:rsidRPr="004773AF">
              <w:t>Conduct work observing the relevant Anti Discrimination legislation, regulations, policies and workplace procedures; and</w:t>
            </w:r>
          </w:p>
          <w:p w:rsidR="00000000" w:rsidP="004773AF">
            <w:pPr>
              <w:pStyle w:val="ListBullet2"/>
              <w:rPr>
                <w:lang w:val="en-NZ"/>
              </w:rPr>
            </w:pPr>
            <w:r w:rsidRPr="004773AF">
              <w:t>Dem</w:t>
            </w:r>
            <w:r w:rsidRPr="004773AF">
              <w:t>onstrated performance across a representative range of contexts from the prescribed items below:</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773AF">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rPr>
                <w:rStyle w:val="SpecialBold"/>
              </w:rPr>
              <w:t>Range of tools/equipment/materials/procedures/workplaces/other variables</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4773AF">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rPr>
                <w:rStyle w:val="SpecialBold"/>
              </w:rPr>
              <w:t>Item List</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Inspect any three of the following overhead structures and electrical apparatus: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Poles and structures</w:t>
            </w:r>
          </w:p>
          <w:p w:rsidR="00000000" w:rsidRPr="004773AF" w:rsidP="004773AF">
            <w:pPr>
              <w:pStyle w:val="BodyText"/>
            </w:pPr>
            <w:r w:rsidRPr="004773AF">
              <w:t>Overhead conductors/cables</w:t>
            </w:r>
          </w:p>
          <w:p w:rsidR="00000000" w:rsidRPr="004773AF" w:rsidP="004773AF">
            <w:pPr>
              <w:pStyle w:val="BodyText"/>
            </w:pPr>
            <w:r w:rsidRPr="004773AF">
              <w:t>Underground/overhead transition points</w:t>
            </w:r>
          </w:p>
          <w:p w:rsidR="00000000" w:rsidRPr="004773AF" w:rsidP="004773AF">
            <w:pPr>
              <w:pStyle w:val="BodyText"/>
            </w:pPr>
            <w:r w:rsidRPr="004773AF">
              <w:t>Electrical equipment</w:t>
            </w:r>
          </w:p>
          <w:p w:rsidR="00000000" w:rsidRPr="004773AF" w:rsidP="004773AF">
            <w:pPr>
              <w:pStyle w:val="BodyText"/>
            </w:pPr>
            <w:r w:rsidRPr="004773AF">
              <w:t>Hardware</w:t>
            </w:r>
          </w:p>
          <w:p w:rsidR="00000000" w:rsidP="004773AF">
            <w:pPr>
              <w:pStyle w:val="BodyText"/>
              <w:rPr>
                <w:lang w:val="en-NZ"/>
              </w:rPr>
            </w:pPr>
            <w:r w:rsidRPr="004773AF">
              <w:t>Earthing systems</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"A" incorporate 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Ground</w:t>
            </w:r>
          </w:p>
          <w:p w:rsidR="00000000" w:rsidRPr="004773AF" w:rsidP="004773AF">
            <w:pPr>
              <w:pStyle w:val="BodyText"/>
            </w:pPr>
            <w:r w:rsidRPr="004773AF">
              <w:t>Vehicle</w:t>
            </w:r>
          </w:p>
          <w:p w:rsidR="00000000" w:rsidRPr="004773AF" w:rsidP="004773AF">
            <w:pPr>
              <w:pStyle w:val="BodyText"/>
            </w:pPr>
            <w:r w:rsidRPr="004773AF">
              <w:t>Helicopter</w:t>
            </w:r>
          </w:p>
          <w:p w:rsidR="00000000" w:rsidP="004773AF">
            <w:pPr>
              <w:pStyle w:val="BodyText"/>
              <w:rPr>
                <w:lang w:val="en-NZ"/>
              </w:rPr>
            </w:pPr>
            <w:r w:rsidRPr="004773AF">
              <w:t>Fixed wing</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"A"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Visual*</w:t>
            </w:r>
          </w:p>
          <w:p w:rsidR="00000000" w:rsidRPr="004773AF" w:rsidP="004773AF">
            <w:pPr>
              <w:pStyle w:val="BodyText"/>
            </w:pPr>
            <w:r w:rsidRPr="004773AF">
              <w:t>Infra-red camera</w:t>
            </w:r>
          </w:p>
          <w:p w:rsidR="00000000" w:rsidRPr="004773AF" w:rsidP="004773AF">
            <w:pPr>
              <w:pStyle w:val="BodyText"/>
            </w:pPr>
            <w:r w:rsidRPr="004773AF">
              <w:t>X-ray</w:t>
            </w:r>
          </w:p>
          <w:p w:rsidR="00000000" w:rsidRPr="004773AF" w:rsidP="004773AF">
            <w:pPr>
              <w:pStyle w:val="BodyText"/>
            </w:pPr>
            <w:r w:rsidRPr="004773AF">
              <w:t xml:space="preserve">Camera </w:t>
            </w:r>
          </w:p>
          <w:p w:rsidR="00000000" w:rsidP="004773AF">
            <w:pPr>
              <w:pStyle w:val="BodyText"/>
              <w:rPr>
                <w:lang w:val="en-NZ"/>
              </w:rPr>
            </w:pPr>
            <w:r w:rsidRPr="004773AF">
              <w:t>(*must Do)</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Maintain at least two of the following overhead energised LV conductors and cables: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Copper</w:t>
            </w:r>
          </w:p>
          <w:p w:rsidR="00000000" w:rsidRPr="004773AF" w:rsidP="004773AF">
            <w:pPr>
              <w:pStyle w:val="BodyText"/>
            </w:pPr>
            <w:r w:rsidRPr="004773AF">
              <w:t>Aluminium</w:t>
            </w:r>
          </w:p>
          <w:p w:rsidR="00000000" w:rsidRPr="004773AF" w:rsidP="004773AF">
            <w:pPr>
              <w:pStyle w:val="BodyText"/>
            </w:pPr>
            <w:r w:rsidRPr="004773AF">
              <w:t>Aluminium steel</w:t>
            </w:r>
          </w:p>
          <w:p w:rsidR="00000000" w:rsidRPr="004773AF" w:rsidP="004773AF">
            <w:pPr>
              <w:pStyle w:val="BodyText"/>
            </w:pPr>
            <w:r w:rsidRPr="004773AF">
              <w:t>Steel</w:t>
            </w:r>
          </w:p>
          <w:p w:rsidR="00000000" w:rsidP="004773AF">
            <w:pPr>
              <w:pStyle w:val="BodyText"/>
              <w:rPr>
                <w:lang w:val="en-NZ"/>
              </w:rPr>
            </w:pPr>
            <w:r w:rsidRPr="004773AF">
              <w:t>Pilot</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"D" incorporate 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EWP</w:t>
            </w:r>
          </w:p>
          <w:p w:rsidR="00000000" w:rsidRPr="004773AF" w:rsidP="004773AF">
            <w:pPr>
              <w:pStyle w:val="BodyText"/>
            </w:pPr>
            <w:r w:rsidRPr="004773AF">
              <w:t>Ladder</w:t>
            </w:r>
          </w:p>
          <w:p w:rsidR="00000000" w:rsidP="004773AF">
            <w:pPr>
              <w:pStyle w:val="BodyText"/>
              <w:rPr>
                <w:lang w:val="en-NZ"/>
              </w:rPr>
            </w:pPr>
            <w:r w:rsidRPr="004773AF">
              <w:t>Portable platform</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F</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"D" incorporate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Insulating mats/sleeves</w:t>
            </w:r>
          </w:p>
          <w:p w:rsidR="00000000" w:rsidRPr="004773AF" w:rsidP="004773AF">
            <w:pPr>
              <w:pStyle w:val="BodyText"/>
            </w:pPr>
            <w:r w:rsidRPr="004773AF">
              <w:t>Temporary bridging device</w:t>
            </w:r>
          </w:p>
          <w:p w:rsidR="00000000" w:rsidRPr="004773AF" w:rsidP="004773AF">
            <w:pPr>
              <w:pStyle w:val="BodyText"/>
            </w:pPr>
            <w:r w:rsidRPr="004773AF">
              <w:t>Insulating gloves</w:t>
            </w:r>
          </w:p>
          <w:p w:rsidR="00000000" w:rsidRPr="004773AF" w:rsidP="004773AF">
            <w:pPr>
              <w:pStyle w:val="BodyText"/>
            </w:pPr>
            <w:r w:rsidRPr="004773AF">
              <w:t>Insulated cable tensioning devices</w:t>
            </w:r>
          </w:p>
          <w:p w:rsidR="00000000" w:rsidRPr="004773AF" w:rsidP="004773AF">
            <w:pPr>
              <w:pStyle w:val="BodyText"/>
            </w:pPr>
            <w:r w:rsidRPr="004773AF">
              <w:t>Ladder/pole shrouds</w:t>
            </w:r>
          </w:p>
          <w:p w:rsidR="00000000" w:rsidP="004773AF">
            <w:pPr>
              <w:pStyle w:val="BodyText"/>
              <w:rPr>
                <w:lang w:val="en-NZ"/>
              </w:rPr>
            </w:pPr>
            <w:r w:rsidRPr="004773AF">
              <w:t>Equipotential bonding</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"D" incorporate 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Voltage detector*</w:t>
            </w:r>
          </w:p>
          <w:p w:rsidR="00000000" w:rsidRPr="004773AF" w:rsidP="004773AF">
            <w:pPr>
              <w:pStyle w:val="BodyText"/>
            </w:pPr>
            <w:r w:rsidRPr="004773AF">
              <w:t>Clamp-on ammeter</w:t>
            </w:r>
          </w:p>
          <w:p w:rsidR="00000000" w:rsidRPr="004773AF" w:rsidP="004773AF">
            <w:pPr>
              <w:pStyle w:val="BodyText"/>
            </w:pPr>
            <w:r w:rsidRPr="004773AF">
              <w:t>Polarity tester</w:t>
            </w:r>
          </w:p>
          <w:p w:rsidR="00000000" w:rsidRPr="004773AF" w:rsidP="004773AF">
            <w:pPr>
              <w:pStyle w:val="BodyText"/>
            </w:pPr>
            <w:r w:rsidRPr="004773AF">
              <w:t>Insulation resistance tester</w:t>
            </w:r>
          </w:p>
          <w:p w:rsidR="00000000" w:rsidRPr="004773AF" w:rsidP="004773AF">
            <w:pPr>
              <w:pStyle w:val="BodyText"/>
            </w:pPr>
            <w:r w:rsidRPr="004773AF">
              <w:t>Phase sequence indicator</w:t>
            </w:r>
          </w:p>
          <w:p w:rsidR="00000000" w:rsidRPr="004773AF" w:rsidP="004773AF">
            <w:pPr>
              <w:pStyle w:val="BodyText"/>
            </w:pPr>
            <w:r w:rsidRPr="004773AF">
              <w:t>Recording meters</w:t>
            </w:r>
          </w:p>
          <w:p w:rsidR="00000000" w:rsidP="004773AF">
            <w:pPr>
              <w:pStyle w:val="BodyText"/>
              <w:rPr>
                <w:lang w:val="en-NZ"/>
              </w:rPr>
            </w:pPr>
            <w:r w:rsidRPr="004773AF">
              <w:t>(*must do)</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H</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Perform LV switching to a given schedule and incorpor</w:t>
            </w:r>
            <w:r w:rsidRPr="004773AF">
              <w:t>ate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Approvals/clearances</w:t>
            </w:r>
          </w:p>
          <w:p w:rsidR="00000000" w:rsidP="004773AF">
            <w:pPr>
              <w:pStyle w:val="BodyText"/>
              <w:rPr>
                <w:lang w:val="en-NZ"/>
              </w:rPr>
            </w:pPr>
            <w:r w:rsidRPr="004773AF">
              <w:t>Access authority/permits</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I</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"H" incorporate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Voltage detectors</w:t>
            </w:r>
          </w:p>
          <w:p w:rsidR="00000000" w:rsidRPr="004773AF" w:rsidP="004773AF">
            <w:pPr>
              <w:pStyle w:val="BodyText"/>
            </w:pPr>
            <w:r w:rsidRPr="004773AF">
              <w:t>Polarities testers</w:t>
            </w:r>
          </w:p>
          <w:p w:rsidR="00000000" w:rsidP="004773AF">
            <w:pPr>
              <w:pStyle w:val="BodyText"/>
              <w:rPr>
                <w:lang w:val="en-NZ"/>
              </w:rPr>
            </w:pPr>
            <w:r w:rsidRPr="004773AF">
              <w:t>Phase rotation indicators</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J</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With regards to "H" incorporate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LV links</w:t>
            </w:r>
          </w:p>
          <w:p w:rsidR="00000000" w:rsidRPr="004773AF" w:rsidP="004773AF">
            <w:pPr>
              <w:pStyle w:val="BodyText"/>
            </w:pPr>
            <w:r w:rsidRPr="004773AF">
              <w:t>LV bridges</w:t>
            </w:r>
          </w:p>
          <w:p w:rsidR="00000000" w:rsidP="004773AF">
            <w:pPr>
              <w:pStyle w:val="BodyText"/>
              <w:rPr>
                <w:lang w:val="en-NZ"/>
              </w:rPr>
            </w:pPr>
            <w:r w:rsidRPr="004773AF">
              <w:t>LV fuses</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73AF">
            <w:pPr>
              <w:pStyle w:val="BodyText"/>
              <w:rPr>
                <w:lang w:val="en-NZ"/>
              </w:rPr>
            </w:pPr>
            <w:r w:rsidRPr="004773AF">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73AF" w:rsidP="004773AF">
            <w:pPr>
              <w:pStyle w:val="BodyText"/>
            </w:pPr>
            <w:r w:rsidRPr="004773AF">
              <w:t xml:space="preserve">Dealing with an unplanned event by drawing on essential knowledge and associated skills to provide appropriate </w:t>
            </w:r>
            <w:r w:rsidRPr="004773AF">
              <w:t>solutions incorporated in the holistic assessment with the above listed items.</w:t>
            </w:r>
          </w:p>
        </w:tc>
      </w:tr>
    </w:tbl>
    <w:p w:rsidR="00000000" w:rsidRPr="004773AF" w:rsidP="004773AF">
      <w:pPr>
        <w:pStyle w:val="BodyText"/>
      </w:pPr>
    </w:p>
    <w:tbl>
      <w:tblPr>
        <w:tblW w:w="0" w:type="auto"/>
        <w:tblLayout w:type="fixed"/>
        <w:tblCellMar>
          <w:left w:w="62" w:type="dxa"/>
          <w:right w:w="62" w:type="dxa"/>
        </w:tblCellMar>
        <w:tblLook w:val="0000"/>
      </w:tblPr>
      <w:tblGrid>
        <w:gridCol w:w="1890"/>
        <w:gridCol w:w="6570"/>
      </w:tblGrid>
      <w:tr w:rsidTr="003D73F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9.3)</w:t>
            </w:r>
          </w:p>
        </w:tc>
      </w:tr>
      <w:tr w:rsidTr="003D73F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This unit should be assessed as it relates to normal work practice using procedures, information and resources typical of a workplace. This should include:</w:t>
            </w:r>
          </w:p>
          <w:p w:rsidR="00000000" w:rsidRPr="004773AF" w:rsidP="004773AF">
            <w:pPr>
              <w:pStyle w:val="ListBullet"/>
            </w:pPr>
            <w:r w:rsidRPr="004773AF">
              <w:t>OHS policy and work procedures and instructi</w:t>
            </w:r>
            <w:r w:rsidRPr="004773AF">
              <w:t>ons.</w:t>
            </w:r>
          </w:p>
          <w:p w:rsidR="00000000" w:rsidRPr="004773AF" w:rsidP="004773AF">
            <w:pPr>
              <w:pStyle w:val="ListBullet"/>
            </w:pPr>
            <w:r w:rsidRPr="004773AF">
              <w:t>Suitable work environment, facilities, equipment and materials to undertake actual inspection, maintenance and restoration of energised LV overhead distribution network infrastructure.</w:t>
            </w:r>
          </w:p>
          <w:p w:rsidR="00000000" w:rsidRPr="004773AF" w:rsidP="004773AF">
            <w:pPr>
              <w:pStyle w:val="BodyText"/>
            </w:pPr>
            <w:r w:rsidRPr="004773AF">
              <w:t>In addition to the resources listed above, in Context of and specific resources for assessment, evidence should show demonstrated competency working below ground, in limited spaces, with different structural/construction types and method and in a variety o</w:t>
            </w:r>
            <w:r w:rsidRPr="004773AF">
              <w:t>f environments.</w:t>
            </w:r>
          </w:p>
        </w:tc>
      </w:tr>
    </w:tbl>
    <w:p w:rsidR="00000000" w:rsidRPr="004773AF" w:rsidP="004773AF">
      <w:pPr>
        <w:pStyle w:val="BodyText"/>
      </w:pPr>
    </w:p>
    <w:tbl>
      <w:tblPr>
        <w:tblW w:w="0" w:type="auto"/>
        <w:tblLayout w:type="fixed"/>
        <w:tblCellMar>
          <w:left w:w="62" w:type="dxa"/>
          <w:right w:w="62" w:type="dxa"/>
        </w:tblCellMar>
        <w:tblLook w:val="0000"/>
      </w:tblPr>
      <w:tblGrid>
        <w:gridCol w:w="1890"/>
        <w:gridCol w:w="6570"/>
      </w:tblGrid>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9.4)</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This Competency Standard Unit shall be assessed by methods given in Volume 1, Part 3 “Assessment Guidelines”.</w:t>
            </w:r>
          </w:p>
          <w:p w:rsidR="00000000" w:rsidRPr="004773AF" w:rsidP="004773AF">
            <w:pPr>
              <w:pStyle w:val="BodyText"/>
            </w:pPr>
            <w:r w:rsidRPr="004773AF">
              <w:t>Note:</w:t>
            </w:r>
          </w:p>
          <w:p w:rsidR="00000000" w:rsidRPr="004773AF" w:rsidP="004773AF">
            <w:pPr>
              <w:pStyle w:val="BodyText"/>
            </w:pPr>
            <w:r w:rsidRPr="004773AF">
              <w:t>Competent performance with inherent safe working practices is expected in the Industry to whic</w:t>
            </w:r>
            <w:r w:rsidRPr="004773AF">
              <w:t>h this Competency Standard Unit applies. This requires that the specified essential knowledge and associated skills are assessed in a structured environment which is primarily intended for learning/assessment and incorporates all necessary equipment and fa</w:t>
            </w:r>
            <w:r w:rsidRPr="004773AF">
              <w:t>cilities for learners to develop and demonstrate the essential knowledge and associated skills described in this unit.</w:t>
            </w:r>
          </w:p>
        </w:tc>
      </w:tr>
    </w:tbl>
    <w:p w:rsidR="00000000" w:rsidRPr="004773AF" w:rsidP="004773AF">
      <w:pPr>
        <w:pStyle w:val="BodyText"/>
      </w:pPr>
    </w:p>
    <w:tbl>
      <w:tblPr>
        <w:tblW w:w="0" w:type="auto"/>
        <w:tblLayout w:type="fixed"/>
        <w:tblCellMar>
          <w:left w:w="62" w:type="dxa"/>
          <w:right w:w="62" w:type="dxa"/>
        </w:tblCellMar>
        <w:tblLook w:val="0000"/>
      </w:tblPr>
      <w:tblGrid>
        <w:gridCol w:w="1890"/>
        <w:gridCol w:w="6570"/>
      </w:tblGrid>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9.5)</w:t>
            </w:r>
          </w:p>
        </w:tc>
      </w:tr>
      <w:tr w:rsidTr="003D73F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There are no recommended concurrencies for this unit.</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11" w:name="O_465556"/>
      <w:bookmarkEnd w:id="11"/>
      <w:r w:rsidRPr="004773AF">
        <w:t>Range Statement</w:t>
      </w:r>
    </w:p>
    <w:tbl>
      <w:tblPr>
        <w:tblW w:w="0" w:type="auto"/>
        <w:tblLayout w:type="fixed"/>
        <w:tblCellMar>
          <w:left w:w="62" w:type="dxa"/>
          <w:right w:w="62" w:type="dxa"/>
        </w:tblCellMar>
        <w:tblLook w:val="0000"/>
      </w:tblPr>
      <w:tblGrid>
        <w:gridCol w:w="8460"/>
      </w:tblGrid>
      <w:tr w:rsidTr="003D73F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RANGE STATEMENT</w:t>
            </w:r>
          </w:p>
        </w:tc>
      </w:tr>
      <w:tr w:rsidTr="003D73F0">
        <w:tblPrEx>
          <w:tblW w:w="0" w:type="auto"/>
          <w:tblLayout w:type="fixed"/>
          <w:tblCellMar>
            <w:left w:w="62" w:type="dxa"/>
            <w:right w:w="62" w:type="dxa"/>
          </w:tblCellMar>
          <w:tblLook w:val="0000"/>
        </w:tblPrEx>
        <w:trPr>
          <w:trHeight w:val="23562"/>
        </w:trPr>
        <w:tc>
          <w:tcPr>
            <w:tcW w:w="84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10)</w:t>
            </w:r>
            <w:r w:rsidRPr="004773AF">
              <w:t xml:space="preserve"> This relates to the unit of competency as a whole providing the range of contexts and conditions </w:t>
            </w:r>
            <w:r w:rsidRPr="004773AF">
              <w:t>to which the performance criteria apply. It allows for different work environments and situations that will affect performance.</w:t>
            </w:r>
          </w:p>
          <w:p w:rsidR="00000000" w:rsidRPr="004773AF" w:rsidP="004773AF">
            <w:pPr>
              <w:pStyle w:val="BodyText"/>
            </w:pPr>
            <w:r w:rsidRPr="004773AF">
              <w:t>This Competency Standard Unit shall be demonstrated in relation to the inspection, maintenance and restoration of overhead distr</w:t>
            </w:r>
            <w:r w:rsidRPr="004773AF">
              <w:t>ibution network infrastructure.</w:t>
            </w:r>
          </w:p>
          <w:p w:rsidR="00000000" w:rsidRPr="004773AF" w:rsidP="004773AF">
            <w:pPr>
              <w:pStyle w:val="BodyText"/>
            </w:pPr>
            <w:r w:rsidRPr="004773AF">
              <w:t>Inspection may be carried out on foot, and/or by conventional ground-based vehicle, or from the air. Aircraft may be helicopters or fixed-wing types.</w:t>
            </w:r>
          </w:p>
          <w:p w:rsidR="00000000" w:rsidRPr="004773AF" w:rsidP="004773AF">
            <w:pPr>
              <w:pStyle w:val="BodyText"/>
            </w:pPr>
            <w:r w:rsidRPr="004773AF">
              <w:t>Inspection techniques include use of X-ray and infrared camera.</w:t>
            </w:r>
          </w:p>
          <w:p w:rsidR="00000000" w:rsidRPr="004773AF" w:rsidP="004773AF">
            <w:pPr>
              <w:pStyle w:val="BodyText"/>
            </w:pPr>
            <w:r w:rsidRPr="004773AF">
              <w:t>Items to b</w:t>
            </w:r>
            <w:r w:rsidRPr="004773AF">
              <w:t>e inspected may include overhead poles and or structures, but not towers.</w:t>
            </w:r>
          </w:p>
          <w:p w:rsidR="00000000" w:rsidRPr="004773AF" w:rsidP="004773AF">
            <w:pPr>
              <w:pStyle w:val="BodyText"/>
            </w:pPr>
            <w:r w:rsidRPr="004773AF">
              <w:t>Types of electrical apparatus to be inspected include overhead conductors and cables, overhead transition points and, electrical equipment such as pole-mounted transformers and air-break switches, hardware, such as insulators, surge arrestors and cross-arm</w:t>
            </w:r>
            <w:r w:rsidRPr="004773AF">
              <w:t>s and or earthing systems.</w:t>
            </w:r>
          </w:p>
          <w:p w:rsidR="00000000" w:rsidRPr="004773AF" w:rsidP="004773AF">
            <w:pPr>
              <w:pStyle w:val="BodyText"/>
            </w:pPr>
            <w:r w:rsidRPr="004773AF">
              <w:t xml:space="preserve">The maintenance of overhead energised low voltage conductors and cables must take into account the potential hazards, the calculation of physical loads, including an understanding of the effects of traffic loads and de-rating of </w:t>
            </w:r>
            <w:r w:rsidRPr="004773AF">
              <w:t xml:space="preserve">circuits. </w:t>
            </w:r>
          </w:p>
          <w:p w:rsidR="00000000" w:rsidRPr="004773AF" w:rsidP="004773AF">
            <w:pPr>
              <w:pStyle w:val="BodyText"/>
            </w:pPr>
            <w:r w:rsidRPr="004773AF">
              <w:t>Maintenance may include the removal, repair and replacement of cables, conductors and associated hardware.</w:t>
            </w:r>
          </w:p>
          <w:p w:rsidR="00000000" w:rsidRPr="004773AF" w:rsidP="004773AF">
            <w:pPr>
              <w:pStyle w:val="BodyText"/>
            </w:pPr>
            <w:r w:rsidRPr="004773AF">
              <w:t>Structures include poles, and columns.</w:t>
            </w:r>
          </w:p>
          <w:p w:rsidR="00000000" w:rsidRPr="004773AF" w:rsidP="004773AF">
            <w:pPr>
              <w:pStyle w:val="BodyText"/>
            </w:pPr>
            <w:r w:rsidRPr="004773AF">
              <w:t>Work methods require the use of insulating gloves and specialised live working equipment and tools.</w:t>
            </w:r>
          </w:p>
          <w:p w:rsidR="00000000" w:rsidRPr="004773AF" w:rsidP="004773AF">
            <w:pPr>
              <w:pStyle w:val="BodyText"/>
            </w:pPr>
            <w:r w:rsidRPr="004773AF">
              <w:t>Work may be performed from elevating work platform, ladder, portable pole platform, or the ground.</w:t>
            </w:r>
          </w:p>
          <w:p w:rsidR="00000000" w:rsidRPr="004773AF" w:rsidP="004773AF">
            <w:pPr>
              <w:pStyle w:val="BodyText"/>
            </w:pPr>
            <w:r w:rsidRPr="004773AF">
              <w:t>Testing and recording devices include voltage detectors, tong ammeters, polarity testers, recording meters and phase sequence indicators.</w:t>
            </w:r>
          </w:p>
          <w:p w:rsidR="00000000" w:rsidRPr="004773AF" w:rsidP="004773AF">
            <w:pPr>
              <w:pStyle w:val="BodyText"/>
            </w:pPr>
            <w:r w:rsidRPr="004773AF">
              <w:t>Specialised live w</w:t>
            </w:r>
            <w:r w:rsidRPr="004773AF">
              <w:t>orking equipment includes insulating mats and sleeves, insulating gloves, temporary bridges/hoppers, insulated cable tensioning devices and ladder/pole shrouds and equipotential bonding.</w:t>
            </w:r>
          </w:p>
          <w:p w:rsidR="00000000" w:rsidRPr="004773AF" w:rsidP="004773AF">
            <w:pPr>
              <w:pStyle w:val="BodyText"/>
            </w:pPr>
            <w:r w:rsidRPr="004773AF">
              <w:t xml:space="preserve">Low voltage switching operation may involve the operation of circuit </w:t>
            </w:r>
            <w:r w:rsidRPr="004773AF">
              <w:t>breaking and isolation devices from a given switching schedule as it relates to low voltage distribution systems in field situations but also includes paralleling with the switching schedule.</w:t>
            </w:r>
          </w:p>
          <w:p w:rsidR="00000000" w:rsidRPr="004773AF" w:rsidP="004773AF">
            <w:pPr>
              <w:pStyle w:val="BodyText"/>
            </w:pPr>
            <w:r w:rsidRPr="004773AF">
              <w:t>Operating circuit isolation devices associated with energy retic</w:t>
            </w:r>
            <w:r w:rsidRPr="004773AF">
              <w:t>ulation systems/networks is confined to low voltage systems in field situations which performed in accordance with a switching schedule and established procedures.</w:t>
            </w:r>
          </w:p>
          <w:p w:rsidR="00000000" w:rsidRPr="004773AF" w:rsidP="004773AF">
            <w:pPr>
              <w:pStyle w:val="BodyText"/>
            </w:pPr>
            <w:r w:rsidRPr="004773AF">
              <w:t>Switchgear may include Low Voltage fuses, Low Voltage links and bridges.</w:t>
            </w:r>
          </w:p>
          <w:p w:rsidR="00000000" w:rsidRPr="004773AF" w:rsidP="004773AF">
            <w:pPr>
              <w:pStyle w:val="BodyText"/>
            </w:pPr>
            <w:r w:rsidRPr="004773AF">
              <w:t>Specialist tools an</w:t>
            </w:r>
            <w:r w:rsidRPr="004773AF">
              <w:t>d devices may include Low Voltage detectors, Low Voltage polarity testers Low Voltage phase rotation indicators.</w:t>
            </w:r>
          </w:p>
          <w:p w:rsidR="00000000" w:rsidRPr="004773AF" w:rsidP="004773AF">
            <w:pPr>
              <w:pStyle w:val="BodyText"/>
            </w:pPr>
            <w:r w:rsidRPr="004773AF">
              <w:t xml:space="preserve">Switching programs/schedule refers to structure, switch or equipment number, locations, Low Voltage distributor, spur or feeder, outage times, </w:t>
            </w:r>
            <w:r w:rsidRPr="004773AF">
              <w:t>work order/plan.</w:t>
            </w:r>
          </w:p>
          <w:p w:rsidR="00000000" w:rsidRPr="004773AF" w:rsidP="004773AF">
            <w:pPr>
              <w:pStyle w:val="BodyText"/>
            </w:pPr>
            <w:r w:rsidRPr="004773AF">
              <w:t>The following constants and variables included in the element/performance criteria in this unit are fully described in the Definitions Section 1 of this volume and form an integral part of the Range Statement of this unit:</w:t>
            </w:r>
          </w:p>
          <w:p w:rsidR="00000000" w:rsidRPr="004773AF" w:rsidP="004773AF">
            <w:pPr>
              <w:pStyle w:val="ListBullet3"/>
            </w:pPr>
            <w:r w:rsidRPr="004773AF">
              <w:t>Appropriate and</w:t>
            </w:r>
            <w:r w:rsidRPr="004773AF">
              <w:t xml:space="preserve"> relevant persons (see Personnel)</w:t>
            </w:r>
          </w:p>
          <w:p w:rsidR="00000000" w:rsidRPr="004773AF" w:rsidP="004773AF">
            <w:pPr>
              <w:pStyle w:val="ListBullet3"/>
            </w:pPr>
            <w:r w:rsidRPr="004773AF">
              <w:t xml:space="preserve">Appropriate authorities </w:t>
            </w:r>
          </w:p>
          <w:p w:rsidR="00000000" w:rsidRPr="004773AF" w:rsidP="004773AF">
            <w:pPr>
              <w:pStyle w:val="ListBullet3"/>
            </w:pPr>
            <w:r w:rsidRPr="004773AF">
              <w:t>Appropriate work platform</w:t>
            </w:r>
          </w:p>
          <w:p w:rsidR="00000000" w:rsidRPr="004773AF" w:rsidP="004773AF">
            <w:pPr>
              <w:pStyle w:val="ListBullet3"/>
            </w:pPr>
            <w:r w:rsidRPr="004773AF">
              <w:t>Assessing risk</w:t>
            </w:r>
          </w:p>
          <w:p w:rsidR="00000000" w:rsidRPr="004773AF" w:rsidP="004773AF">
            <w:pPr>
              <w:pStyle w:val="ListBullet3"/>
            </w:pPr>
            <w:r w:rsidRPr="004773AF">
              <w:t>Assessment</w:t>
            </w:r>
          </w:p>
          <w:p w:rsidR="00000000" w:rsidRPr="004773AF" w:rsidP="004773AF">
            <w:pPr>
              <w:pStyle w:val="ListBullet3"/>
            </w:pPr>
            <w:r w:rsidRPr="004773AF">
              <w:t xml:space="preserve">Authorisation </w:t>
            </w:r>
          </w:p>
          <w:p w:rsidR="00000000" w:rsidRPr="004773AF" w:rsidP="004773AF">
            <w:pPr>
              <w:pStyle w:val="ListBullet3"/>
            </w:pPr>
            <w:r w:rsidRPr="004773AF">
              <w:t>Diagnostic, testing and restoration</w:t>
            </w:r>
          </w:p>
          <w:p w:rsidR="00000000" w:rsidRPr="004773AF" w:rsidP="004773AF">
            <w:pPr>
              <w:pStyle w:val="ListBullet3"/>
            </w:pPr>
            <w:r w:rsidRPr="004773AF">
              <w:t>Documenting detail work events, record keeping and or storage of information</w:t>
            </w:r>
          </w:p>
          <w:p w:rsidR="00000000" w:rsidRPr="004773AF" w:rsidP="004773AF">
            <w:pPr>
              <w:pStyle w:val="ListBullet3"/>
            </w:pPr>
            <w:r w:rsidRPr="004773AF">
              <w:t xml:space="preserve">Drawings and specifications </w:t>
            </w:r>
          </w:p>
          <w:p w:rsidR="00000000" w:rsidRPr="004773AF" w:rsidP="004773AF">
            <w:pPr>
              <w:pStyle w:val="ListBullet3"/>
            </w:pPr>
            <w:r w:rsidRPr="004773AF">
              <w:t>Emergency</w:t>
            </w:r>
          </w:p>
          <w:p w:rsidR="00000000" w:rsidRPr="004773AF" w:rsidP="004773AF">
            <w:pPr>
              <w:pStyle w:val="ListBullet3"/>
            </w:pPr>
            <w:r w:rsidRPr="004773AF">
              <w:t>Environmental and sustainable energy procedures</w:t>
            </w:r>
          </w:p>
          <w:p w:rsidR="00000000" w:rsidRPr="004773AF" w:rsidP="004773AF">
            <w:pPr>
              <w:pStyle w:val="ListBullet3"/>
            </w:pPr>
            <w:r w:rsidRPr="004773AF">
              <w:t>Environmental legislation</w:t>
            </w:r>
          </w:p>
          <w:p w:rsidR="00000000" w:rsidRPr="004773AF" w:rsidP="004773AF">
            <w:pPr>
              <w:pStyle w:val="ListBullet3"/>
            </w:pPr>
            <w:r w:rsidRPr="004773AF">
              <w:t>Environmental management documentation</w:t>
            </w:r>
          </w:p>
          <w:p w:rsidR="00000000" w:rsidRPr="004773AF" w:rsidP="004773AF">
            <w:pPr>
              <w:pStyle w:val="ListBullet3"/>
            </w:pPr>
            <w:r w:rsidRPr="004773AF">
              <w:t>Established procedures</w:t>
            </w:r>
          </w:p>
          <w:p w:rsidR="00000000" w:rsidRPr="004773AF" w:rsidP="004773AF">
            <w:pPr>
              <w:pStyle w:val="ListBullet3"/>
            </w:pPr>
            <w:r w:rsidRPr="004773AF">
              <w:t>Fall prevention</w:t>
            </w:r>
          </w:p>
          <w:p w:rsidR="00000000" w:rsidRPr="004773AF" w:rsidP="004773AF">
            <w:pPr>
              <w:pStyle w:val="ListBullet3"/>
            </w:pPr>
            <w:r w:rsidRPr="004773AF">
              <w:t>Hazards</w:t>
            </w:r>
          </w:p>
          <w:p w:rsidR="00000000" w:rsidRPr="004773AF" w:rsidP="004773AF">
            <w:pPr>
              <w:pStyle w:val="ListBullet3"/>
            </w:pPr>
            <w:r w:rsidRPr="004773AF">
              <w:t>Identifying hazards</w:t>
            </w:r>
          </w:p>
          <w:p w:rsidR="00000000" w:rsidRPr="004773AF" w:rsidP="004773AF">
            <w:pPr>
              <w:pStyle w:val="ListBullet3"/>
            </w:pPr>
            <w:r w:rsidRPr="004773AF">
              <w:t>Inspect</w:t>
            </w:r>
          </w:p>
          <w:p w:rsidR="00000000" w:rsidRPr="004773AF" w:rsidP="004773AF">
            <w:pPr>
              <w:pStyle w:val="ListBullet3"/>
            </w:pPr>
            <w:r w:rsidRPr="004773AF">
              <w:t>Legislation</w:t>
            </w:r>
          </w:p>
          <w:p w:rsidR="00000000" w:rsidRPr="004773AF" w:rsidP="004773AF">
            <w:pPr>
              <w:pStyle w:val="ListBullet3"/>
            </w:pPr>
            <w:r w:rsidRPr="004773AF">
              <w:t>MSDS</w:t>
            </w:r>
          </w:p>
          <w:p w:rsidR="00000000" w:rsidRPr="004773AF" w:rsidP="004773AF">
            <w:pPr>
              <w:pStyle w:val="ListBullet3"/>
            </w:pPr>
            <w:r w:rsidRPr="004773AF">
              <w:t>Notification</w:t>
            </w:r>
            <w:r w:rsidRPr="004773AF">
              <w:t>.</w:t>
            </w:r>
          </w:p>
          <w:p w:rsidR="00000000" w:rsidRPr="004773AF" w:rsidP="004773AF">
            <w:pPr>
              <w:pStyle w:val="ListBullet3"/>
            </w:pPr>
            <w:r w:rsidRPr="004773AF">
              <w:t>OHS practices</w:t>
            </w:r>
          </w:p>
          <w:p w:rsidR="00000000" w:rsidRPr="004773AF" w:rsidP="004773AF">
            <w:pPr>
              <w:pStyle w:val="ListBullet3"/>
            </w:pPr>
            <w:r w:rsidRPr="004773AF">
              <w:t>OHS issues</w:t>
            </w:r>
          </w:p>
          <w:p w:rsidR="00000000" w:rsidRPr="004773AF" w:rsidP="004773AF">
            <w:pPr>
              <w:pStyle w:val="ListBullet3"/>
            </w:pPr>
            <w:r w:rsidRPr="004773AF">
              <w:t>Permits and/or permits to work</w:t>
            </w:r>
          </w:p>
          <w:p w:rsidR="00000000" w:rsidRPr="004773AF" w:rsidP="004773AF">
            <w:pPr>
              <w:pStyle w:val="ListBullet3"/>
            </w:pPr>
            <w:r w:rsidRPr="004773AF">
              <w:t>Personnel</w:t>
            </w:r>
          </w:p>
          <w:p w:rsidR="00000000" w:rsidRPr="004773AF" w:rsidP="004773AF">
            <w:pPr>
              <w:pStyle w:val="ListBullet3"/>
            </w:pPr>
            <w:r w:rsidRPr="004773AF">
              <w:t>Quality assurance systems</w:t>
            </w:r>
          </w:p>
          <w:p w:rsidR="00000000" w:rsidRPr="004773AF" w:rsidP="004773AF">
            <w:pPr>
              <w:pStyle w:val="ListBullet3"/>
            </w:pPr>
            <w:r w:rsidRPr="004773AF">
              <w:t>Requirements</w:t>
            </w:r>
          </w:p>
          <w:p w:rsidR="00000000" w:rsidRPr="004773AF" w:rsidP="004773AF">
            <w:pPr>
              <w:pStyle w:val="ListBullet3"/>
            </w:pPr>
            <w:r w:rsidRPr="004773AF">
              <w:t>Work clearance systems</w:t>
            </w:r>
          </w:p>
        </w:tc>
      </w:tr>
    </w:tbl>
    <w:p w:rsidR="00000000" w:rsidRPr="004773AF" w:rsidP="004773AF">
      <w:pPr>
        <w:pStyle w:val="BodyText"/>
      </w:pPr>
    </w:p>
    <w:p w:rsidR="00000000" w:rsidRPr="004773AF" w:rsidP="004773AF">
      <w:pPr>
        <w:pStyle w:val="AllowPageBreak"/>
      </w:pPr>
    </w:p>
    <w:p w:rsidR="00000000" w:rsidRPr="004773AF" w:rsidP="004773AF">
      <w:pPr>
        <w:pStyle w:val="Heading1"/>
      </w:pPr>
      <w:bookmarkStart w:id="12" w:name="O_465559"/>
      <w:bookmarkEnd w:id="12"/>
      <w:r w:rsidRPr="004773AF">
        <w:t>Unit Sector(s)</w:t>
      </w:r>
    </w:p>
    <w:p w:rsidR="00000000" w:rsidRPr="004773AF" w:rsidP="004773AF">
      <w:pPr>
        <w:pStyle w:val="BodyText"/>
      </w:pPr>
      <w:r w:rsidRPr="004773AF">
        <w:t>Not applicable.</w:t>
      </w:r>
    </w:p>
    <w:p w:rsidR="00000000" w:rsidRPr="004773AF" w:rsidP="004773AF">
      <w:pPr>
        <w:pStyle w:val="AllowPageBreak"/>
      </w:pPr>
    </w:p>
    <w:p w:rsidR="00000000" w:rsidRPr="004773AF" w:rsidP="004773AF">
      <w:pPr>
        <w:pStyle w:val="Heading1"/>
      </w:pPr>
      <w:bookmarkStart w:id="13" w:name="O_465548"/>
      <w:bookmarkEnd w:id="13"/>
      <w:r w:rsidRPr="004773AF">
        <w:t>Competency Field</w:t>
      </w:r>
    </w:p>
    <w:tbl>
      <w:tblPr>
        <w:tblW w:w="0" w:type="auto"/>
        <w:tblLayout w:type="fixed"/>
        <w:tblCellMar>
          <w:left w:w="62" w:type="dxa"/>
          <w:right w:w="62" w:type="dxa"/>
        </w:tblCellMar>
        <w:tblLook w:val="0000"/>
      </w:tblPr>
      <w:tblGrid>
        <w:gridCol w:w="2700"/>
        <w:gridCol w:w="5760"/>
      </w:tblGrid>
      <w:tr w:rsidTr="003D73F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73AF">
            <w:pPr>
              <w:pStyle w:val="BodyText"/>
              <w:rPr>
                <w:lang w:val="en-NZ"/>
              </w:rPr>
            </w:pPr>
            <w:r w:rsidRPr="004773AF">
              <w:rPr>
                <w:rStyle w:val="SpecialBold"/>
              </w:rPr>
              <w:t xml:space="preserve">11) </w:t>
            </w:r>
          </w:p>
        </w:tc>
      </w:tr>
      <w:tr w:rsidTr="003D73F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73AF" w:rsidP="004773AF">
            <w:pPr>
              <w:pStyle w:val="BodyText"/>
            </w:pPr>
            <w:r w:rsidRPr="004773AF">
              <w:t xml:space="preserve">Distribution </w:t>
            </w:r>
          </w:p>
        </w:tc>
      </w:tr>
    </w:tbl>
    <w:p w:rsidR="00000000" w:rsidRPr="004773AF" w:rsidP="004773AF">
      <w:pPr>
        <w:pStyle w:val="BodyText"/>
      </w:pPr>
    </w:p>
    <w:p w:rsidR="00000000" w:rsidRPr="004773AF" w:rsidP="004773AF"/>
    <w:sectPr w:rsidSect="004773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73F0" w:rsidP="003D73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F0" w:rsidP="004773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D73F0" w:rsidP="004773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D73F0" w:rsidP="004773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F" w:rsidRPr="003D73F0" w:rsidP="003D73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3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3F0" w:rsidRPr="002D2AF8" w:rsidP="004773AF">
    <w:pPr>
      <w:pStyle w:val="Header"/>
      <w:framePr w:wrap="around"/>
    </w:pPr>
    <w:r>
      <w:fldChar w:fldCharType="begin"/>
    </w:r>
    <w:r>
      <w:instrText xml:space="preserve"> TITLE   \* MERGEFORMAT </w:instrText>
    </w:r>
    <w:r>
      <w:fldChar w:fldCharType="separate"/>
    </w:r>
    <w:r>
      <w:t>UETTDRDP15A Inspect, maintain and restore energised low voltage overhead distribution network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D73F0" w:rsidP="004773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76F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6E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8E22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3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3AF"/>
    <w:pPr>
      <w:spacing w:before="360" w:after="60"/>
      <w:outlineLvl w:val="0"/>
    </w:pPr>
    <w:rPr>
      <w:sz w:val="32"/>
    </w:rPr>
  </w:style>
  <w:style w:type="paragraph" w:styleId="Heading2">
    <w:name w:val="heading 2"/>
    <w:basedOn w:val="HeadingBase"/>
    <w:next w:val="BodyText"/>
    <w:link w:val="Heading2Char"/>
    <w:qFormat/>
    <w:rsid w:val="004773AF"/>
    <w:pPr>
      <w:keepLines/>
      <w:spacing w:before="240" w:after="120"/>
      <w:outlineLvl w:val="1"/>
    </w:pPr>
    <w:rPr>
      <w:sz w:val="28"/>
      <w:szCs w:val="40"/>
    </w:rPr>
  </w:style>
  <w:style w:type="paragraph" w:styleId="Heading3">
    <w:name w:val="heading 3"/>
    <w:basedOn w:val="HeadingBase"/>
    <w:next w:val="BodyText"/>
    <w:link w:val="Heading3Char"/>
    <w:qFormat/>
    <w:rsid w:val="004773AF"/>
    <w:pPr>
      <w:spacing w:before="180" w:after="120"/>
      <w:outlineLvl w:val="2"/>
    </w:pPr>
    <w:rPr>
      <w:spacing w:val="-10"/>
      <w:kern w:val="32"/>
    </w:rPr>
  </w:style>
  <w:style w:type="paragraph" w:styleId="Heading4">
    <w:name w:val="heading 4"/>
    <w:basedOn w:val="HeadingBase"/>
    <w:next w:val="BodyText"/>
    <w:link w:val="Heading4Char"/>
    <w:qFormat/>
    <w:rsid w:val="004773AF"/>
    <w:pPr>
      <w:spacing w:before="160" w:after="120"/>
      <w:outlineLvl w:val="3"/>
    </w:pPr>
    <w:rPr>
      <w:sz w:val="22"/>
    </w:rPr>
  </w:style>
  <w:style w:type="paragraph" w:styleId="Heading5">
    <w:name w:val="heading 5"/>
    <w:basedOn w:val="HeadingBase"/>
    <w:next w:val="Normal"/>
    <w:link w:val="Heading5Char"/>
    <w:qFormat/>
    <w:rsid w:val="004773AF"/>
    <w:pPr>
      <w:spacing w:before="80"/>
      <w:outlineLvl w:val="4"/>
    </w:pPr>
    <w:rPr>
      <w:color w:val="918585"/>
      <w:sz w:val="20"/>
    </w:rPr>
  </w:style>
  <w:style w:type="paragraph" w:styleId="Heading6">
    <w:name w:val="heading 6"/>
    <w:basedOn w:val="HeadingBase"/>
    <w:next w:val="Normal"/>
    <w:link w:val="Heading6Char"/>
    <w:qFormat/>
    <w:rsid w:val="004773AF"/>
    <w:pPr>
      <w:spacing w:before="60"/>
      <w:outlineLvl w:val="5"/>
    </w:pPr>
    <w:rPr>
      <w:color w:val="918585"/>
      <w:sz w:val="20"/>
    </w:rPr>
  </w:style>
  <w:style w:type="paragraph" w:styleId="Heading7">
    <w:name w:val="heading 7"/>
    <w:basedOn w:val="Normal"/>
    <w:next w:val="Normal"/>
    <w:link w:val="Heading7Char"/>
    <w:qFormat/>
    <w:rsid w:val="004773AF"/>
    <w:pPr>
      <w:ind w:left="720"/>
      <w:outlineLvl w:val="6"/>
    </w:pPr>
    <w:rPr>
      <w:i/>
    </w:rPr>
  </w:style>
  <w:style w:type="paragraph" w:styleId="Heading8">
    <w:name w:val="heading 8"/>
    <w:basedOn w:val="Normal"/>
    <w:next w:val="Normal"/>
    <w:link w:val="Heading8Char"/>
    <w:qFormat/>
    <w:rsid w:val="004773AF"/>
    <w:pPr>
      <w:ind w:left="720"/>
      <w:outlineLvl w:val="7"/>
    </w:pPr>
    <w:rPr>
      <w:i/>
    </w:rPr>
  </w:style>
  <w:style w:type="paragraph" w:styleId="Heading9">
    <w:name w:val="heading 9"/>
    <w:basedOn w:val="Normal"/>
    <w:next w:val="Normal"/>
    <w:link w:val="Heading9Char"/>
    <w:qFormat/>
    <w:rsid w:val="004773AF"/>
    <w:pPr>
      <w:ind w:left="720"/>
      <w:outlineLvl w:val="8"/>
    </w:pPr>
    <w:rPr>
      <w:i/>
    </w:rPr>
  </w:style>
  <w:style w:type="character" w:default="1" w:styleId="DefaultParagraphFont">
    <w:name w:val="Default Paragraph Font"/>
    <w:uiPriority w:val="1"/>
    <w:unhideWhenUsed/>
    <w:rsid w:val="004773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3AF"/>
  </w:style>
  <w:style w:type="character" w:customStyle="1" w:styleId="Heading1Char">
    <w:name w:val="Heading 1 Char"/>
    <w:basedOn w:val="DefaultParagraphFont"/>
    <w:link w:val="Heading1"/>
    <w:rsid w:val="004773AF"/>
    <w:rPr>
      <w:rFonts w:ascii="Times New Roman" w:eastAsia="Times New Roman" w:hAnsi="Times New Roman" w:cs="Times New Roman"/>
      <w:b/>
      <w:sz w:val="32"/>
      <w:szCs w:val="20"/>
      <w:lang w:eastAsia="en-US"/>
    </w:rPr>
  </w:style>
  <w:style w:type="paragraph" w:styleId="BodyText">
    <w:name w:val="Body Text"/>
    <w:basedOn w:val="Normal"/>
    <w:link w:val="BodyTextChar"/>
    <w:rsid w:val="004773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73AF"/>
    <w:rPr>
      <w:rFonts w:ascii="Times New Roman" w:eastAsia="Times New Roman" w:hAnsi="Times New Roman" w:cs="Times New Roman"/>
      <w:sz w:val="24"/>
      <w:lang w:eastAsia="en-US"/>
    </w:rPr>
  </w:style>
  <w:style w:type="paragraph" w:styleId="Footer">
    <w:name w:val="footer"/>
    <w:basedOn w:val="Normal"/>
    <w:link w:val="FooterChar"/>
    <w:rsid w:val="004773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3AF"/>
    <w:rPr>
      <w:rFonts w:ascii="Times New Roman" w:eastAsia="Times New Roman" w:hAnsi="Times New Roman" w:cs="Times New Roman"/>
      <w:sz w:val="16"/>
      <w:lang w:eastAsia="en-US"/>
    </w:rPr>
  </w:style>
  <w:style w:type="paragraph" w:styleId="ListBullet">
    <w:name w:val="List Bullet"/>
    <w:basedOn w:val="List"/>
    <w:rsid w:val="004773AF"/>
    <w:pPr>
      <w:numPr>
        <w:numId w:val="14"/>
      </w:numPr>
      <w:tabs>
        <w:tab w:val="clear" w:pos="340"/>
      </w:tabs>
      <w:spacing w:before="40" w:after="40"/>
    </w:pPr>
  </w:style>
  <w:style w:type="character" w:customStyle="1" w:styleId="SpecialBold">
    <w:name w:val="Special Bold"/>
    <w:basedOn w:val="DefaultParagraphFont"/>
    <w:rsid w:val="004773AF"/>
    <w:rPr>
      <w:b/>
      <w:spacing w:val="0"/>
    </w:rPr>
  </w:style>
  <w:style w:type="paragraph" w:styleId="ListBullet2">
    <w:name w:val="List Bullet 2"/>
    <w:basedOn w:val="List2"/>
    <w:rsid w:val="004773AF"/>
    <w:pPr>
      <w:numPr>
        <w:numId w:val="15"/>
      </w:numPr>
      <w:tabs>
        <w:tab w:val="clear" w:pos="680"/>
      </w:tabs>
    </w:pPr>
  </w:style>
  <w:style w:type="paragraph" w:customStyle="1" w:styleId="SuperHeading">
    <w:name w:val="SuperHeading"/>
    <w:basedOn w:val="Normal"/>
    <w:rsid w:val="004773AF"/>
    <w:pPr>
      <w:spacing w:before="240" w:after="120"/>
      <w:outlineLvl w:val="0"/>
    </w:pPr>
    <w:rPr>
      <w:rFonts w:ascii="Times New Roman" w:hAnsi="Times New Roman"/>
      <w:b/>
      <w:sz w:val="28"/>
    </w:rPr>
  </w:style>
  <w:style w:type="paragraph" w:customStyle="1" w:styleId="AllowPageBreak">
    <w:name w:val="AllowPageBreak"/>
    <w:rsid w:val="004773A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73AF"/>
    <w:pPr>
      <w:numPr>
        <w:numId w:val="3"/>
      </w:numPr>
      <w:tabs>
        <w:tab w:val="clear" w:pos="1021"/>
      </w:tabs>
      <w:ind w:left="1037" w:hanging="357"/>
    </w:pPr>
  </w:style>
  <w:style w:type="character" w:customStyle="1" w:styleId="Heading2Char">
    <w:name w:val="Heading 2 Char"/>
    <w:basedOn w:val="DefaultParagraphFont"/>
    <w:link w:val="Heading2"/>
    <w:rsid w:val="004773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3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3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3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3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3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3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3AF"/>
    <w:rPr>
      <w:rFonts w:ascii="Courier New" w:eastAsia="Times New Roman" w:hAnsi="Courier New" w:cs="Times New Roman"/>
      <w:i/>
      <w:szCs w:val="20"/>
      <w:lang w:eastAsia="en-US"/>
    </w:rPr>
  </w:style>
  <w:style w:type="paragraph" w:customStyle="1" w:styleId="HeadingBase">
    <w:name w:val="Heading Base"/>
    <w:rsid w:val="004773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3AF"/>
    <w:pPr>
      <w:tabs>
        <w:tab w:val="right" w:leader="dot" w:pos="9072"/>
      </w:tabs>
      <w:ind w:left="567"/>
    </w:pPr>
    <w:rPr>
      <w:szCs w:val="22"/>
    </w:rPr>
  </w:style>
  <w:style w:type="paragraph" w:customStyle="1" w:styleId="TOCBase">
    <w:name w:val="TOC Base"/>
    <w:rsid w:val="004773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3AF"/>
    <w:pPr>
      <w:tabs>
        <w:tab w:val="right" w:leader="dot" w:pos="9072"/>
      </w:tabs>
      <w:spacing w:before="40" w:after="40"/>
      <w:ind w:left="284"/>
    </w:pPr>
    <w:rPr>
      <w:rFonts w:ascii="Times New Roman" w:hAnsi="Times New Roman"/>
    </w:rPr>
  </w:style>
  <w:style w:type="paragraph" w:styleId="TOC1">
    <w:name w:val="toc 1"/>
    <w:basedOn w:val="TOCBase"/>
    <w:next w:val="Normal"/>
    <w:rsid w:val="004773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73AF"/>
    <w:pPr>
      <w:spacing w:before="5040"/>
      <w:jc w:val="center"/>
    </w:pPr>
    <w:rPr>
      <w:sz w:val="48"/>
      <w:szCs w:val="72"/>
      <w:lang w:val="en-US"/>
    </w:rPr>
  </w:style>
  <w:style w:type="character" w:customStyle="1" w:styleId="TitleChar">
    <w:name w:val="Title Char"/>
    <w:basedOn w:val="DefaultParagraphFont"/>
    <w:link w:val="Title"/>
    <w:rsid w:val="004773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3AF"/>
    <w:pPr>
      <w:tabs>
        <w:tab w:val="left" w:pos="3600"/>
        <w:tab w:val="left" w:pos="3958"/>
      </w:tabs>
    </w:pPr>
  </w:style>
  <w:style w:type="paragraph" w:styleId="List">
    <w:name w:val="List"/>
    <w:basedOn w:val="BodyText"/>
    <w:next w:val="BodyText"/>
    <w:rsid w:val="004773AF"/>
    <w:pPr>
      <w:tabs>
        <w:tab w:val="left" w:pos="340"/>
      </w:tabs>
      <w:spacing w:before="60" w:after="60"/>
      <w:ind w:left="340" w:hanging="340"/>
    </w:pPr>
  </w:style>
  <w:style w:type="paragraph" w:customStyle="1" w:styleId="Note">
    <w:name w:val="Note"/>
    <w:basedOn w:val="BodyText"/>
    <w:rsid w:val="004773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3AF"/>
    <w:pPr>
      <w:framePr w:wrap="auto" w:hAnchor="text" w:y="6049"/>
    </w:pPr>
    <w:rPr>
      <w:color w:val="000000"/>
      <w:sz w:val="40"/>
    </w:rPr>
  </w:style>
  <w:style w:type="paragraph" w:customStyle="1" w:styleId="TOCTitle">
    <w:name w:val="TOCTitle"/>
    <w:basedOn w:val="Heading1"/>
    <w:rsid w:val="004773AF"/>
    <w:pPr>
      <w:spacing w:after="240"/>
      <w:jc w:val="center"/>
      <w:outlineLvl w:val="9"/>
    </w:pPr>
    <w:rPr>
      <w:caps/>
    </w:rPr>
  </w:style>
  <w:style w:type="paragraph" w:customStyle="1" w:styleId="Version">
    <w:name w:val="Version"/>
    <w:rsid w:val="004773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3AF"/>
    <w:pPr>
      <w:keepNext w:val="0"/>
      <w:tabs>
        <w:tab w:val="right" w:pos="4176"/>
      </w:tabs>
      <w:ind w:left="198" w:hanging="198"/>
    </w:pPr>
    <w:rPr>
      <w:rFonts w:ascii="Garamond" w:hAnsi="Garamond"/>
    </w:rPr>
  </w:style>
  <w:style w:type="paragraph" w:styleId="IndexHeading">
    <w:name w:val="index heading"/>
    <w:basedOn w:val="Normal"/>
    <w:next w:val="Index1"/>
    <w:semiHidden/>
    <w:rsid w:val="004773AF"/>
    <w:pPr>
      <w:spacing w:before="120" w:after="120"/>
    </w:pPr>
    <w:rPr>
      <w:rFonts w:ascii="Arial" w:hAnsi="Arial"/>
      <w:b/>
      <w:color w:val="918585"/>
      <w:sz w:val="24"/>
    </w:rPr>
  </w:style>
  <w:style w:type="paragraph" w:styleId="Header">
    <w:name w:val="header"/>
    <w:basedOn w:val="Normal"/>
    <w:link w:val="HeaderChar"/>
    <w:rsid w:val="004773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3AF"/>
    <w:rPr>
      <w:rFonts w:ascii="Times New Roman" w:eastAsia="Times New Roman" w:hAnsi="Times New Roman" w:cs="Times New Roman"/>
      <w:sz w:val="16"/>
      <w:szCs w:val="20"/>
      <w:lang w:val="en-GB" w:eastAsia="en-US"/>
    </w:rPr>
  </w:style>
  <w:style w:type="paragraph" w:customStyle="1" w:styleId="Chapter">
    <w:name w:val="Chapter"/>
    <w:basedOn w:val="Normal"/>
    <w:rsid w:val="004773AF"/>
    <w:pPr>
      <w:spacing w:before="240"/>
    </w:pPr>
    <w:rPr>
      <w:rFonts w:ascii="Times New Roman" w:hAnsi="Times New Roman"/>
      <w:smallCaps/>
      <w:spacing w:val="80"/>
      <w:sz w:val="28"/>
    </w:rPr>
  </w:style>
  <w:style w:type="paragraph" w:customStyle="1" w:styleId="InChapter">
    <w:name w:val="InChapter"/>
    <w:basedOn w:val="Heading3"/>
    <w:rsid w:val="004773AF"/>
    <w:pPr>
      <w:spacing w:after="240"/>
      <w:outlineLvl w:val="9"/>
    </w:pPr>
    <w:rPr>
      <w:noProof/>
    </w:rPr>
  </w:style>
  <w:style w:type="paragraph" w:styleId="Index2">
    <w:name w:val="index 2"/>
    <w:basedOn w:val="Normal"/>
    <w:next w:val="Normal"/>
    <w:semiHidden/>
    <w:rsid w:val="004773AF"/>
    <w:pPr>
      <w:tabs>
        <w:tab w:val="right" w:pos="4176"/>
      </w:tabs>
      <w:ind w:left="568" w:hanging="284"/>
    </w:pPr>
    <w:rPr>
      <w:rFonts w:ascii="Garamond" w:hAnsi="Garamond"/>
    </w:rPr>
  </w:style>
  <w:style w:type="paragraph" w:customStyle="1" w:styleId="Byline">
    <w:name w:val="Byline"/>
    <w:rsid w:val="004773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3AF"/>
    <w:pPr>
      <w:tabs>
        <w:tab w:val="clear" w:pos="3600"/>
        <w:tab w:val="clear" w:pos="3958"/>
      </w:tabs>
      <w:jc w:val="right"/>
    </w:pPr>
  </w:style>
  <w:style w:type="character" w:styleId="Emphasis">
    <w:name w:val="Emphasis"/>
    <w:basedOn w:val="DefaultParagraphFont"/>
    <w:qFormat/>
    <w:rsid w:val="004773AF"/>
    <w:rPr>
      <w:i/>
    </w:rPr>
  </w:style>
  <w:style w:type="paragraph" w:styleId="Caption">
    <w:name w:val="caption"/>
    <w:basedOn w:val="BodyText"/>
    <w:next w:val="Normal"/>
    <w:qFormat/>
    <w:rsid w:val="004773AF"/>
    <w:pPr>
      <w:framePr w:w="2268" w:hSpace="181" w:vSpace="181" w:wrap="around" w:vAnchor="text" w:hAnchor="page" w:x="1135" w:y="285" w:anchorLock="1"/>
    </w:pPr>
    <w:rPr>
      <w:i/>
    </w:rPr>
  </w:style>
  <w:style w:type="paragraph" w:customStyle="1" w:styleId="MiniTOCTitle">
    <w:name w:val="MiniTOCTitle"/>
    <w:basedOn w:val="Heading4"/>
    <w:rsid w:val="004773AF"/>
    <w:pPr>
      <w:spacing w:before="240"/>
      <w:outlineLvl w:val="9"/>
    </w:pPr>
    <w:rPr>
      <w:noProof/>
      <w:sz w:val="24"/>
    </w:rPr>
  </w:style>
  <w:style w:type="paragraph" w:customStyle="1" w:styleId="MiniTOCItem">
    <w:name w:val="MiniTOCItem"/>
    <w:basedOn w:val="ListBullet"/>
    <w:rsid w:val="004773AF"/>
    <w:pPr>
      <w:numPr>
        <w:numId w:val="0"/>
      </w:numPr>
      <w:tabs>
        <w:tab w:val="right" w:leader="dot" w:pos="6521"/>
      </w:tabs>
      <w:spacing w:before="0" w:after="0"/>
    </w:pPr>
  </w:style>
  <w:style w:type="paragraph" w:customStyle="1" w:styleId="TOFTitle">
    <w:name w:val="TOFTitle"/>
    <w:basedOn w:val="TOCTitle"/>
    <w:rsid w:val="004773AF"/>
  </w:style>
  <w:style w:type="paragraph" w:styleId="TableofFigures">
    <w:name w:val="table of figures"/>
    <w:basedOn w:val="Normal"/>
    <w:next w:val="Normal"/>
    <w:semiHidden/>
    <w:rsid w:val="004773AF"/>
    <w:pPr>
      <w:tabs>
        <w:tab w:val="right" w:leader="dot" w:pos="9072"/>
      </w:tabs>
      <w:ind w:left="970" w:hanging="403"/>
    </w:pPr>
    <w:rPr>
      <w:rFonts w:ascii="Times New Roman" w:hAnsi="Times New Roman"/>
      <w:b/>
    </w:rPr>
  </w:style>
  <w:style w:type="paragraph" w:styleId="ListNumber">
    <w:name w:val="List Number"/>
    <w:basedOn w:val="List"/>
    <w:rsid w:val="004773AF"/>
    <w:pPr>
      <w:numPr>
        <w:numId w:val="12"/>
      </w:numPr>
    </w:pPr>
  </w:style>
  <w:style w:type="character" w:customStyle="1" w:styleId="WingdingSymbols">
    <w:name w:val="Wingding Symbols"/>
    <w:rsid w:val="004773AF"/>
    <w:rPr>
      <w:rFonts w:ascii="Wingdings" w:hAnsi="Wingdings"/>
    </w:rPr>
  </w:style>
  <w:style w:type="paragraph" w:customStyle="1" w:styleId="TableHeading">
    <w:name w:val="Table Heading"/>
    <w:basedOn w:val="HeadingBase"/>
    <w:rsid w:val="004773AF"/>
    <w:pPr>
      <w:keepLines/>
      <w:pBdr>
        <w:bottom w:val="single" w:sz="6" w:space="1" w:color="918585"/>
      </w:pBdr>
      <w:spacing w:before="240"/>
    </w:pPr>
  </w:style>
  <w:style w:type="character" w:customStyle="1" w:styleId="HotSpot">
    <w:name w:val="HotSpot"/>
    <w:rsid w:val="004773AF"/>
    <w:rPr>
      <w:color w:val="0033CC"/>
      <w:u w:val="none"/>
    </w:rPr>
  </w:style>
  <w:style w:type="paragraph" w:customStyle="1" w:styleId="BodyTextRight">
    <w:name w:val="Body Text Right"/>
    <w:basedOn w:val="BodyText"/>
    <w:rsid w:val="004773AF"/>
    <w:pPr>
      <w:spacing w:before="0" w:after="0"/>
      <w:jc w:val="right"/>
    </w:pPr>
  </w:style>
  <w:style w:type="paragraph" w:styleId="Index3">
    <w:name w:val="index 3"/>
    <w:basedOn w:val="ListNumber2"/>
    <w:next w:val="Normal"/>
    <w:semiHidden/>
    <w:rsid w:val="004773AF"/>
    <w:pPr>
      <w:numPr>
        <w:numId w:val="0"/>
      </w:numPr>
      <w:tabs>
        <w:tab w:val="right" w:leader="dot" w:pos="4176"/>
      </w:tabs>
    </w:pPr>
  </w:style>
  <w:style w:type="paragraph" w:styleId="ListNumber2">
    <w:name w:val="List Number 2"/>
    <w:basedOn w:val="List2"/>
    <w:rsid w:val="004773AF"/>
    <w:pPr>
      <w:numPr>
        <w:numId w:val="11"/>
      </w:numPr>
      <w:tabs>
        <w:tab w:val="clear" w:pos="1060"/>
      </w:tabs>
    </w:pPr>
  </w:style>
  <w:style w:type="paragraph" w:customStyle="1" w:styleId="MarginNote">
    <w:name w:val="Margin Note"/>
    <w:basedOn w:val="BodyText"/>
    <w:rsid w:val="004773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3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3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3AF"/>
    <w:rPr>
      <w:sz w:val="32"/>
    </w:rPr>
  </w:style>
  <w:style w:type="paragraph" w:customStyle="1" w:styleId="HeadingProcedure">
    <w:name w:val="Heading Procedure"/>
    <w:basedOn w:val="HeadingBase"/>
    <w:next w:val="Normal"/>
    <w:rsid w:val="004773AF"/>
    <w:pPr>
      <w:tabs>
        <w:tab w:val="left" w:pos="0"/>
      </w:tabs>
      <w:spacing w:before="120" w:after="60"/>
    </w:pPr>
    <w:rPr>
      <w:i/>
      <w:color w:val="918585"/>
      <w:sz w:val="22"/>
    </w:rPr>
  </w:style>
  <w:style w:type="paragraph" w:customStyle="1" w:styleId="TableBodyText">
    <w:name w:val="Table Body Text"/>
    <w:basedOn w:val="BodyText"/>
    <w:rsid w:val="004773AF"/>
    <w:pPr>
      <w:spacing w:before="60" w:after="60"/>
    </w:pPr>
  </w:style>
  <w:style w:type="paragraph" w:styleId="ListContinue">
    <w:name w:val="List Continue"/>
    <w:basedOn w:val="List"/>
    <w:rsid w:val="004773AF"/>
    <w:pPr>
      <w:ind w:firstLine="0"/>
    </w:pPr>
  </w:style>
  <w:style w:type="paragraph" w:customStyle="1" w:styleId="ListNote">
    <w:name w:val="List Note"/>
    <w:basedOn w:val="List"/>
    <w:rsid w:val="004773AF"/>
    <w:pPr>
      <w:pBdr>
        <w:top w:val="single" w:sz="6" w:space="2" w:color="918585"/>
        <w:bottom w:val="single" w:sz="6" w:space="2" w:color="918585"/>
      </w:pBdr>
      <w:tabs>
        <w:tab w:val="left" w:pos="1021"/>
      </w:tabs>
      <w:ind w:firstLine="0"/>
    </w:pPr>
  </w:style>
  <w:style w:type="paragraph" w:customStyle="1" w:styleId="Warning">
    <w:name w:val="Warning"/>
    <w:basedOn w:val="BodyText"/>
    <w:rsid w:val="004773AF"/>
    <w:pPr>
      <w:shd w:val="clear" w:color="auto" w:fill="D9D9D9"/>
      <w:tabs>
        <w:tab w:val="left" w:pos="992"/>
      </w:tabs>
      <w:ind w:left="119" w:right="119"/>
    </w:pPr>
    <w:rPr>
      <w:sz w:val="20"/>
    </w:rPr>
  </w:style>
  <w:style w:type="paragraph" w:customStyle="1" w:styleId="MarginIcons">
    <w:name w:val="Margin Icons"/>
    <w:basedOn w:val="BodyText"/>
    <w:rsid w:val="004773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3AF"/>
    <w:rPr>
      <w:rFonts w:ascii="Courier New" w:hAnsi="Courier New"/>
    </w:rPr>
  </w:style>
  <w:style w:type="paragraph" w:customStyle="1" w:styleId="NoteBullet">
    <w:name w:val="Note Bullet"/>
    <w:basedOn w:val="Note"/>
    <w:rsid w:val="004773AF"/>
    <w:pPr>
      <w:tabs>
        <w:tab w:val="clear" w:pos="680"/>
      </w:tabs>
      <w:spacing w:before="60" w:after="60"/>
    </w:pPr>
  </w:style>
  <w:style w:type="paragraph" w:customStyle="1" w:styleId="SubHeading2">
    <w:name w:val="SubHeading2"/>
    <w:basedOn w:val="HeadingBase"/>
    <w:rsid w:val="004773AF"/>
    <w:pPr>
      <w:spacing w:before="240" w:after="60"/>
    </w:pPr>
    <w:rPr>
      <w:sz w:val="20"/>
    </w:rPr>
  </w:style>
  <w:style w:type="paragraph" w:customStyle="1" w:styleId="SubHeading1">
    <w:name w:val="SubHeading1"/>
    <w:basedOn w:val="HeadingBase"/>
    <w:rsid w:val="004773AF"/>
    <w:pPr>
      <w:spacing w:before="240" w:after="60"/>
    </w:pPr>
    <w:rPr>
      <w:color w:val="918585"/>
      <w:sz w:val="22"/>
    </w:rPr>
  </w:style>
  <w:style w:type="paragraph" w:customStyle="1" w:styleId="SideHeading">
    <w:name w:val="Side Heading"/>
    <w:basedOn w:val="HeadingBase"/>
    <w:rsid w:val="004773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3AF"/>
    <w:pPr>
      <w:numPr>
        <w:numId w:val="13"/>
      </w:numPr>
    </w:pPr>
  </w:style>
  <w:style w:type="paragraph" w:styleId="PlainText">
    <w:name w:val="Plain Text"/>
    <w:basedOn w:val="Normal"/>
    <w:link w:val="PlainTextChar"/>
    <w:rsid w:val="004773AF"/>
    <w:rPr>
      <w:sz w:val="20"/>
    </w:rPr>
  </w:style>
  <w:style w:type="character" w:customStyle="1" w:styleId="PlainTextChar">
    <w:name w:val="Plain Text Char"/>
    <w:basedOn w:val="DefaultParagraphFont"/>
    <w:link w:val="PlainText"/>
    <w:rsid w:val="004773AF"/>
    <w:rPr>
      <w:rFonts w:ascii="Courier New" w:eastAsia="Times New Roman" w:hAnsi="Courier New" w:cs="Times New Roman"/>
      <w:sz w:val="20"/>
      <w:szCs w:val="20"/>
      <w:lang w:eastAsia="en-US"/>
    </w:rPr>
  </w:style>
  <w:style w:type="character" w:customStyle="1" w:styleId="MenuOption">
    <w:name w:val="Menu Option"/>
    <w:basedOn w:val="DefaultParagraphFont"/>
    <w:rsid w:val="004773AF"/>
    <w:rPr>
      <w:b/>
      <w:smallCaps/>
    </w:rPr>
  </w:style>
  <w:style w:type="paragraph" w:customStyle="1" w:styleId="TableListNumber">
    <w:name w:val="Table List Number"/>
    <w:basedOn w:val="ListNumber"/>
    <w:rsid w:val="004773AF"/>
    <w:pPr>
      <w:numPr>
        <w:numId w:val="0"/>
      </w:numPr>
    </w:pPr>
  </w:style>
  <w:style w:type="paragraph" w:styleId="TOC4">
    <w:name w:val="toc 4"/>
    <w:basedOn w:val="TOCBase"/>
    <w:next w:val="Normal"/>
    <w:semiHidden/>
    <w:rsid w:val="004773AF"/>
    <w:pPr>
      <w:tabs>
        <w:tab w:val="right" w:leader="dot" w:pos="9071"/>
      </w:tabs>
      <w:ind w:left="1701"/>
    </w:pPr>
  </w:style>
  <w:style w:type="paragraph" w:customStyle="1" w:styleId="ListAlpha">
    <w:name w:val="List Alpha"/>
    <w:basedOn w:val="List"/>
    <w:rsid w:val="004773AF"/>
    <w:pPr>
      <w:numPr>
        <w:numId w:val="10"/>
      </w:numPr>
    </w:pPr>
  </w:style>
  <w:style w:type="paragraph" w:customStyle="1" w:styleId="ListAlpha2">
    <w:name w:val="List Alpha 2"/>
    <w:basedOn w:val="List2"/>
    <w:rsid w:val="004773AF"/>
    <w:pPr>
      <w:numPr>
        <w:numId w:val="9"/>
      </w:numPr>
    </w:pPr>
  </w:style>
  <w:style w:type="paragraph" w:styleId="List2">
    <w:name w:val="List 2"/>
    <w:basedOn w:val="BodyText"/>
    <w:rsid w:val="004773AF"/>
    <w:pPr>
      <w:tabs>
        <w:tab w:val="left" w:pos="680"/>
      </w:tabs>
      <w:spacing w:before="60" w:after="60"/>
      <w:ind w:left="680" w:hanging="340"/>
    </w:pPr>
  </w:style>
  <w:style w:type="paragraph" w:styleId="List3">
    <w:name w:val="List 3"/>
    <w:basedOn w:val="BodyText"/>
    <w:rsid w:val="004773AF"/>
    <w:pPr>
      <w:tabs>
        <w:tab w:val="left" w:pos="1021"/>
      </w:tabs>
      <w:spacing w:before="60" w:after="60"/>
      <w:ind w:left="1020" w:hanging="340"/>
    </w:pPr>
  </w:style>
  <w:style w:type="paragraph" w:styleId="List4">
    <w:name w:val="List 4"/>
    <w:basedOn w:val="BodyText"/>
    <w:rsid w:val="004773AF"/>
    <w:pPr>
      <w:tabs>
        <w:tab w:val="left" w:pos="1361"/>
      </w:tabs>
      <w:spacing w:before="60" w:after="60"/>
      <w:ind w:left="1361" w:hanging="340"/>
    </w:pPr>
  </w:style>
  <w:style w:type="paragraph" w:styleId="List5">
    <w:name w:val="List 5"/>
    <w:basedOn w:val="BodyText"/>
    <w:rsid w:val="004773AF"/>
    <w:pPr>
      <w:tabs>
        <w:tab w:val="left" w:pos="1701"/>
      </w:tabs>
      <w:spacing w:before="60" w:after="60"/>
      <w:ind w:left="1701" w:hanging="340"/>
    </w:pPr>
  </w:style>
  <w:style w:type="paragraph" w:styleId="ListBullet4">
    <w:name w:val="List Bullet 4"/>
    <w:basedOn w:val="List4"/>
    <w:rsid w:val="004773AF"/>
    <w:pPr>
      <w:numPr>
        <w:numId w:val="4"/>
      </w:numPr>
    </w:pPr>
  </w:style>
  <w:style w:type="paragraph" w:styleId="ListBullet5">
    <w:name w:val="List Bullet 5"/>
    <w:basedOn w:val="List5"/>
    <w:rsid w:val="004773AF"/>
    <w:pPr>
      <w:numPr>
        <w:numId w:val="5"/>
      </w:numPr>
    </w:pPr>
  </w:style>
  <w:style w:type="paragraph" w:styleId="ListContinue2">
    <w:name w:val="List Continue 2"/>
    <w:basedOn w:val="List2"/>
    <w:rsid w:val="004773AF"/>
    <w:pPr>
      <w:ind w:firstLine="0"/>
    </w:pPr>
  </w:style>
  <w:style w:type="paragraph" w:styleId="ListContinue3">
    <w:name w:val="List Continue 3"/>
    <w:basedOn w:val="List3"/>
    <w:rsid w:val="004773AF"/>
    <w:pPr>
      <w:ind w:left="1021" w:firstLine="0"/>
    </w:pPr>
  </w:style>
  <w:style w:type="paragraph" w:styleId="ListContinue4">
    <w:name w:val="List Continue 4"/>
    <w:basedOn w:val="List4"/>
    <w:rsid w:val="004773AF"/>
    <w:pPr>
      <w:ind w:firstLine="0"/>
    </w:pPr>
  </w:style>
  <w:style w:type="paragraph" w:styleId="ListContinue5">
    <w:name w:val="List Continue 5"/>
    <w:basedOn w:val="List5"/>
    <w:rsid w:val="004773AF"/>
    <w:pPr>
      <w:ind w:firstLine="0"/>
    </w:pPr>
  </w:style>
  <w:style w:type="paragraph" w:styleId="ListNumber3">
    <w:name w:val="List Number 3"/>
    <w:basedOn w:val="List3"/>
    <w:rsid w:val="004773AF"/>
    <w:pPr>
      <w:numPr>
        <w:numId w:val="6"/>
      </w:numPr>
    </w:pPr>
  </w:style>
  <w:style w:type="paragraph" w:styleId="ListNumber4">
    <w:name w:val="List Number 4"/>
    <w:basedOn w:val="List4"/>
    <w:rsid w:val="004773AF"/>
    <w:pPr>
      <w:numPr>
        <w:numId w:val="7"/>
      </w:numPr>
    </w:pPr>
  </w:style>
  <w:style w:type="paragraph" w:styleId="ListNumber5">
    <w:name w:val="List Number 5"/>
    <w:basedOn w:val="List5"/>
    <w:rsid w:val="004773AF"/>
    <w:pPr>
      <w:numPr>
        <w:numId w:val="8"/>
      </w:numPr>
    </w:pPr>
  </w:style>
  <w:style w:type="paragraph" w:styleId="BlockText">
    <w:name w:val="Block Text"/>
    <w:basedOn w:val="Normal"/>
    <w:rsid w:val="004773AF"/>
    <w:pPr>
      <w:spacing w:after="120"/>
      <w:ind w:left="1440" w:right="1440"/>
    </w:pPr>
  </w:style>
  <w:style w:type="character" w:customStyle="1" w:styleId="Subscript">
    <w:name w:val="Subscript"/>
    <w:basedOn w:val="DefaultParagraphFont"/>
    <w:rsid w:val="004773AF"/>
    <w:rPr>
      <w:sz w:val="16"/>
      <w:vertAlign w:val="subscript"/>
    </w:rPr>
  </w:style>
  <w:style w:type="character" w:customStyle="1" w:styleId="Superscript">
    <w:name w:val="Superscript"/>
    <w:basedOn w:val="DefaultParagraphFont"/>
    <w:rsid w:val="004773AF"/>
    <w:rPr>
      <w:sz w:val="16"/>
      <w:vertAlign w:val="superscript"/>
    </w:rPr>
  </w:style>
  <w:style w:type="character" w:customStyle="1" w:styleId="Symbols">
    <w:name w:val="Symbols"/>
    <w:basedOn w:val="DefaultParagraphFont"/>
    <w:rsid w:val="004773AF"/>
    <w:rPr>
      <w:rFonts w:ascii="Symbol" w:hAnsi="Symbol"/>
    </w:rPr>
  </w:style>
  <w:style w:type="character" w:customStyle="1" w:styleId="MenuOptions">
    <w:name w:val="Menu Options"/>
    <w:basedOn w:val="DefaultParagraphFont"/>
    <w:rsid w:val="004773AF"/>
    <w:rPr>
      <w:rFonts w:ascii="Arial Narrow" w:hAnsi="Arial Narrow"/>
      <w:smallCaps/>
    </w:rPr>
  </w:style>
  <w:style w:type="character" w:customStyle="1" w:styleId="Buttons">
    <w:name w:val="Buttons"/>
    <w:basedOn w:val="DefaultParagraphFont"/>
    <w:rsid w:val="004773AF"/>
    <w:rPr>
      <w:b/>
    </w:rPr>
  </w:style>
  <w:style w:type="character" w:customStyle="1" w:styleId="Underlined">
    <w:name w:val="Underlined"/>
    <w:basedOn w:val="DefaultParagraphFont"/>
    <w:rsid w:val="004773AF"/>
    <w:rPr>
      <w:u w:val="single"/>
    </w:rPr>
  </w:style>
  <w:style w:type="paragraph" w:customStyle="1" w:styleId="TableBodyTextRight">
    <w:name w:val="Table Body Text Right"/>
    <w:basedOn w:val="TableBodyText"/>
    <w:rsid w:val="004773AF"/>
    <w:pPr>
      <w:widowControl w:val="0"/>
      <w:autoSpaceDE w:val="0"/>
      <w:autoSpaceDN w:val="0"/>
      <w:adjustRightInd w:val="0"/>
      <w:jc w:val="right"/>
    </w:pPr>
    <w:rPr>
      <w:rFonts w:cs="Arial"/>
      <w:szCs w:val="18"/>
    </w:rPr>
  </w:style>
  <w:style w:type="paragraph" w:customStyle="1" w:styleId="CopyrightText">
    <w:name w:val="Copyright Text"/>
    <w:basedOn w:val="BodyText"/>
    <w:rsid w:val="004773AF"/>
    <w:rPr>
      <w:sz w:val="18"/>
    </w:rPr>
  </w:style>
  <w:style w:type="paragraph" w:customStyle="1" w:styleId="BodySmallRight">
    <w:name w:val="Body Small Right"/>
    <w:basedOn w:val="BodyTextRight"/>
    <w:rsid w:val="004773AF"/>
    <w:rPr>
      <w:sz w:val="18"/>
      <w:szCs w:val="18"/>
    </w:rPr>
  </w:style>
  <w:style w:type="paragraph" w:customStyle="1" w:styleId="MarginEdition">
    <w:name w:val="Margin Edition"/>
    <w:basedOn w:val="MarginNote"/>
    <w:rsid w:val="004773AF"/>
    <w:pPr>
      <w:spacing w:before="0" w:after="0"/>
    </w:pPr>
    <w:rPr>
      <w:rFonts w:ascii="Times New Roman" w:hAnsi="Times New Roman"/>
      <w:color w:val="999999"/>
    </w:rPr>
  </w:style>
  <w:style w:type="paragraph" w:customStyle="1" w:styleId="Spacer">
    <w:name w:val="Spacer"/>
    <w:basedOn w:val="Normal"/>
    <w:rsid w:val="004773AF"/>
    <w:rPr>
      <w:sz w:val="2"/>
      <w:szCs w:val="2"/>
    </w:rPr>
  </w:style>
  <w:style w:type="character" w:customStyle="1" w:styleId="Small">
    <w:name w:val="Small"/>
    <w:basedOn w:val="DefaultParagraphFont"/>
    <w:rsid w:val="004773AF"/>
    <w:rPr>
      <w:sz w:val="16"/>
    </w:rPr>
  </w:style>
  <w:style w:type="paragraph" w:customStyle="1" w:styleId="WideTable">
    <w:name w:val="Wide Table"/>
    <w:basedOn w:val="Normal"/>
    <w:rsid w:val="004773AF"/>
    <w:pPr>
      <w:ind w:left="-1418"/>
    </w:pPr>
    <w:rPr>
      <w:sz w:val="2"/>
      <w:szCs w:val="2"/>
    </w:rPr>
  </w:style>
  <w:style w:type="character" w:styleId="PageNumber">
    <w:name w:val="page number"/>
    <w:basedOn w:val="DefaultParagraphFont"/>
    <w:rsid w:val="004773AF"/>
  </w:style>
  <w:style w:type="paragraph" w:styleId="Quote">
    <w:name w:val="Quote"/>
    <w:basedOn w:val="Heading1"/>
    <w:link w:val="QuoteChar"/>
    <w:qFormat/>
    <w:rsid w:val="004773AF"/>
    <w:rPr>
      <w:b w:val="0"/>
      <w:sz w:val="72"/>
      <w:szCs w:val="72"/>
      <w:lang w:val="en-NZ"/>
    </w:rPr>
  </w:style>
  <w:style w:type="character" w:customStyle="1" w:styleId="QuoteChar">
    <w:name w:val="Quote Char"/>
    <w:basedOn w:val="DefaultParagraphFont"/>
    <w:link w:val="Quote"/>
    <w:rsid w:val="004773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3AF"/>
    <w:pPr>
      <w:pageBreakBefore/>
    </w:pPr>
  </w:style>
  <w:style w:type="paragraph" w:customStyle="1" w:styleId="Border">
    <w:name w:val="Border"/>
    <w:basedOn w:val="Normal"/>
    <w:qFormat/>
    <w:rsid w:val="004773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3AF"/>
    <w:rPr>
      <w:b/>
      <w:bCs/>
      <w:i/>
      <w:iCs/>
      <w:color w:val="auto"/>
    </w:rPr>
  </w:style>
  <w:style w:type="paragraph" w:styleId="IntenseQuote">
    <w:name w:val="Intense Quote"/>
    <w:basedOn w:val="Normal"/>
    <w:next w:val="Normal"/>
    <w:link w:val="IntenseQuoteChar"/>
    <w:uiPriority w:val="30"/>
    <w:qFormat/>
    <w:rsid w:val="004773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3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3AF"/>
    <w:rPr>
      <w:smallCaps/>
      <w:color w:val="auto"/>
      <w:u w:val="single"/>
    </w:rPr>
  </w:style>
  <w:style w:type="character" w:styleId="IntenseReference">
    <w:name w:val="Intense Reference"/>
    <w:basedOn w:val="DefaultParagraphFont"/>
    <w:uiPriority w:val="32"/>
    <w:qFormat/>
    <w:rsid w:val="004773AF"/>
    <w:rPr>
      <w:b/>
      <w:bCs/>
      <w:smallCaps/>
      <w:color w:val="auto"/>
      <w:spacing w:val="5"/>
      <w:u w:val="single"/>
    </w:rPr>
  </w:style>
  <w:style w:type="paragraph" w:customStyle="1" w:styleId="2ColumnHeading">
    <w:name w:val="2Column Heading"/>
    <w:basedOn w:val="BodyText"/>
    <w:qFormat/>
    <w:rsid w:val="004773AF"/>
    <w:pPr>
      <w:spacing w:after="60"/>
      <w:ind w:left="-2268"/>
    </w:pPr>
    <w:rPr>
      <w:b/>
    </w:rPr>
  </w:style>
  <w:style w:type="paragraph" w:customStyle="1" w:styleId="Heading1TOC">
    <w:name w:val="Heading1 TOC"/>
    <w:basedOn w:val="Normal"/>
    <w:qFormat/>
    <w:rsid w:val="004773AF"/>
    <w:pPr>
      <w:spacing w:before="240" w:after="120"/>
    </w:pPr>
    <w:rPr>
      <w:rFonts w:ascii="Times New Roman" w:hAnsi="Times New Roman"/>
      <w:b/>
      <w:sz w:val="32"/>
    </w:rPr>
  </w:style>
  <w:style w:type="paragraph" w:customStyle="1" w:styleId="Heading2TOC">
    <w:name w:val="Heading2 TOC"/>
    <w:basedOn w:val="Normal"/>
    <w:qFormat/>
    <w:rsid w:val="004773AF"/>
    <w:pPr>
      <w:spacing w:before="240" w:after="60"/>
    </w:pPr>
    <w:rPr>
      <w:rFonts w:ascii="Times New Roman" w:hAnsi="Times New Roman"/>
      <w:b/>
      <w:sz w:val="28"/>
    </w:rPr>
  </w:style>
  <w:style w:type="character" w:customStyle="1" w:styleId="Underline">
    <w:name w:val="Underline"/>
    <w:basedOn w:val="DefaultParagraphFont"/>
    <w:qFormat/>
    <w:rsid w:val="004773AF"/>
    <w:rPr>
      <w:u w:val="single"/>
    </w:rPr>
  </w:style>
  <w:style w:type="character" w:customStyle="1" w:styleId="BoldandItalics">
    <w:name w:val="Bold and Italics"/>
    <w:qFormat/>
    <w:rsid w:val="004773AF"/>
    <w:rPr>
      <w:b/>
      <w:i/>
      <w:u w:val="none"/>
    </w:rPr>
  </w:style>
  <w:style w:type="paragraph" w:styleId="BalloonText">
    <w:name w:val="Balloon Text"/>
    <w:basedOn w:val="Normal"/>
    <w:link w:val="BalloonTextChar"/>
    <w:rsid w:val="004773AF"/>
    <w:rPr>
      <w:rFonts w:ascii="Tahoma" w:hAnsi="Tahoma" w:cs="Tahoma"/>
      <w:sz w:val="16"/>
      <w:szCs w:val="16"/>
    </w:rPr>
  </w:style>
  <w:style w:type="character" w:customStyle="1" w:styleId="BalloonTextChar">
    <w:name w:val="Balloon Text Char"/>
    <w:basedOn w:val="DefaultParagraphFont"/>
    <w:link w:val="BalloonText"/>
    <w:rsid w:val="004773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3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73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3AF"/>
    <w:rPr>
      <w:b/>
      <w:color w:val="660033"/>
      <w:spacing w:val="0"/>
    </w:rPr>
  </w:style>
  <w:style w:type="paragraph" w:customStyle="1" w:styleId="Nameditemlist">
    <w:name w:val="Named item list"/>
    <w:basedOn w:val="BodyText"/>
    <w:qFormat/>
    <w:rsid w:val="004773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3933</Words>
  <Characters>25214</Characters>
  <Application>Microsoft Office Word</Application>
  <DocSecurity>0</DocSecurity>
  <Lines>938</Lines>
  <Paragraphs>364</Paragraphs>
  <ScaleCrop>false</ScaleCrop>
  <Company>Author-it Software Corporation Ltd.</Company>
  <LinksUpToDate>false</LinksUpToDate>
  <CharactersWithSpaces>28863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UETTDRDP15A Inspect, maintain and restore energised low voltage overhead distribution network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2012-10-11T19:40:00Z</dcterms:created>
  <dcterms:modified xsi:type="dcterms:W3CDTF">2012-10-11T19:40:00Z</dcterms:modified>
</cp:coreProperties>
</file>