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B2C" w:rsidP="00806B2C">
      <w:pPr>
        <w:pStyle w:val="Title"/>
      </w:pPr>
      <w:bookmarkStart w:id="0" w:name="_GoBack"/>
      <w:bookmarkEnd w:id="0"/>
      <w:r>
        <w:fldChar w:fldCharType="begin"/>
      </w:r>
      <w:r>
        <w:instrText xml:space="preserve"> TITLE   \* MERGEFORMAT </w:instrText>
      </w:r>
      <w:r>
        <w:fldChar w:fldCharType="separate"/>
      </w:r>
      <w:r>
        <w:t>UETTDRDP13A Maintain energised HV distribution overhead electrical apparatus (stick)</w:t>
      </w:r>
      <w:r>
        <w:fldChar w:fldCharType="end"/>
      </w:r>
    </w:p>
    <w:p w:rsidR="00806B2C" w:rsidP="00806B2C">
      <w:pPr>
        <w:pStyle w:val="Version"/>
        <w:sectPr w:rsidSect="00673D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DE1" w:rsidP="00673DE1">
      <w:pPr>
        <w:pStyle w:val="SuperHeading"/>
      </w:pPr>
      <w:r w:rsidRPr="00673DE1">
        <w:t>UETTDRDP13A Maintain energised HV distribution overhead electrical apparatus (stick)</w:t>
      </w:r>
    </w:p>
    <w:p w:rsidR="00000000" w:rsidRPr="00673DE1" w:rsidP="00673DE1">
      <w:pPr>
        <w:pStyle w:val="Heading1"/>
      </w:pPr>
      <w:bookmarkStart w:id="1" w:name="O_465530"/>
      <w:bookmarkEnd w:id="1"/>
      <w:r w:rsidRPr="00673DE1">
        <w:t>Modification History</w:t>
      </w:r>
    </w:p>
    <w:p w:rsidR="00000000" w:rsidRPr="00673DE1" w:rsidP="00673DE1">
      <w:pPr>
        <w:pStyle w:val="BodyText"/>
      </w:pPr>
      <w:r w:rsidRPr="00673DE1">
        <w:t>Not applicable.</w:t>
      </w:r>
    </w:p>
    <w:p w:rsidR="00000000" w:rsidRPr="00673DE1" w:rsidP="00673DE1">
      <w:pPr>
        <w:pStyle w:val="AllowPageBreak"/>
      </w:pPr>
    </w:p>
    <w:p w:rsidR="00000000" w:rsidRPr="00673DE1" w:rsidP="00673DE1">
      <w:pPr>
        <w:pStyle w:val="Heading1"/>
      </w:pPr>
      <w:bookmarkStart w:id="2" w:name="O_465528"/>
      <w:bookmarkEnd w:id="2"/>
      <w:r w:rsidRPr="00673DE1">
        <w:t>Unit Descri</w:t>
      </w:r>
      <w:r w:rsidRPr="00673DE1">
        <w:t>ptor</w:t>
      </w:r>
    </w:p>
    <w:tbl>
      <w:tblPr>
        <w:tblW w:w="0" w:type="auto"/>
        <w:tblLayout w:type="fixed"/>
        <w:tblCellMar>
          <w:left w:w="62" w:type="dxa"/>
          <w:right w:w="62" w:type="dxa"/>
        </w:tblCellMar>
        <w:tblLook w:val="0000"/>
      </w:tblPr>
      <w:tblGrid>
        <w:gridCol w:w="2700"/>
        <w:gridCol w:w="5760"/>
      </w:tblGrid>
      <w:tr w:rsidTr="00806B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1)</w:t>
            </w:r>
            <w:r w:rsidRPr="00673DE1">
              <w:t xml:space="preserve"> </w:t>
            </w:r>
            <w:r w:rsidRPr="00673DE1">
              <w:rPr>
                <w:rStyle w:val="SpecialBold"/>
              </w:rPr>
              <w:t>Scope:</w:t>
            </w:r>
          </w:p>
        </w:tc>
      </w:tr>
      <w:tr w:rsidTr="00806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3DE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1.1) Descriptor</w:t>
            </w:r>
          </w:p>
        </w:tc>
      </w:tr>
      <w:tr w:rsidTr="00806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 xml:space="preserve">This Competency Standard Unit covers the maintenance of energised high voltage distribution overhead electrical apparatus using high voltage </w:t>
            </w:r>
            <w:r w:rsidRPr="00673DE1">
              <w:t>live line sticks and includes the verification of the site conditions and the potential hazards, the conformation and calculation of physical loads and the selection of appropriate and authorised work method. It includes the preparation and cleaning of spe</w:t>
            </w:r>
            <w:r w:rsidRPr="00673DE1">
              <w:t xml:space="preserve">cialist material and tools in accordance with authorised technical instructions. It also encompasses the undertaking of OHS and safe working practices and the rendering inoperative of the automatic re-closing device including its restoration in accordance </w:t>
            </w:r>
            <w:r w:rsidRPr="00673DE1">
              <w:t>with the work plan and the procedure of issuing/accepting electrical access permits and or relevant working documents.</w:t>
            </w:r>
          </w:p>
        </w:tc>
      </w:tr>
    </w:tbl>
    <w:p w:rsidR="00000000" w:rsidRPr="00673DE1" w:rsidP="00673DE1">
      <w:pPr>
        <w:pStyle w:val="BodyText"/>
      </w:pPr>
    </w:p>
    <w:p w:rsidR="00000000" w:rsidRPr="00673DE1" w:rsidP="00673DE1">
      <w:pPr>
        <w:pStyle w:val="AllowPageBreak"/>
      </w:pPr>
    </w:p>
    <w:p w:rsidR="00000000" w:rsidRPr="00673DE1" w:rsidP="00673DE1">
      <w:pPr>
        <w:pStyle w:val="Heading1"/>
      </w:pPr>
      <w:bookmarkStart w:id="3" w:name="O_465517"/>
      <w:bookmarkEnd w:id="3"/>
      <w:r w:rsidRPr="00673DE1">
        <w:t>Application of the Unit</w:t>
      </w:r>
    </w:p>
    <w:tbl>
      <w:tblPr>
        <w:tblW w:w="0" w:type="auto"/>
        <w:tblLayout w:type="fixed"/>
        <w:tblCellMar>
          <w:left w:w="62" w:type="dxa"/>
          <w:right w:w="62" w:type="dxa"/>
        </w:tblCellMar>
        <w:tblLook w:val="0000"/>
      </w:tblPr>
      <w:tblGrid>
        <w:gridCol w:w="2672"/>
        <w:gridCol w:w="5699"/>
      </w:tblGrid>
      <w:tr w:rsidTr="00806B2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2)</w:t>
            </w:r>
          </w:p>
        </w:tc>
      </w:tr>
      <w:tr w:rsidTr="00806B2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This Competency Standard Unit is intended to augment formally acquired competencies. It is suitable for employment-based programs under an approved contract of training.</w:t>
            </w:r>
          </w:p>
        </w:tc>
      </w:tr>
    </w:tbl>
    <w:p w:rsidR="00000000" w:rsidRPr="00673DE1" w:rsidP="00673DE1">
      <w:pPr>
        <w:pStyle w:val="BodyText"/>
      </w:pPr>
    </w:p>
    <w:p w:rsidR="00000000" w:rsidRPr="00673DE1" w:rsidP="00673DE1">
      <w:pPr>
        <w:pStyle w:val="AllowPageBreak"/>
      </w:pPr>
    </w:p>
    <w:p w:rsidR="00000000" w:rsidRPr="00673DE1" w:rsidP="00673DE1">
      <w:pPr>
        <w:pStyle w:val="Heading1"/>
      </w:pPr>
      <w:bookmarkStart w:id="4" w:name="O_465524"/>
      <w:bookmarkEnd w:id="4"/>
      <w:r w:rsidRPr="00673DE1">
        <w:t>Licensing/Regulatory Information</w:t>
      </w:r>
    </w:p>
    <w:tbl>
      <w:tblPr>
        <w:tblW w:w="0" w:type="auto"/>
        <w:tblLayout w:type="fixed"/>
        <w:tblCellMar>
          <w:left w:w="62" w:type="dxa"/>
          <w:right w:w="62" w:type="dxa"/>
        </w:tblCellMar>
        <w:tblLook w:val="0000"/>
      </w:tblPr>
      <w:tblGrid>
        <w:gridCol w:w="2700"/>
        <w:gridCol w:w="5760"/>
      </w:tblGrid>
      <w:tr w:rsidTr="00806B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 xml:space="preserve">3) </w:t>
            </w:r>
          </w:p>
        </w:tc>
      </w:tr>
      <w:tr w:rsidTr="00806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The skil</w:t>
            </w:r>
            <w:r w:rsidRPr="00673DE1">
              <w:t>ls and knowledge described in this unit may require a licence/registration to practice in the work place subject to regulations for undertaking of electrical work. Practice in workplace and during training is also subject to regulations directly related to</w:t>
            </w:r>
            <w:r w:rsidRPr="00673DE1">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673DE1">
              <w:t>gulations may exist that limits the age of operating certain equipment.</w:t>
            </w:r>
          </w:p>
        </w:tc>
      </w:tr>
    </w:tbl>
    <w:p w:rsidR="00000000" w:rsidRPr="00673DE1" w:rsidP="00673DE1">
      <w:pPr>
        <w:pStyle w:val="BodyText"/>
      </w:pPr>
    </w:p>
    <w:p w:rsidR="00000000" w:rsidRPr="00673DE1" w:rsidP="00673DE1">
      <w:pPr>
        <w:pStyle w:val="AllowPageBreak"/>
      </w:pPr>
    </w:p>
    <w:p w:rsidR="00000000" w:rsidRPr="00673DE1" w:rsidP="00673DE1">
      <w:pPr>
        <w:pStyle w:val="Heading1"/>
      </w:pPr>
      <w:bookmarkStart w:id="5" w:name="O_465525"/>
      <w:bookmarkEnd w:id="5"/>
      <w:r w:rsidRPr="00673DE1">
        <w:t>Pre-Requisites</w:t>
      </w:r>
    </w:p>
    <w:tbl>
      <w:tblPr>
        <w:tblW w:w="0" w:type="auto"/>
        <w:tblLayout w:type="fixed"/>
        <w:tblCellMar>
          <w:left w:w="62" w:type="dxa"/>
          <w:right w:w="62" w:type="dxa"/>
        </w:tblCellMar>
        <w:tblLook w:val="0000"/>
      </w:tblPr>
      <w:tblGrid>
        <w:gridCol w:w="2686"/>
        <w:gridCol w:w="14"/>
        <w:gridCol w:w="1800"/>
        <w:gridCol w:w="3960"/>
      </w:tblGrid>
      <w:tr w:rsidTr="00806B2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 xml:space="preserve">4) </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4.1)</w:t>
            </w:r>
          </w:p>
        </w:tc>
      </w:tr>
      <w:tr w:rsidTr="00806B2C">
        <w:tblPrEx>
          <w:tblW w:w="0" w:type="auto"/>
          <w:tblLayout w:type="fixed"/>
          <w:tblCellMar>
            <w:left w:w="62" w:type="dxa"/>
            <w:right w:w="62" w:type="dxa"/>
          </w:tblCellMar>
          <w:tblLook w:val="0000"/>
        </w:tblPrEx>
        <w:tc>
          <w:tcPr>
            <w:tcW w:w="2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4" w:type="dxa"/>
            <w:gridSpan w:val="3"/>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Granting of competency in this unit shall be made only after competency in the following unit(s) has/have been confirmed.</w:t>
            </w:r>
          </w:p>
          <w:p w:rsidR="00000000" w:rsidRPr="00673DE1" w:rsidP="00673DE1">
            <w:pPr>
              <w:pStyle w:val="BodyText"/>
            </w:pPr>
            <w:r w:rsidRPr="00673DE1">
              <w:t>Where pre-requisite pathways have been identified. All competencies in the Common Unit Group must be have been completed.</w:t>
            </w:r>
          </w:p>
          <w:p w:rsidR="00000000" w:rsidRPr="00673DE1" w:rsidP="00673DE1">
            <w:pPr>
              <w:pStyle w:val="BodyText"/>
            </w:pPr>
            <w:r w:rsidRPr="00673DE1">
              <w:t>Pathway 1</w:t>
            </w:r>
          </w:p>
          <w:p w:rsidR="00000000" w:rsidRPr="00673DE1" w:rsidP="00673DE1">
            <w:pPr>
              <w:pStyle w:val="BodyText"/>
            </w:pPr>
            <w:r w:rsidRPr="00673DE1">
              <w:t>Qu</w:t>
            </w:r>
            <w:r w:rsidRPr="00673DE1">
              <w:t>alified and authorised Distribution Lineworker</w:t>
            </w:r>
          </w:p>
          <w:p w:rsidR="00000000" w:rsidP="00673DE1">
            <w:pPr>
              <w:pStyle w:val="BodyText"/>
              <w:rPr>
                <w:lang w:val="en-NZ"/>
              </w:rPr>
            </w:pPr>
            <w:r w:rsidRPr="00673DE1">
              <w:t>Pathway 2</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BSBWOR402A</w:t>
            </w:r>
          </w:p>
        </w:tc>
        <w:tc>
          <w:tcPr>
            <w:tcW w:w="396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Promote team effectiveness</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Apply Occupational Health and Safety regulations, codes and practices in the workplace</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Fabricate, assemble and dismantle utilities industry components</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Solve problems in d.c. Circuits</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 xml:space="preserve">Fix and secure electrotechnology </w:t>
            </w:r>
            <w:r w:rsidRPr="00673DE1">
              <w:t>equipment</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Use drawings, diagrams, schedules, standards, codes and specifications</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Solve problems in electromagnetic devices and related circuits</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UEENEEG102A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Solve problems in low voltage a.c. Circuits</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UETTDRDP11A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 xml:space="preserve">Inspect overhead poles/structures and electrical apparatus </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UETTDRDP12A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Maintain overhead energised low vol</w:t>
            </w:r>
            <w:r w:rsidRPr="00673DE1">
              <w:t xml:space="preserve">tage conductors and cables </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 xml:space="preserve">Apply sustainable energy and environmental procedures </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 xml:space="preserve">Operate plant and equipment near live electrical conductors and apparatus </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UETTDREL16A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 xml:space="preserve">Working safely near live electrical apparatus </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UETTDRIS42A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 xml:space="preserve">Maintain network infrastructure electrical equipment </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UETTDRIS52A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Install and maintain poles, structures and associated hardware</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UETTDRIS54A</w:t>
            </w:r>
          </w:p>
        </w:tc>
        <w:tc>
          <w:tcPr>
            <w:tcW w:w="3960" w:type="dxa"/>
            <w:tcBorders>
              <w:top w:val="nil"/>
              <w:left w:val="nil"/>
              <w:bottom w:val="nil"/>
              <w:right w:val="nil"/>
            </w:tcBorders>
            <w:tcMar>
              <w:top w:w="0" w:type="dxa"/>
              <w:left w:w="62" w:type="dxa"/>
              <w:bottom w:w="0" w:type="dxa"/>
              <w:right w:w="62" w:type="dxa"/>
            </w:tcMar>
            <w:vAlign w:val="bottom"/>
          </w:tcPr>
          <w:p w:rsidR="00000000" w:rsidP="00673DE1">
            <w:pPr>
              <w:pStyle w:val="BodyText"/>
              <w:rPr>
                <w:lang w:val="en-NZ"/>
              </w:rPr>
            </w:pPr>
            <w:r w:rsidRPr="00673DE1">
              <w:t xml:space="preserve">Install and maintain poles, structures, overhead conductors and cables </w:t>
            </w:r>
          </w:p>
        </w:tc>
      </w:tr>
      <w:tr w:rsidTr="00806B2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UETTDRIS65A</w:t>
            </w:r>
          </w:p>
        </w:tc>
        <w:tc>
          <w:tcPr>
            <w:tcW w:w="396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Contribute to coordinated HV live working</w:t>
            </w:r>
          </w:p>
        </w:tc>
      </w:tr>
    </w:tbl>
    <w:p w:rsidR="00000000" w:rsidRPr="00673DE1" w:rsidP="00673DE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06B2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 xml:space="preserve">4.2) </w:t>
            </w:r>
          </w:p>
        </w:tc>
      </w:tr>
      <w:tr w:rsidTr="00806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Participants are best equipped to achieve this unit if they have reading, writing and numeracy skills indicated by the following scales. Description of each scale is give</w:t>
            </w:r>
            <w:r w:rsidRPr="00673DE1">
              <w:t>n in Volume 2, Part 3 “Literacy and Numeracy”</w:t>
            </w:r>
          </w:p>
        </w:tc>
      </w:tr>
      <w:tr w:rsidTr="00806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Reading</w:t>
            </w:r>
          </w:p>
        </w:tc>
        <w:tc>
          <w:tcPr>
            <w:tcW w:w="81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4</w:t>
            </w:r>
          </w:p>
        </w:tc>
        <w:tc>
          <w:tcPr>
            <w:tcW w:w="99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Writing</w:t>
            </w:r>
          </w:p>
        </w:tc>
        <w:tc>
          <w:tcPr>
            <w:tcW w:w="9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4</w:t>
            </w:r>
          </w:p>
        </w:tc>
        <w:tc>
          <w:tcPr>
            <w:tcW w:w="126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Numeracy</w:t>
            </w:r>
          </w:p>
        </w:tc>
        <w:tc>
          <w:tcPr>
            <w:tcW w:w="72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4</w:t>
            </w:r>
          </w:p>
        </w:tc>
      </w:tr>
    </w:tbl>
    <w:p w:rsidR="00000000" w:rsidRPr="00673DE1" w:rsidP="00673DE1">
      <w:pPr>
        <w:pStyle w:val="BodyText"/>
      </w:pPr>
    </w:p>
    <w:p w:rsidR="00000000" w:rsidRPr="00673DE1" w:rsidP="00673DE1">
      <w:pPr>
        <w:pStyle w:val="AllowPageBreak"/>
      </w:pPr>
    </w:p>
    <w:p w:rsidR="00000000" w:rsidRPr="00673DE1" w:rsidP="00673DE1">
      <w:pPr>
        <w:pStyle w:val="Heading1"/>
      </w:pPr>
      <w:bookmarkStart w:id="6" w:name="O_465521"/>
      <w:bookmarkEnd w:id="6"/>
      <w:r w:rsidRPr="00673DE1">
        <w:t>Employability Skills Information</w:t>
      </w:r>
    </w:p>
    <w:tbl>
      <w:tblPr>
        <w:tblW w:w="0" w:type="auto"/>
        <w:tblLayout w:type="fixed"/>
        <w:tblCellMar>
          <w:left w:w="62" w:type="dxa"/>
          <w:right w:w="62" w:type="dxa"/>
        </w:tblCellMar>
        <w:tblLook w:val="0000"/>
      </w:tblPr>
      <w:tblGrid>
        <w:gridCol w:w="2700"/>
        <w:gridCol w:w="5760"/>
      </w:tblGrid>
      <w:tr w:rsidTr="00806B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 xml:space="preserve">5) </w:t>
            </w:r>
          </w:p>
        </w:tc>
      </w:tr>
      <w:tr w:rsidTr="00806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73DE1">
              <w:t>requirements.</w:t>
            </w:r>
          </w:p>
        </w:tc>
      </w:tr>
    </w:tbl>
    <w:p w:rsidR="00000000" w:rsidRPr="00673DE1" w:rsidP="00673DE1">
      <w:pPr>
        <w:pStyle w:val="BodyText"/>
      </w:pPr>
    </w:p>
    <w:p w:rsidR="00000000" w:rsidRPr="00673DE1" w:rsidP="00673DE1">
      <w:pPr>
        <w:pStyle w:val="AllowPageBreak"/>
      </w:pPr>
    </w:p>
    <w:p w:rsidR="00000000" w:rsidRPr="00673DE1" w:rsidP="00673DE1">
      <w:pPr>
        <w:pStyle w:val="Heading1"/>
      </w:pPr>
      <w:bookmarkStart w:id="7" w:name="O_465520"/>
      <w:bookmarkEnd w:id="7"/>
      <w:r w:rsidRPr="00673DE1">
        <w:t>Elements and Performance Criteria Pre-Content</w:t>
      </w:r>
    </w:p>
    <w:tbl>
      <w:tblPr>
        <w:tblW w:w="0" w:type="auto"/>
        <w:tblLayout w:type="fixed"/>
        <w:tblCellMar>
          <w:left w:w="62" w:type="dxa"/>
          <w:right w:w="62" w:type="dxa"/>
        </w:tblCellMar>
        <w:tblLook w:val="0000"/>
      </w:tblPr>
      <w:tblGrid>
        <w:gridCol w:w="2700"/>
        <w:gridCol w:w="5760"/>
      </w:tblGrid>
      <w:tr w:rsidTr="00806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6)</w:t>
            </w:r>
            <w:r w:rsidRPr="00673DE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Performance Criteria describe the required performance needed to demonstrate achievement of the element</w:t>
            </w:r>
            <w:r w:rsidRPr="00673DE1">
              <w:t>. Assessment of performance is to be consistent with the Evidence Guide.</w:t>
            </w:r>
          </w:p>
        </w:tc>
      </w:tr>
    </w:tbl>
    <w:p w:rsidR="00000000" w:rsidRPr="00673DE1" w:rsidP="00673DE1">
      <w:pPr>
        <w:pStyle w:val="BodyText"/>
      </w:pPr>
    </w:p>
    <w:p w:rsidR="00000000" w:rsidRPr="00673DE1" w:rsidP="00673DE1">
      <w:pPr>
        <w:pStyle w:val="AllowPageBreak"/>
      </w:pPr>
    </w:p>
    <w:p w:rsidR="00000000" w:rsidRPr="00673DE1" w:rsidP="00673DE1">
      <w:pPr>
        <w:pStyle w:val="Heading1"/>
      </w:pPr>
      <w:bookmarkStart w:id="8" w:name="O_465519"/>
      <w:bookmarkEnd w:id="8"/>
      <w:r w:rsidRPr="00673DE1">
        <w:t>Elements and Performance Criteria</w:t>
      </w:r>
    </w:p>
    <w:tbl>
      <w:tblPr>
        <w:tblW w:w="0" w:type="auto"/>
        <w:tblLayout w:type="fixed"/>
        <w:tblCellMar>
          <w:left w:w="62" w:type="dxa"/>
          <w:right w:w="62" w:type="dxa"/>
        </w:tblCellMar>
        <w:tblLook w:val="0000"/>
      </w:tblPr>
      <w:tblGrid>
        <w:gridCol w:w="410"/>
        <w:gridCol w:w="2290"/>
        <w:gridCol w:w="863"/>
        <w:gridCol w:w="4897"/>
      </w:tblGrid>
      <w:tr w:rsidTr="00806B2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PERFORMANCE CRITERIA</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w:t>
            </w:r>
          </w:p>
        </w:tc>
        <w:tc>
          <w:tcPr>
            <w:tcW w:w="2290" w:type="dxa"/>
            <w:vMerge w:val="restart"/>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Plan to maintain energised high voltage distribution overhead electrical apparatus (stick)</w:t>
            </w: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1.1</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Works schedule(s), including drawings, plans, requirements, established procedures, and material lists, are obtained, analysed, if necessary, by site inspection and the extent of the preparation of the work determined for planning and coordination.</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1.2</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Work is prioritised and sequenced for the most efficient and effective outcome following consultation with others for completion within acceptable timeframes, to a quality standard and in accordance with established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1.3</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Risk control measures</w:t>
            </w:r>
            <w:r w:rsidRPr="00673DE1">
              <w:t xml:space="preserve"> are identified, prioritised and evaluated against the work schedule.</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1.4</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Relevant requirements and established procedures for the work are communicated to all personnel and identified for all work sites.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1.5</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Hazards are identified, OHS risks assessed and control measures are prioritised, implemented and monitored including emergency exits kept clear, to ensure safe systems of work are followed and according to established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1.6</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Relevant work permi</w:t>
            </w:r>
            <w:r w:rsidRPr="00673DE1">
              <w:t>ts are secured to coordinate the performance of work according to requirements and/or established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1.7</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Resources including personnel, equipment, tools and personal protective equipment required for the job are identified, scheduled and coordi</w:t>
            </w:r>
            <w:r w:rsidRPr="00673DE1">
              <w:t>nated and confirmed in a safe and technical working order.</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1.8</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Clients/Customers are provided with possible solutions and/or options within the scope, acceptable cost and requirements.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1.9</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Liaison and communication issues with other/authorised personnel, authorities, clients and land owners are resolved and activities coordinated to carry out work.</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1.10</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Site is prepared according to the work schedule and to minimise risk and damage to pro</w:t>
            </w:r>
            <w:r w:rsidRPr="00673DE1">
              <w:t>perty, commerce, and individuals in accordance with established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1.11</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Personnel participating in the work, including plant operators and contractors, are fully briefed and respective responsibilities coordinated and authorised where applicabl</w:t>
            </w:r>
            <w:r w:rsidRPr="00673DE1">
              <w:t>e in accordance with established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1.12</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Positioning of road signs, barriers and warning devices is planned and coordinated in accordance with requirements.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2</w:t>
            </w:r>
          </w:p>
        </w:tc>
        <w:tc>
          <w:tcPr>
            <w:tcW w:w="2290" w:type="dxa"/>
            <w:vMerge w:val="restart"/>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Carry out maintenance of energised high voltage distribution overhead electrical apparatus (stick)</w:t>
            </w: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2.1</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OHS and sustainable energy principles and practices to reduce the incidents of accidents and minimise waste are monitored and actioned in accordance with</w:t>
            </w:r>
            <w:r w:rsidRPr="00673DE1">
              <w:t xml:space="preserve"> requirements and/or established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2.2</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First Aid, Rescue and other related work procedures are performed according to requirements and/or established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2.3</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Lifting, climbing, working aloft, and use of power tools/equipment, techniques and practices are safely exercised according to requirements.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2.4</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Auto-reclose devices associated with the circuits being worked on have been rendered inoperative and necessa</w:t>
            </w:r>
            <w:r w:rsidRPr="00673DE1">
              <w:t>ry work documentation acquired in accordance with enterprise requirements.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2.5</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Hazard warnings and safety signs are recognised and hazards and assessed OHS risks are reported to the immediate authorised persons for directions according to established pr</w:t>
            </w:r>
            <w:r w:rsidRPr="00673DE1">
              <w:t>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2.6</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Remedial actions are taken to overcome any shortfalls encountered in the work schedule according to requirements and/or established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2.7</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Maintenance of energised high voltage overhead electrical apparatus is carried out, in accordance with the work schedule and requirements and/or established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2.8</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Essential knowledge and associated skills are applied in the safe installation a</w:t>
            </w:r>
            <w:r w:rsidRPr="00673DE1">
              <w:t>nd maintenance of energised high voltage overhead electrical apparatus  to ensure completion in an agreed timeframe and, to quality standards with a minimum of waste according to requirements.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2.9</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Solutions to non-routine problems are identified and act</w:t>
            </w:r>
            <w:r w:rsidRPr="00673DE1">
              <w:t>ioned using acquired essential knowledge and associated skills according to requirements.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2.10</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 xml:space="preserve">Ongoing checks of quality of the work are undertaken in accordance with requirements and established procedures to ensure a quality like outcome </w:t>
            </w:r>
            <w:r w:rsidRPr="00673DE1">
              <w:t>is achieved for the client/customer and to a community/industry standard</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3</w:t>
            </w:r>
          </w:p>
        </w:tc>
        <w:tc>
          <w:tcPr>
            <w:tcW w:w="2290" w:type="dxa"/>
            <w:vMerge w:val="restart"/>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 xml:space="preserve">Complete the maintenance of energised high voltage distribution overhead </w:t>
            </w:r>
            <w:r w:rsidRPr="00673DE1">
              <w:t>electrical apparatus (stick)</w:t>
            </w: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3.1</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Work undertaken is checked against works schedule for conformance with req</w:t>
            </w:r>
            <w:r w:rsidRPr="00673DE1">
              <w:t>uirements, anomalies reported and solutions identified in accordance with established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3.2</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Accidents and/or injuries are reported and followed up in accordance with requirements/established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3.3</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Work site is rehabilitated, cleaned up and confirmed safe in accordance with established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3.4</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Tools, equipment and any surplus resources and materials are, where appropriate, cleaned, checked and returned to storage in accordance with establi</w:t>
            </w:r>
            <w:r w:rsidRPr="00673DE1">
              <w:t>shed procedures.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3.5</w:t>
            </w:r>
          </w:p>
        </w:tc>
        <w:tc>
          <w:tcPr>
            <w:tcW w:w="4897"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Relevant work permit(s) are signed off and, energised high voltage apparatus is returned to service and advised to client/customer in accordance with requirements.</w:t>
            </w:r>
          </w:p>
        </w:tc>
      </w:tr>
      <w:tr w:rsidTr="00806B2C">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3"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t>3.6</w:t>
            </w:r>
          </w:p>
        </w:tc>
        <w:tc>
          <w:tcPr>
            <w:tcW w:w="4897"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Works completion records, reports, as installed /modified drawing(s) and/or documentation and information are confirmed, processed and appropriate personnel notified.</w:t>
            </w:r>
          </w:p>
        </w:tc>
      </w:tr>
    </w:tbl>
    <w:p w:rsidR="00000000" w:rsidRPr="00673DE1" w:rsidP="00673DE1">
      <w:pPr>
        <w:pStyle w:val="BodyText"/>
      </w:pPr>
    </w:p>
    <w:p w:rsidR="00000000" w:rsidRPr="00673DE1" w:rsidP="00673DE1">
      <w:pPr>
        <w:pStyle w:val="AllowPageBreak"/>
      </w:pPr>
    </w:p>
    <w:p w:rsidR="00000000" w:rsidRPr="00673DE1" w:rsidP="00673DE1">
      <w:pPr>
        <w:pStyle w:val="Heading1"/>
      </w:pPr>
      <w:bookmarkStart w:id="9" w:name="O_465527"/>
      <w:bookmarkEnd w:id="9"/>
      <w:r w:rsidRPr="00673DE1">
        <w:t>Required Skills and Knowledge</w:t>
      </w:r>
    </w:p>
    <w:tbl>
      <w:tblPr>
        <w:tblW w:w="0" w:type="auto"/>
        <w:tblLayout w:type="fixed"/>
        <w:tblCellMar>
          <w:left w:w="62" w:type="dxa"/>
          <w:right w:w="62" w:type="dxa"/>
        </w:tblCellMar>
        <w:tblLook w:val="0000"/>
      </w:tblPr>
      <w:tblGrid>
        <w:gridCol w:w="8460"/>
      </w:tblGrid>
      <w:tr w:rsidTr="00806B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REQUIRED SKILLS AND KNOWLEDGE</w:t>
            </w:r>
          </w:p>
        </w:tc>
      </w:tr>
      <w:tr w:rsidTr="00806B2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8)</w:t>
            </w:r>
            <w:r w:rsidRPr="00673DE1">
              <w:t xml:space="preserve"> Essent</w:t>
            </w:r>
            <w:r w:rsidRPr="00673DE1">
              <w:t>ial Knowledge and Associated Skills (EKAS): This describes the essential skills and knowledge and their level, required for this unit.</w:t>
            </w:r>
          </w:p>
          <w:p w:rsidR="00000000" w:rsidRPr="00673DE1" w:rsidP="00673DE1">
            <w:pPr>
              <w:pStyle w:val="BodyText"/>
            </w:pPr>
            <w:r w:rsidRPr="00673DE1">
              <w:t>Evidence shall show that knowledge has been acquired of maintaining energised high voltage distribution overhead electric</w:t>
            </w:r>
            <w:r w:rsidRPr="00673DE1">
              <w:t>al apparatus (stick).</w:t>
            </w:r>
          </w:p>
          <w:p w:rsidR="00000000" w:rsidRPr="00673DE1" w:rsidP="00673DE1">
            <w:pPr>
              <w:pStyle w:val="BodyText"/>
            </w:pPr>
            <w:r w:rsidRPr="00673DE1">
              <w:t>All knowledge and skills detailed in this unit should be contextualised to current industry practices and technologies.</w:t>
            </w:r>
          </w:p>
          <w:p w:rsidR="00000000" w:rsidRPr="00673DE1" w:rsidP="00673DE1">
            <w:pPr>
              <w:pStyle w:val="BodyText"/>
            </w:pPr>
            <w:r w:rsidRPr="00673DE1">
              <w:t xml:space="preserve">KS01-TDP13A </w:t>
            </w:r>
            <w:r w:rsidRPr="00673DE1">
              <w:tab/>
              <w:t>Live lines working up to 132 kV with hotstick</w:t>
            </w:r>
          </w:p>
          <w:p w:rsidR="00000000" w:rsidRPr="00673DE1" w:rsidP="00673DE1">
            <w:pPr>
              <w:pStyle w:val="BodyText"/>
            </w:pPr>
            <w:r w:rsidRPr="00673DE1">
              <w:t>Evidence shall show an understanding of live lines work</w:t>
            </w:r>
            <w:r w:rsidRPr="00673DE1">
              <w:t>ing up to132 kV with hot stick to an extent indicated by the following aspects:</w:t>
            </w:r>
          </w:p>
          <w:p w:rsidR="00000000" w:rsidRPr="00673DE1" w:rsidP="00673DE1">
            <w:pPr>
              <w:pStyle w:val="BodyText"/>
            </w:pPr>
            <w:r w:rsidRPr="00673DE1">
              <w:t>T1</w:t>
            </w:r>
            <w:r w:rsidRPr="00673DE1">
              <w:tab/>
              <w:t>Legislation and Regulations encompassing:</w:t>
            </w:r>
          </w:p>
          <w:p w:rsidR="00000000" w:rsidRPr="00673DE1" w:rsidP="00673DE1">
            <w:pPr>
              <w:pStyle w:val="ListBullet"/>
            </w:pPr>
            <w:r w:rsidRPr="00673DE1">
              <w:t>Legislation, standards and codes</w:t>
            </w:r>
          </w:p>
          <w:p w:rsidR="00000000" w:rsidRPr="00673DE1" w:rsidP="00673DE1">
            <w:pPr>
              <w:pStyle w:val="ListBullet"/>
            </w:pPr>
            <w:r w:rsidRPr="00673DE1">
              <w:t>Supply authority regulations</w:t>
            </w:r>
          </w:p>
          <w:p w:rsidR="00000000" w:rsidRPr="00673DE1" w:rsidP="00673DE1">
            <w:pPr>
              <w:pStyle w:val="ListBullet"/>
            </w:pPr>
            <w:r w:rsidRPr="00673DE1">
              <w:t>Industry guidelines and enterprise requirements</w:t>
            </w:r>
          </w:p>
          <w:p w:rsidR="00000000" w:rsidRPr="00673DE1" w:rsidP="00673DE1">
            <w:pPr>
              <w:pStyle w:val="BodyText"/>
            </w:pPr>
            <w:r w:rsidRPr="00673DE1">
              <w:t>T2</w:t>
            </w:r>
            <w:r w:rsidRPr="00673DE1">
              <w:tab/>
            </w:r>
            <w:r w:rsidRPr="00673DE1">
              <w:t>Safety Precautions for High Voltage Live Work up to and including 132 kV (poles) utilising live High Voltage stick method encompassing:</w:t>
            </w:r>
          </w:p>
          <w:p w:rsidR="00000000" w:rsidRPr="00673DE1" w:rsidP="00673DE1">
            <w:pPr>
              <w:pStyle w:val="ListBullet"/>
            </w:pPr>
            <w:r w:rsidRPr="00673DE1">
              <w:t>Minimum approach distances</w:t>
            </w:r>
          </w:p>
          <w:p w:rsidR="00000000" w:rsidRPr="00673DE1" w:rsidP="00673DE1">
            <w:pPr>
              <w:pStyle w:val="ListBullet"/>
            </w:pPr>
            <w:r w:rsidRPr="00673DE1">
              <w:t>OH&amp;S hazard and precautions</w:t>
            </w:r>
          </w:p>
          <w:p w:rsidR="00000000" w:rsidRPr="00673DE1" w:rsidP="00673DE1">
            <w:pPr>
              <w:pStyle w:val="ListBullet"/>
            </w:pPr>
            <w:r w:rsidRPr="00673DE1">
              <w:t>Assessing and controlling risks</w:t>
            </w:r>
          </w:p>
          <w:p w:rsidR="00000000" w:rsidRPr="00673DE1" w:rsidP="00673DE1">
            <w:pPr>
              <w:pStyle w:val="ListBullet"/>
            </w:pPr>
            <w:r w:rsidRPr="00673DE1">
              <w:t>Effects of excessive conductor te</w:t>
            </w:r>
            <w:r w:rsidRPr="00673DE1">
              <w:t>mperature on insulating equipment</w:t>
            </w:r>
          </w:p>
          <w:p w:rsidR="00000000" w:rsidRPr="00673DE1" w:rsidP="00673DE1">
            <w:pPr>
              <w:pStyle w:val="ListBullet"/>
            </w:pPr>
            <w:r w:rsidRPr="00673DE1">
              <w:t>Personnel protective equipment</w:t>
            </w:r>
          </w:p>
          <w:p w:rsidR="00000000" w:rsidRPr="00673DE1" w:rsidP="00673DE1">
            <w:pPr>
              <w:pStyle w:val="ListBullet"/>
            </w:pPr>
            <w:r w:rsidRPr="00673DE1">
              <w:t>Integrity of insulation</w:t>
            </w:r>
          </w:p>
          <w:p w:rsidR="00000000" w:rsidRPr="00673DE1" w:rsidP="00673DE1">
            <w:pPr>
              <w:pStyle w:val="ListBullet"/>
            </w:pPr>
            <w:r w:rsidRPr="00673DE1">
              <w:t>Emergency response, first aid and rescue</w:t>
            </w:r>
          </w:p>
          <w:p w:rsidR="00000000" w:rsidRPr="00673DE1" w:rsidP="00673DE1">
            <w:pPr>
              <w:pStyle w:val="BodyText"/>
            </w:pPr>
            <w:r w:rsidRPr="00673DE1">
              <w:t>T3</w:t>
            </w:r>
            <w:r w:rsidRPr="00673DE1">
              <w:tab/>
              <w:t>Policies and procedures for live High Voltage stick method up to and including 132 kV encompassing:</w:t>
            </w:r>
          </w:p>
          <w:p w:rsidR="00000000" w:rsidRPr="00673DE1" w:rsidP="00673DE1">
            <w:pPr>
              <w:pStyle w:val="ListBullet"/>
            </w:pPr>
            <w:r w:rsidRPr="00673DE1">
              <w:t>Policies, procedures an</w:t>
            </w:r>
            <w:r w:rsidRPr="00673DE1">
              <w:t>d practices</w:t>
            </w:r>
          </w:p>
          <w:p w:rsidR="00000000" w:rsidRPr="00673DE1" w:rsidP="00673DE1">
            <w:pPr>
              <w:pStyle w:val="ListBullet"/>
            </w:pPr>
            <w:r w:rsidRPr="00673DE1">
              <w:t>Definition of terms</w:t>
            </w:r>
          </w:p>
          <w:p w:rsidR="00000000" w:rsidRPr="00673DE1" w:rsidP="00673DE1">
            <w:pPr>
              <w:pStyle w:val="ListBullet"/>
            </w:pPr>
            <w:r w:rsidRPr="00673DE1">
              <w:t>Responsibilities of personnel</w:t>
            </w:r>
          </w:p>
          <w:p w:rsidR="00000000" w:rsidRPr="00673DE1" w:rsidP="00673DE1">
            <w:pPr>
              <w:pStyle w:val="ListBullet"/>
            </w:pPr>
            <w:r w:rsidRPr="00673DE1">
              <w:t>Types of structures</w:t>
            </w:r>
          </w:p>
          <w:p w:rsidR="00000000" w:rsidRPr="00673DE1" w:rsidP="00673DE1">
            <w:pPr>
              <w:pStyle w:val="ListBullet"/>
            </w:pPr>
            <w:r w:rsidRPr="00673DE1">
              <w:t xml:space="preserve">Types of equipment and compliance </w:t>
            </w:r>
          </w:p>
          <w:p w:rsidR="00000000" w:rsidRPr="00673DE1" w:rsidP="00673DE1">
            <w:pPr>
              <w:pStyle w:val="BodyText"/>
            </w:pPr>
            <w:r w:rsidRPr="00673DE1">
              <w:t>T4</w:t>
            </w:r>
            <w:r w:rsidRPr="00673DE1">
              <w:tab/>
              <w:t>Stick techniques up to and including 132 kV encompassing:</w:t>
            </w:r>
          </w:p>
          <w:p w:rsidR="00000000" w:rsidRPr="00673DE1" w:rsidP="00673DE1">
            <w:pPr>
              <w:pStyle w:val="ListBullet"/>
            </w:pPr>
            <w:r w:rsidRPr="00673DE1">
              <w:t>High Voltage insulators</w:t>
            </w:r>
          </w:p>
          <w:p w:rsidR="00000000" w:rsidRPr="00673DE1" w:rsidP="00673DE1">
            <w:pPr>
              <w:pStyle w:val="ListBullet"/>
            </w:pPr>
            <w:r w:rsidRPr="00673DE1">
              <w:t xml:space="preserve">High Voltage crossarms </w:t>
            </w:r>
          </w:p>
          <w:p w:rsidR="00000000" w:rsidRPr="00673DE1" w:rsidP="00673DE1">
            <w:pPr>
              <w:pStyle w:val="ListBullet"/>
            </w:pPr>
            <w:r w:rsidRPr="00673DE1">
              <w:t>High Voltage bridge connection</w:t>
            </w:r>
            <w:r w:rsidRPr="00673DE1">
              <w:t>s</w:t>
            </w:r>
          </w:p>
          <w:p w:rsidR="00000000" w:rsidRPr="00673DE1" w:rsidP="00673DE1">
            <w:pPr>
              <w:pStyle w:val="ListBullet"/>
            </w:pPr>
            <w:r w:rsidRPr="00673DE1">
              <w:t>Installation and maintenance of equipment</w:t>
            </w:r>
          </w:p>
          <w:p w:rsidR="00000000" w:rsidRPr="00673DE1" w:rsidP="00673DE1">
            <w:pPr>
              <w:pStyle w:val="ListBullet"/>
            </w:pPr>
            <w:r w:rsidRPr="00673DE1">
              <w:t>Temporary Midspan switching devices</w:t>
            </w:r>
          </w:p>
          <w:p w:rsidR="00000000" w:rsidRPr="00673DE1" w:rsidP="00673DE1">
            <w:pPr>
              <w:pStyle w:val="ListBullet"/>
            </w:pPr>
            <w:r w:rsidRPr="00673DE1">
              <w:t>Erection and replacement of poles</w:t>
            </w:r>
          </w:p>
          <w:p w:rsidR="00000000" w:rsidRPr="00673DE1" w:rsidP="00673DE1">
            <w:pPr>
              <w:pStyle w:val="ListBullet"/>
            </w:pPr>
            <w:r w:rsidRPr="00673DE1">
              <w:t>Replacement of conductors and cables</w:t>
            </w:r>
          </w:p>
          <w:p w:rsidR="00000000" w:rsidRPr="00673DE1" w:rsidP="00673DE1">
            <w:pPr>
              <w:pStyle w:val="ListBullet"/>
            </w:pPr>
            <w:r w:rsidRPr="00673DE1">
              <w:t>High voltage armour rods and line guards</w:t>
            </w:r>
          </w:p>
          <w:p w:rsidR="00000000" w:rsidRPr="00673DE1" w:rsidP="00673DE1">
            <w:pPr>
              <w:pStyle w:val="ListBullet"/>
            </w:pPr>
            <w:r w:rsidRPr="00673DE1">
              <w:t>Conversion intermediate to strain construction</w:t>
            </w:r>
          </w:p>
          <w:p w:rsidR="00000000" w:rsidRPr="00673DE1" w:rsidP="00673DE1">
            <w:pPr>
              <w:pStyle w:val="ListBullet"/>
            </w:pPr>
            <w:r w:rsidRPr="00673DE1">
              <w:t>Switching devices</w:t>
            </w:r>
          </w:p>
          <w:p w:rsidR="00000000" w:rsidRPr="00673DE1" w:rsidP="00673DE1">
            <w:pPr>
              <w:pStyle w:val="BodyText"/>
            </w:pPr>
            <w:r w:rsidRPr="00673DE1">
              <w:t>T5</w:t>
            </w:r>
            <w:r w:rsidRPr="00673DE1">
              <w:tab/>
              <w:t>Safety precautions for plant, equipment and tools encompassing:</w:t>
            </w:r>
          </w:p>
          <w:p w:rsidR="00000000" w:rsidRPr="00673DE1" w:rsidP="00673DE1">
            <w:pPr>
              <w:pStyle w:val="ListBullet"/>
            </w:pPr>
            <w:r w:rsidRPr="00673DE1">
              <w:t>Safe working clearances</w:t>
            </w:r>
          </w:p>
          <w:p w:rsidR="00000000" w:rsidRPr="00673DE1" w:rsidP="00673DE1">
            <w:pPr>
              <w:pStyle w:val="ListBullet"/>
            </w:pPr>
            <w:r w:rsidRPr="00673DE1">
              <w:t>Identification of OH&amp;S hazards</w:t>
            </w:r>
          </w:p>
          <w:p w:rsidR="00000000" w:rsidRPr="00673DE1" w:rsidP="00673DE1">
            <w:pPr>
              <w:pStyle w:val="ListBullet"/>
            </w:pPr>
            <w:r w:rsidRPr="00673DE1">
              <w:t>Assessing and controlling risks and hazards</w:t>
            </w:r>
          </w:p>
          <w:p w:rsidR="00000000" w:rsidRPr="00673DE1" w:rsidP="00673DE1">
            <w:pPr>
              <w:pStyle w:val="ListBullet"/>
            </w:pPr>
            <w:r w:rsidRPr="00673DE1">
              <w:t>Personal protective equipment</w:t>
            </w:r>
          </w:p>
          <w:p w:rsidR="00000000" w:rsidRPr="00673DE1" w:rsidP="00673DE1">
            <w:pPr>
              <w:pStyle w:val="BodyText"/>
            </w:pPr>
            <w:r w:rsidRPr="00673DE1">
              <w:t>T6</w:t>
            </w:r>
            <w:r w:rsidRPr="00673DE1">
              <w:tab/>
              <w:t>Identification and serviceability of plant, equipment an</w:t>
            </w:r>
            <w:r w:rsidRPr="00673DE1">
              <w:t>d tools encompassing:</w:t>
            </w:r>
          </w:p>
          <w:p w:rsidR="00000000" w:rsidRPr="00673DE1" w:rsidP="00673DE1">
            <w:pPr>
              <w:pStyle w:val="ListBullet"/>
            </w:pPr>
            <w:r w:rsidRPr="00673DE1">
              <w:t>Identification of plant, equipment and tools</w:t>
            </w:r>
          </w:p>
          <w:p w:rsidR="00000000" w:rsidRPr="00673DE1" w:rsidP="00673DE1">
            <w:pPr>
              <w:pStyle w:val="ListBullet"/>
            </w:pPr>
            <w:r w:rsidRPr="00673DE1">
              <w:t>Serviceability of plant equipment and tools</w:t>
            </w:r>
          </w:p>
          <w:p w:rsidR="00000000" w:rsidRPr="00673DE1" w:rsidP="00673DE1">
            <w:pPr>
              <w:pStyle w:val="BodyText"/>
            </w:pPr>
            <w:r w:rsidRPr="00673DE1">
              <w:t>T7</w:t>
            </w:r>
            <w:r w:rsidRPr="00673DE1">
              <w:tab/>
              <w:t>Operational use of plant, equipment and tools encompassing:</w:t>
            </w:r>
          </w:p>
          <w:p w:rsidR="00000000" w:rsidRPr="00673DE1" w:rsidP="00673DE1">
            <w:pPr>
              <w:pStyle w:val="ListBullet"/>
            </w:pPr>
            <w:r w:rsidRPr="00673DE1">
              <w:t>Conductor supports</w:t>
            </w:r>
          </w:p>
          <w:p w:rsidR="00000000" w:rsidRPr="00673DE1" w:rsidP="00673DE1">
            <w:pPr>
              <w:pStyle w:val="ListBullet"/>
            </w:pPr>
            <w:r w:rsidRPr="00673DE1">
              <w:t>Selecting conductor support method</w:t>
            </w:r>
          </w:p>
          <w:p w:rsidR="00000000" w:rsidRPr="00673DE1" w:rsidP="00673DE1">
            <w:pPr>
              <w:pStyle w:val="ListBullet"/>
            </w:pPr>
            <w:r w:rsidRPr="00673DE1">
              <w:t>Calculation of loads</w:t>
            </w:r>
          </w:p>
          <w:p w:rsidR="00000000" w:rsidRPr="00673DE1" w:rsidP="00673DE1">
            <w:pPr>
              <w:pStyle w:val="ListBullet"/>
            </w:pPr>
            <w:r w:rsidRPr="00673DE1">
              <w:t>Effects</w:t>
            </w:r>
            <w:r w:rsidRPr="00673DE1">
              <w:t xml:space="preserve"> of secondary loading</w:t>
            </w:r>
          </w:p>
          <w:p w:rsidR="00000000" w:rsidRPr="00673DE1" w:rsidP="00673DE1">
            <w:pPr>
              <w:pStyle w:val="ListBullet"/>
            </w:pPr>
            <w:r w:rsidRPr="00673DE1">
              <w:t>Effects of resultant forces</w:t>
            </w:r>
          </w:p>
          <w:p w:rsidR="00000000" w:rsidRPr="00673DE1" w:rsidP="00673DE1">
            <w:pPr>
              <w:pStyle w:val="ListBullet"/>
            </w:pPr>
            <w:r w:rsidRPr="00673DE1">
              <w:t>Conductor support rigging procedures</w:t>
            </w:r>
          </w:p>
          <w:p w:rsidR="00000000" w:rsidRPr="00673DE1" w:rsidP="00673DE1">
            <w:pPr>
              <w:pStyle w:val="BodyText"/>
            </w:pPr>
            <w:r w:rsidRPr="00673DE1">
              <w:t>T8</w:t>
            </w:r>
            <w:r w:rsidRPr="00673DE1">
              <w:tab/>
              <w:t>Electrical and electrostatic principles encompassing:</w:t>
            </w:r>
          </w:p>
          <w:p w:rsidR="00000000" w:rsidRPr="00673DE1" w:rsidP="00673DE1">
            <w:pPr>
              <w:pStyle w:val="ListBullet"/>
            </w:pPr>
            <w:r w:rsidRPr="00673DE1">
              <w:t>Relationship with current, voltage and resistance as related to distribution lines</w:t>
            </w:r>
          </w:p>
          <w:p w:rsidR="00000000" w:rsidRPr="00673DE1" w:rsidP="00673DE1">
            <w:pPr>
              <w:pStyle w:val="ListBullet"/>
            </w:pPr>
            <w:r w:rsidRPr="00673DE1">
              <w:t xml:space="preserve">Phase voltage and respective </w:t>
            </w:r>
            <w:r w:rsidRPr="00673DE1">
              <w:t>line voltages</w:t>
            </w:r>
          </w:p>
          <w:p w:rsidR="00000000" w:rsidRPr="00673DE1" w:rsidP="00673DE1">
            <w:pPr>
              <w:pStyle w:val="ListBullet"/>
            </w:pPr>
            <w:r w:rsidRPr="00673DE1">
              <w:t>Production of an electric field</w:t>
            </w:r>
          </w:p>
          <w:p w:rsidR="00000000" w:rsidRPr="00673DE1" w:rsidP="00673DE1">
            <w:pPr>
              <w:pStyle w:val="BodyText"/>
            </w:pPr>
            <w:r w:rsidRPr="00673DE1">
              <w:t>T9</w:t>
            </w:r>
            <w:r w:rsidRPr="00673DE1">
              <w:tab/>
              <w:t>High voltage insulation encompassing:</w:t>
            </w:r>
          </w:p>
          <w:p w:rsidR="00000000" w:rsidRPr="00673DE1" w:rsidP="00673DE1">
            <w:pPr>
              <w:pStyle w:val="ListBullet"/>
            </w:pPr>
            <w:r w:rsidRPr="00673DE1">
              <w:t>Construction of insulators</w:t>
            </w:r>
          </w:p>
          <w:p w:rsidR="00000000" w:rsidRPr="00673DE1" w:rsidP="00673DE1">
            <w:pPr>
              <w:pStyle w:val="ListBullet"/>
            </w:pPr>
            <w:r w:rsidRPr="00673DE1">
              <w:t>Checking integrity of insulation prior to work commencement</w:t>
            </w:r>
          </w:p>
          <w:p w:rsidR="00000000" w:rsidRPr="00673DE1" w:rsidP="00673DE1">
            <w:pPr>
              <w:pStyle w:val="ListBullet"/>
            </w:pPr>
            <w:r w:rsidRPr="00673DE1">
              <w:t>Effects of electrical fields on insulators</w:t>
            </w:r>
          </w:p>
          <w:p w:rsidR="00000000" w:rsidRPr="00673DE1" w:rsidP="00673DE1">
            <w:pPr>
              <w:pStyle w:val="ListBullet"/>
            </w:pPr>
            <w:r w:rsidRPr="00673DE1">
              <w:t>Number of disc insulators needed</w:t>
            </w:r>
          </w:p>
          <w:p w:rsidR="00000000" w:rsidRPr="00673DE1" w:rsidP="00673DE1">
            <w:pPr>
              <w:pStyle w:val="ListBullet"/>
            </w:pPr>
            <w:r w:rsidRPr="00673DE1">
              <w:t>Performance of a failed insulator on the line and system</w:t>
            </w:r>
          </w:p>
          <w:p w:rsidR="00000000" w:rsidRPr="00673DE1" w:rsidP="00673DE1">
            <w:pPr>
              <w:pStyle w:val="ListBullet"/>
            </w:pPr>
            <w:r w:rsidRPr="00673DE1">
              <w:t>Minimum number of discs per string</w:t>
            </w:r>
          </w:p>
          <w:p w:rsidR="00000000" w:rsidRPr="00673DE1" w:rsidP="00673DE1">
            <w:pPr>
              <w:pStyle w:val="ListBullet"/>
            </w:pPr>
            <w:r w:rsidRPr="00673DE1">
              <w:t>Detecting a failed insulators</w:t>
            </w:r>
          </w:p>
          <w:p w:rsidR="00000000" w:rsidRPr="00673DE1" w:rsidP="00673DE1">
            <w:pPr>
              <w:pStyle w:val="BodyText"/>
            </w:pPr>
            <w:r w:rsidRPr="00673DE1">
              <w:t>T10</w:t>
            </w:r>
            <w:r w:rsidRPr="00673DE1">
              <w:tab/>
              <w:t>Effects of electrostatic Induction on the human body encompassing:</w:t>
            </w:r>
          </w:p>
          <w:p w:rsidR="00000000" w:rsidRPr="00673DE1" w:rsidP="00673DE1">
            <w:pPr>
              <w:pStyle w:val="ListBullet"/>
            </w:pPr>
            <w:r w:rsidRPr="00673DE1">
              <w:t>Electrostatic induction and the human body</w:t>
            </w:r>
          </w:p>
          <w:p w:rsidR="00000000" w:rsidRPr="00673DE1" w:rsidP="00673DE1">
            <w:pPr>
              <w:pStyle w:val="BodyText"/>
            </w:pPr>
            <w:r w:rsidRPr="00673DE1">
              <w:t>T11</w:t>
            </w:r>
            <w:r w:rsidRPr="00673DE1">
              <w:tab/>
              <w:t>Switching surges</w:t>
            </w:r>
            <w:r w:rsidRPr="00673DE1">
              <w:t xml:space="preserve"> and magnetic fields encompassing:</w:t>
            </w:r>
          </w:p>
          <w:p w:rsidR="00000000" w:rsidRPr="00673DE1" w:rsidP="00673DE1">
            <w:pPr>
              <w:pStyle w:val="ListBullet"/>
            </w:pPr>
            <w:r w:rsidRPr="00673DE1">
              <w:t>Lightning and switching surges</w:t>
            </w:r>
          </w:p>
          <w:p w:rsidR="00000000" w:rsidRPr="00673DE1" w:rsidP="00673DE1">
            <w:pPr>
              <w:pStyle w:val="ListBullet"/>
            </w:pPr>
            <w:r w:rsidRPr="00673DE1">
              <w:t>Magnetic fields</w:t>
            </w:r>
          </w:p>
          <w:p w:rsidR="00000000" w:rsidRPr="00673DE1" w:rsidP="00673DE1">
            <w:pPr>
              <w:pStyle w:val="BodyText"/>
            </w:pPr>
            <w:r w:rsidRPr="00673DE1">
              <w:t>T12</w:t>
            </w:r>
            <w:r w:rsidRPr="00673DE1">
              <w:tab/>
              <w:t>High Voltage switching fundamentals encompassing:</w:t>
            </w:r>
          </w:p>
          <w:p w:rsidR="00000000" w:rsidRPr="00673DE1" w:rsidP="00673DE1">
            <w:pPr>
              <w:pStyle w:val="ListBullet"/>
            </w:pPr>
            <w:r w:rsidRPr="00673DE1">
              <w:t>Manuals system diagrams/plans and drawings</w:t>
            </w:r>
          </w:p>
          <w:p w:rsidR="00000000" w:rsidRPr="00673DE1" w:rsidP="00673DE1">
            <w:pPr>
              <w:pStyle w:val="ListBullet"/>
            </w:pPr>
            <w:r w:rsidRPr="00673DE1">
              <w:t>High Voltage live work access authority/permit system</w:t>
            </w:r>
          </w:p>
          <w:p w:rsidR="00000000" w:rsidRPr="00673DE1" w:rsidP="00673DE1">
            <w:pPr>
              <w:pStyle w:val="ListBullet"/>
            </w:pPr>
            <w:r w:rsidRPr="00673DE1">
              <w:t>Fault current protectio</w:t>
            </w:r>
            <w:r w:rsidRPr="00673DE1">
              <w:t>n devices</w:t>
            </w:r>
          </w:p>
          <w:p w:rsidR="00000000" w:rsidRPr="00673DE1" w:rsidP="00673DE1">
            <w:pPr>
              <w:pStyle w:val="ListBullet"/>
            </w:pPr>
            <w:r w:rsidRPr="00673DE1">
              <w:t>Disabling auto-reclose function</w:t>
            </w:r>
          </w:p>
          <w:p w:rsidR="00000000" w:rsidRPr="00673DE1" w:rsidP="00673DE1">
            <w:pPr>
              <w:pStyle w:val="ListBullet"/>
            </w:pPr>
            <w:r w:rsidRPr="00673DE1">
              <w:t>Network interconnectors</w:t>
            </w:r>
          </w:p>
          <w:p w:rsidR="00000000" w:rsidRPr="00673DE1" w:rsidP="00673DE1">
            <w:pPr>
              <w:pStyle w:val="ListBullet"/>
            </w:pPr>
            <w:r w:rsidRPr="00673DE1">
              <w:t>Test instruments</w:t>
            </w:r>
          </w:p>
          <w:p w:rsidR="00000000" w:rsidRPr="00673DE1" w:rsidP="00673DE1">
            <w:pPr>
              <w:pStyle w:val="ListBullet"/>
            </w:pPr>
            <w:r w:rsidRPr="00673DE1">
              <w:t>Types of switchgear</w:t>
            </w:r>
          </w:p>
          <w:p w:rsidR="00000000" w:rsidRPr="00673DE1" w:rsidP="00673DE1">
            <w:pPr>
              <w:pStyle w:val="ListBullet"/>
            </w:pPr>
            <w:r w:rsidRPr="00673DE1">
              <w:t>High Voltage electrical faults</w:t>
            </w:r>
          </w:p>
          <w:p w:rsidR="00000000" w:rsidRPr="00673DE1" w:rsidP="00673DE1">
            <w:pPr>
              <w:pStyle w:val="ListBullet"/>
            </w:pPr>
            <w:r w:rsidRPr="00673DE1">
              <w:t>Types</w:t>
            </w:r>
          </w:p>
          <w:p w:rsidR="00000000" w:rsidRPr="00673DE1" w:rsidP="00673DE1">
            <w:pPr>
              <w:pStyle w:val="ListBullet"/>
            </w:pPr>
            <w:r w:rsidRPr="00673DE1">
              <w:t xml:space="preserve">Causes </w:t>
            </w:r>
          </w:p>
          <w:p w:rsidR="00000000" w:rsidRPr="00673DE1" w:rsidP="00673DE1">
            <w:pPr>
              <w:pStyle w:val="ListBullet"/>
            </w:pPr>
            <w:r w:rsidRPr="00673DE1">
              <w:t>Effects</w:t>
            </w:r>
          </w:p>
          <w:p w:rsidR="00000000" w:rsidRPr="00673DE1" w:rsidP="00673DE1">
            <w:pPr>
              <w:pStyle w:val="BodyText"/>
            </w:pPr>
            <w:r w:rsidRPr="00673DE1">
              <w:t>T13</w:t>
            </w:r>
            <w:r w:rsidRPr="00673DE1">
              <w:tab/>
              <w:t>High voltage SWER system encompassing:</w:t>
            </w:r>
          </w:p>
          <w:p w:rsidR="00000000" w:rsidRPr="00673DE1" w:rsidP="00673DE1">
            <w:pPr>
              <w:pStyle w:val="ListBullet"/>
            </w:pPr>
            <w:r w:rsidRPr="00673DE1">
              <w:t>Components</w:t>
            </w:r>
          </w:p>
          <w:p w:rsidR="00000000" w:rsidRPr="00673DE1" w:rsidP="00673DE1">
            <w:pPr>
              <w:pStyle w:val="ListBullet"/>
            </w:pPr>
            <w:r w:rsidRPr="00673DE1">
              <w:t>Circuit arrangement</w:t>
            </w:r>
          </w:p>
          <w:p w:rsidR="00000000" w:rsidRPr="00673DE1" w:rsidP="00673DE1">
            <w:pPr>
              <w:pStyle w:val="ListBullet"/>
            </w:pPr>
            <w:r w:rsidRPr="00673DE1">
              <w:t>Operation principles</w:t>
            </w:r>
          </w:p>
          <w:p w:rsidR="00000000" w:rsidRPr="00673DE1" w:rsidP="00673DE1">
            <w:pPr>
              <w:pStyle w:val="ListBullet"/>
            </w:pPr>
            <w:r w:rsidRPr="00673DE1">
              <w:t>Faulty SWER earth system</w:t>
            </w:r>
          </w:p>
          <w:p w:rsidR="00000000" w:rsidRPr="00673DE1" w:rsidP="00673DE1">
            <w:pPr>
              <w:pStyle w:val="BodyText"/>
            </w:pPr>
            <w:r w:rsidRPr="00673DE1">
              <w:t>T14</w:t>
            </w:r>
            <w:r w:rsidRPr="00673DE1">
              <w:tab/>
              <w:t>Safety Observer principles encompassing:</w:t>
            </w:r>
          </w:p>
          <w:p w:rsidR="00000000" w:rsidRPr="00673DE1" w:rsidP="00673DE1">
            <w:pPr>
              <w:pStyle w:val="ListBullet"/>
            </w:pPr>
            <w:r w:rsidRPr="00673DE1">
              <w:t>Duties</w:t>
            </w:r>
          </w:p>
          <w:p w:rsidR="00000000" w:rsidRPr="00673DE1" w:rsidP="00673DE1">
            <w:pPr>
              <w:pStyle w:val="ListBullet"/>
            </w:pPr>
            <w:r w:rsidRPr="00673DE1">
              <w:t>Techniques</w:t>
            </w:r>
          </w:p>
          <w:p w:rsidR="00000000" w:rsidRPr="00673DE1" w:rsidP="00673DE1">
            <w:pPr>
              <w:pStyle w:val="ListBullet"/>
            </w:pPr>
            <w:r w:rsidRPr="00673DE1">
              <w:t>Minimum Approach Distances (MAD)</w:t>
            </w:r>
          </w:p>
          <w:p w:rsidR="00000000" w:rsidRPr="00673DE1" w:rsidP="00673DE1">
            <w:pPr>
              <w:pStyle w:val="ListBullet"/>
            </w:pPr>
            <w:r w:rsidRPr="00673DE1">
              <w:t>Minimum safe working distance from vegetation</w:t>
            </w:r>
          </w:p>
          <w:p w:rsidR="00000000" w:rsidRPr="00673DE1" w:rsidP="00673DE1">
            <w:pPr>
              <w:pStyle w:val="BodyText"/>
            </w:pPr>
            <w:r w:rsidRPr="00673DE1">
              <w:t>T15</w:t>
            </w:r>
            <w:r w:rsidRPr="00673DE1">
              <w:tab/>
              <w:t>Teamwork High Voltage Live Work</w:t>
            </w:r>
          </w:p>
        </w:tc>
      </w:tr>
    </w:tbl>
    <w:p w:rsidR="00000000" w:rsidRPr="00673DE1" w:rsidP="00673DE1">
      <w:pPr>
        <w:pStyle w:val="BodyText"/>
      </w:pPr>
    </w:p>
    <w:p w:rsidR="00000000" w:rsidRPr="00673DE1" w:rsidP="00673DE1">
      <w:pPr>
        <w:pStyle w:val="AllowPageBreak"/>
      </w:pPr>
    </w:p>
    <w:p w:rsidR="00000000" w:rsidRPr="00673DE1" w:rsidP="00673DE1">
      <w:pPr>
        <w:pStyle w:val="Heading1"/>
      </w:pPr>
      <w:bookmarkStart w:id="10" w:name="O_465522"/>
      <w:bookmarkEnd w:id="10"/>
      <w:r w:rsidRPr="00673DE1">
        <w:t>Evidence Guide</w:t>
      </w:r>
    </w:p>
    <w:tbl>
      <w:tblPr>
        <w:tblW w:w="0" w:type="auto"/>
        <w:tblLayout w:type="fixed"/>
        <w:tblCellMar>
          <w:left w:w="62" w:type="dxa"/>
          <w:right w:w="62" w:type="dxa"/>
        </w:tblCellMar>
        <w:tblLook w:val="0000"/>
      </w:tblPr>
      <w:tblGrid>
        <w:gridCol w:w="8460"/>
      </w:tblGrid>
      <w:tr w:rsidTr="00806B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EVIDENCE GUIDE</w:t>
            </w:r>
          </w:p>
        </w:tc>
      </w:tr>
      <w:tr w:rsidTr="00806B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9)</w:t>
            </w:r>
            <w:r w:rsidRPr="00673DE1">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673DE1" w:rsidP="00673DE1">
            <w:pPr>
              <w:pStyle w:val="BodyText"/>
            </w:pPr>
            <w:r w:rsidRPr="00673DE1">
              <w:t>The Evidence Guide form</w:t>
            </w:r>
            <w:r w:rsidRPr="00673DE1">
              <w:t>s an integral part of this Competency Standard Unit and shall be used in conjunction with all component parts of this unit and, performed in accordance with the Assessment Guidelines of this Training Package.</w:t>
            </w:r>
          </w:p>
        </w:tc>
      </w:tr>
    </w:tbl>
    <w:p w:rsidR="00000000" w:rsidRPr="00673DE1" w:rsidP="00673DE1">
      <w:pPr>
        <w:pStyle w:val="BodyText"/>
      </w:pPr>
    </w:p>
    <w:tbl>
      <w:tblPr>
        <w:tblW w:w="0" w:type="auto"/>
        <w:tblLayout w:type="fixed"/>
        <w:tblCellMar>
          <w:left w:w="62" w:type="dxa"/>
          <w:right w:w="62" w:type="dxa"/>
        </w:tblCellMar>
        <w:tblLook w:val="0000"/>
      </w:tblPr>
      <w:tblGrid>
        <w:gridCol w:w="1890"/>
        <w:gridCol w:w="6570"/>
      </w:tblGrid>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9.1)</w:t>
            </w:r>
          </w:p>
        </w:tc>
      </w:tr>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Longitudinal co</w:t>
            </w:r>
            <w:r w:rsidRPr="00673DE1">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673DE1">
              <w:t>It is the Industry’s preferred model for apprenticeships. However, where summative (or final) assessment is used it is to include the application of the competency in the normal work environment or, at a minimum, the application of the competency in a real</w:t>
            </w:r>
            <w:r w:rsidRPr="00673DE1">
              <w:t>istically simulated work environment. It is recognised that, in some circumstances, assessment in part or full can occur outside the workplace. However, it must be in accord with Industry and, Regulatory policy in this regard.</w:t>
            </w:r>
          </w:p>
          <w:p w:rsidR="00000000" w:rsidRPr="00673DE1" w:rsidP="00673DE1">
            <w:pPr>
              <w:pStyle w:val="BodyText"/>
            </w:pPr>
            <w:r w:rsidRPr="00673DE1">
              <w:t>Methods chosen for a particul</w:t>
            </w:r>
            <w:r w:rsidRPr="00673DE1">
              <w:t>ar assessment will be influenced by various factors. These include the extent of the assessment, the most effective locations for the assessment activities to take place, access to physical resources, additional safety measures that may be required and the</w:t>
            </w:r>
            <w:r w:rsidRPr="00673DE1">
              <w:t xml:space="preserve"> critical nature of the competencies being assessed.</w:t>
            </w:r>
          </w:p>
          <w:p w:rsidR="00000000" w:rsidRPr="00673DE1" w:rsidP="00673DE1">
            <w:pPr>
              <w:pStyle w:val="BodyText"/>
            </w:pPr>
            <w:r w:rsidRPr="00673DE1">
              <w:t xml:space="preserve">The critical safety nature of working with electricity, electrical equipment, gas or any other hazardous substance/material carries risk in deeming a person competent. Hence, sources of evidence need to </w:t>
            </w:r>
            <w:r w:rsidRPr="00673DE1">
              <w:t>be ‘rich’ in nature so as to minimise error in judgment.</w:t>
            </w:r>
          </w:p>
          <w:p w:rsidR="00000000" w:rsidRPr="00673DE1" w:rsidP="00673DE1">
            <w:pPr>
              <w:pStyle w:val="BodyText"/>
            </w:pPr>
            <w:r w:rsidRPr="00673DE1">
              <w:t>Activities associated with normal every day work have a bearing on the decision as to how much and how detailed the data gathered will contribute to its ‘richness’</w:t>
            </w:r>
            <w:r w:rsidRPr="00673DE1">
              <w:t>. Some skills are more critical to safety and operational requirements while the same skills may be more or less frequently practiced. These points are raised for the assessors to consider when choosing an assessment method and developing assessment instru</w:t>
            </w:r>
            <w:r w:rsidRPr="00673DE1">
              <w:t>ments. Sample assessment instruments are included for Assessors in the Assessment Guidelines of this Training Package.</w:t>
            </w:r>
          </w:p>
        </w:tc>
      </w:tr>
    </w:tbl>
    <w:p w:rsidR="00000000" w:rsidRPr="00673DE1" w:rsidP="00673DE1">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9.2)</w:t>
            </w:r>
          </w:p>
        </w:tc>
      </w:tr>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Before the critical aspects of evidence are cons</w:t>
            </w:r>
            <w:r w:rsidRPr="00673DE1">
              <w:t>idered all prerequisites shall be met.</w:t>
            </w:r>
          </w:p>
          <w:p w:rsidR="00000000" w:rsidRPr="00673DE1" w:rsidP="00673DE1">
            <w:pPr>
              <w:pStyle w:val="BodyText"/>
            </w:pPr>
            <w:r w:rsidRPr="00673DE1">
              <w:t>Evidence for competence in this unit shall be considered holistically. Each element and associated performance criteria shall be demonstrated on at least two occasions in accordance with the “Assessment Guidelines – U</w:t>
            </w:r>
            <w:r w:rsidRPr="00673DE1">
              <w:t>ET12”. Evidence shall also comprise:</w:t>
            </w:r>
          </w:p>
          <w:p w:rsidR="00000000" w:rsidRPr="00673DE1" w:rsidP="00673DE1">
            <w:pPr>
              <w:pStyle w:val="ListBullet"/>
            </w:pPr>
            <w:r w:rsidRPr="00673DE1">
              <w:t>A representative body of performance criteria demonstrated within the timeframes typically expected of the discipline, work function and industrial environment. In particular this shall incorporate evidence that shows a</w:t>
            </w:r>
            <w:r w:rsidRPr="00673DE1">
              <w:t xml:space="preserve"> candidate is able to:</w:t>
            </w:r>
          </w:p>
          <w:p w:rsidR="00000000" w:rsidRPr="00673DE1" w:rsidP="00673DE1">
            <w:pPr>
              <w:pStyle w:val="ListBullet2"/>
            </w:pPr>
            <w:r w:rsidRPr="00673DE1">
              <w:t>Implement Occupational Health and Safety workplace procedures and practices including the use of risk control measures as specified in the performance criteria and range; and</w:t>
            </w:r>
          </w:p>
          <w:p w:rsidR="00000000" w:rsidRPr="00673DE1" w:rsidP="00673DE1">
            <w:pPr>
              <w:pStyle w:val="ListBullet2"/>
            </w:pPr>
            <w:r w:rsidRPr="00673DE1">
              <w:t>Apply sustainable energy principl</w:t>
            </w:r>
            <w:r w:rsidRPr="00673DE1">
              <w:t>es and practices as specified in the performance criteria and range; and</w:t>
            </w:r>
          </w:p>
          <w:p w:rsidR="00000000" w:rsidRPr="00673DE1" w:rsidP="00673DE1">
            <w:pPr>
              <w:pStyle w:val="ListBullet2"/>
            </w:pPr>
            <w:r w:rsidRPr="00673DE1">
              <w:t>Demonstrate an understanding of the essential knowledge and associated skills as described in this unit to such an extent that the learner’s performance outcome is reported in accorda</w:t>
            </w:r>
            <w:r w:rsidRPr="00673DE1">
              <w:t>nce with the preferred approach; namely a percentile graded result, where required by the regulated environment; and</w:t>
            </w:r>
          </w:p>
          <w:p w:rsidR="00000000" w:rsidRPr="00673DE1" w:rsidP="00673DE1">
            <w:pPr>
              <w:pStyle w:val="ListBullet2"/>
            </w:pPr>
            <w:r w:rsidRPr="00673DE1">
              <w:t>Demonstrate an appropriate level of employability skills; and</w:t>
            </w:r>
          </w:p>
          <w:p w:rsidR="00000000" w:rsidRPr="00673DE1" w:rsidP="00673DE1">
            <w:pPr>
              <w:pStyle w:val="ListBullet"/>
            </w:pPr>
            <w:r w:rsidRPr="00673DE1">
              <w:t>Conduct work observing the relevant Anti Discrimination legislation, regulati</w:t>
            </w:r>
            <w:r w:rsidRPr="00673DE1">
              <w:t>ons, policies and workplace procedures; and</w:t>
            </w:r>
          </w:p>
          <w:p w:rsidR="00000000" w:rsidP="00673DE1">
            <w:pPr>
              <w:pStyle w:val="ListBullet2"/>
              <w:rPr>
                <w:lang w:val="en-NZ"/>
              </w:rPr>
            </w:pPr>
            <w:r w:rsidRPr="00673DE1">
              <w:t>Demonstrated performance across a representative range of contexts from the prescribed items below:</w:t>
            </w:r>
          </w:p>
        </w:tc>
      </w:tr>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73DE1">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E1">
            <w:pPr>
              <w:pStyle w:val="BodyText"/>
              <w:rPr>
                <w:lang w:val="en-NZ"/>
              </w:rPr>
            </w:pPr>
            <w:r w:rsidRPr="00673DE1">
              <w:rPr>
                <w:rStyle w:val="SpecialBold"/>
              </w:rPr>
              <w:t>Range of tools/equipment/materials/procedures/workplaces/other variables</w:t>
            </w:r>
          </w:p>
        </w:tc>
      </w:tr>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73DE1">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E1" w:rsidP="00673DE1">
            <w:pPr>
              <w:pStyle w:val="BodyText"/>
            </w:pPr>
            <w:r w:rsidRPr="00673DE1">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E1" w:rsidP="00673DE1">
            <w:pPr>
              <w:pStyle w:val="BodyText"/>
            </w:pPr>
            <w:r w:rsidRPr="00673DE1">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E1">
            <w:pPr>
              <w:pStyle w:val="BodyText"/>
              <w:rPr>
                <w:lang w:val="en-NZ"/>
              </w:rPr>
            </w:pPr>
            <w:r w:rsidRPr="00673DE1">
              <w:rPr>
                <w:rStyle w:val="SpecialBold"/>
              </w:rPr>
              <w:t>Item List</w:t>
            </w:r>
          </w:p>
        </w:tc>
      </w:tr>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E1">
            <w:pPr>
              <w:pStyle w:val="BodyText"/>
              <w:rPr>
                <w:lang w:val="en-NZ"/>
              </w:rPr>
            </w:pPr>
            <w:r w:rsidRPr="00673DE1">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E1">
            <w:pPr>
              <w:pStyle w:val="BodyText"/>
              <w:rPr>
                <w:lang w:val="en-NZ"/>
              </w:rPr>
            </w:pPr>
            <w:r w:rsidRPr="00673DE1">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E1" w:rsidP="00673DE1">
            <w:pPr>
              <w:pStyle w:val="BodyText"/>
            </w:pPr>
            <w:r w:rsidRPr="00673DE1">
              <w:t>Install/replace structures</w:t>
            </w:r>
          </w:p>
          <w:p w:rsidR="00000000" w:rsidRPr="00673DE1" w:rsidP="00673DE1">
            <w:pPr>
              <w:pStyle w:val="BodyText"/>
            </w:pPr>
            <w:r w:rsidRPr="00673DE1">
              <w:t>Install/replace hardware (e.g. crossarm and insulator)</w:t>
            </w:r>
          </w:p>
          <w:p w:rsidR="00000000" w:rsidRPr="00673DE1" w:rsidP="00673DE1">
            <w:pPr>
              <w:pStyle w:val="BodyText"/>
            </w:pPr>
            <w:r w:rsidRPr="00673DE1">
              <w:t>Repair conductors</w:t>
            </w:r>
          </w:p>
          <w:p w:rsidR="00000000" w:rsidP="00673DE1">
            <w:pPr>
              <w:pStyle w:val="BodyText"/>
              <w:rPr>
                <w:lang w:val="en-NZ"/>
              </w:rPr>
            </w:pPr>
            <w:r w:rsidRPr="00673DE1">
              <w:t>Install/replace/connect bridge/bonding connections</w:t>
            </w:r>
          </w:p>
        </w:tc>
      </w:tr>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E1">
            <w:pPr>
              <w:pStyle w:val="BodyText"/>
              <w:rPr>
                <w:lang w:val="en-NZ"/>
              </w:rPr>
            </w:pPr>
            <w:r w:rsidRPr="00673DE1">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E1">
            <w:pPr>
              <w:pStyle w:val="BodyText"/>
              <w:rPr>
                <w:lang w:val="en-NZ"/>
              </w:rPr>
            </w:pPr>
            <w:r w:rsidRPr="00673DE1">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E1" w:rsidP="00673DE1">
            <w:pPr>
              <w:pStyle w:val="BodyText"/>
            </w:pPr>
            <w:r w:rsidRPr="00673DE1">
              <w:t>Install/replace pole mounted reclosers</w:t>
            </w:r>
          </w:p>
          <w:p w:rsidR="00000000" w:rsidRPr="00673DE1" w:rsidP="00673DE1">
            <w:pPr>
              <w:pStyle w:val="BodyText"/>
            </w:pPr>
            <w:r w:rsidRPr="00673DE1">
              <w:t>Install/repair/replace air brake switches</w:t>
            </w:r>
          </w:p>
          <w:p w:rsidR="00000000" w:rsidRPr="00673DE1" w:rsidP="00673DE1">
            <w:pPr>
              <w:pStyle w:val="BodyText"/>
            </w:pPr>
            <w:r w:rsidRPr="00673DE1">
              <w:t>Install/repair/replace high voltage links/disconnects</w:t>
            </w:r>
          </w:p>
          <w:p w:rsidR="00000000" w:rsidRPr="00673DE1" w:rsidP="00673DE1">
            <w:pPr>
              <w:pStyle w:val="BodyText"/>
            </w:pPr>
            <w:r w:rsidRPr="00673DE1">
              <w:t>Install/remove temporary high voltage links/high voltage fuses</w:t>
            </w:r>
          </w:p>
          <w:p w:rsidR="00000000" w:rsidRPr="00673DE1" w:rsidP="00673DE1">
            <w:pPr>
              <w:pStyle w:val="BodyText"/>
            </w:pPr>
            <w:r w:rsidRPr="00673DE1">
              <w:t>Washing insulators</w:t>
            </w:r>
          </w:p>
          <w:p w:rsidR="00000000" w:rsidRPr="00673DE1" w:rsidP="00673DE1">
            <w:pPr>
              <w:pStyle w:val="BodyText"/>
            </w:pPr>
            <w:r w:rsidRPr="00673DE1">
              <w:t>Instal</w:t>
            </w:r>
            <w:r w:rsidRPr="00673DE1">
              <w:t xml:space="preserve">l/repair/replace </w:t>
            </w:r>
            <w:r w:rsidRPr="00673DE1">
              <w:t>expulsion drop-out fuses</w:t>
            </w:r>
          </w:p>
          <w:p w:rsidR="00000000" w:rsidRPr="00673DE1" w:rsidP="00673DE1">
            <w:pPr>
              <w:pStyle w:val="BodyText"/>
            </w:pPr>
            <w:r w:rsidRPr="00673DE1">
              <w:t>Install/replace lightning arrestors</w:t>
            </w:r>
          </w:p>
          <w:p w:rsidR="00000000" w:rsidP="00673DE1">
            <w:pPr>
              <w:pStyle w:val="BodyText"/>
              <w:rPr>
                <w:lang w:val="en-NZ"/>
              </w:rPr>
            </w:pPr>
            <w:r w:rsidRPr="00673DE1">
              <w:t>Install/replace vibration dampers or aircraft warning markers</w:t>
            </w:r>
          </w:p>
        </w:tc>
      </w:tr>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E1">
            <w:pPr>
              <w:pStyle w:val="BodyText"/>
              <w:rPr>
                <w:lang w:val="en-NZ"/>
              </w:rPr>
            </w:pPr>
            <w:r w:rsidRPr="00673DE1">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E1">
            <w:pPr>
              <w:pStyle w:val="BodyText"/>
              <w:rPr>
                <w:lang w:val="en-NZ"/>
              </w:rPr>
            </w:pPr>
            <w:r w:rsidRPr="00673DE1">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E1" w:rsidP="00673DE1">
            <w:pPr>
              <w:pStyle w:val="BodyText"/>
            </w:pPr>
            <w:r w:rsidRPr="00673DE1">
              <w:t>EWP</w:t>
            </w:r>
          </w:p>
          <w:p w:rsidR="00000000" w:rsidRPr="00673DE1" w:rsidP="00673DE1">
            <w:pPr>
              <w:pStyle w:val="BodyText"/>
            </w:pPr>
            <w:r w:rsidRPr="00673DE1">
              <w:t>Ladder</w:t>
            </w:r>
          </w:p>
          <w:p w:rsidR="00000000" w:rsidRPr="00673DE1" w:rsidP="00673DE1">
            <w:pPr>
              <w:pStyle w:val="BodyText"/>
            </w:pPr>
            <w:r w:rsidRPr="00673DE1">
              <w:t>Pole platform</w:t>
            </w:r>
          </w:p>
          <w:p w:rsidR="00000000" w:rsidP="00673DE1">
            <w:pPr>
              <w:pStyle w:val="BodyText"/>
              <w:rPr>
                <w:lang w:val="en-NZ"/>
              </w:rPr>
            </w:pPr>
            <w:r w:rsidRPr="00673DE1">
              <w:t>Insulated structure</w:t>
            </w:r>
          </w:p>
        </w:tc>
      </w:tr>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E1">
            <w:pPr>
              <w:pStyle w:val="BodyText"/>
              <w:rPr>
                <w:lang w:val="en-NZ"/>
              </w:rPr>
            </w:pPr>
            <w:r w:rsidRPr="00673DE1">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E1">
            <w:pPr>
              <w:pStyle w:val="BodyText"/>
              <w:rPr>
                <w:lang w:val="en-NZ"/>
              </w:rPr>
            </w:pPr>
            <w:r w:rsidRPr="00673DE1">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E1" w:rsidP="00673DE1">
            <w:pPr>
              <w:pStyle w:val="BodyText"/>
            </w:pPr>
            <w:r w:rsidRPr="00673DE1">
              <w:t>Voltage detector</w:t>
            </w:r>
          </w:p>
          <w:p w:rsidR="00000000" w:rsidRPr="00673DE1" w:rsidP="00673DE1">
            <w:pPr>
              <w:pStyle w:val="BodyText"/>
            </w:pPr>
            <w:r w:rsidRPr="00673DE1">
              <w:t>Leakage detector</w:t>
            </w:r>
          </w:p>
          <w:p w:rsidR="00000000" w:rsidP="00673DE1">
            <w:pPr>
              <w:pStyle w:val="BodyText"/>
              <w:rPr>
                <w:lang w:val="en-NZ"/>
              </w:rPr>
            </w:pPr>
            <w:r w:rsidRPr="00673DE1">
              <w:t>Insulation test equipment</w:t>
            </w:r>
          </w:p>
        </w:tc>
      </w:tr>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E1">
            <w:pPr>
              <w:pStyle w:val="BodyText"/>
              <w:rPr>
                <w:lang w:val="en-NZ"/>
              </w:rPr>
            </w:pPr>
            <w:r w:rsidRPr="00673DE1">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DE1">
            <w:pPr>
              <w:pStyle w:val="BodyText"/>
              <w:rPr>
                <w:lang w:val="en-NZ"/>
              </w:rPr>
            </w:pPr>
            <w:r w:rsidRPr="00673DE1">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DE1" w:rsidP="00673DE1">
            <w:pPr>
              <w:pStyle w:val="BodyText"/>
            </w:pPr>
            <w:r w:rsidRPr="00673DE1">
              <w:t xml:space="preserve">Dealing with an unplanned event by drawing on essential knowledge and associated skills to provide appropriate solutions incorporated in the </w:t>
            </w:r>
            <w:r w:rsidRPr="00673DE1">
              <w:t>holistic assessment with the above listed items.</w:t>
            </w:r>
          </w:p>
        </w:tc>
      </w:tr>
    </w:tbl>
    <w:p w:rsidR="00000000" w:rsidRPr="00673DE1" w:rsidP="00673DE1">
      <w:pPr>
        <w:pStyle w:val="BodyText"/>
      </w:pPr>
    </w:p>
    <w:tbl>
      <w:tblPr>
        <w:tblW w:w="0" w:type="auto"/>
        <w:tblLayout w:type="fixed"/>
        <w:tblCellMar>
          <w:left w:w="62" w:type="dxa"/>
          <w:right w:w="62" w:type="dxa"/>
        </w:tblCellMar>
        <w:tblLook w:val="0000"/>
      </w:tblPr>
      <w:tblGrid>
        <w:gridCol w:w="1890"/>
        <w:gridCol w:w="6570"/>
      </w:tblGrid>
      <w:tr w:rsidTr="00806B2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9.3)</w:t>
            </w:r>
          </w:p>
        </w:tc>
      </w:tr>
      <w:tr w:rsidTr="00806B2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This unit should be assessed as it relates to normal work practice using procedures, information and resources typical of a workplace. This should in</w:t>
            </w:r>
            <w:r w:rsidRPr="00673DE1">
              <w:t>clude:</w:t>
            </w:r>
          </w:p>
          <w:p w:rsidR="00000000" w:rsidRPr="00673DE1" w:rsidP="00673DE1">
            <w:pPr>
              <w:pStyle w:val="ListBullet"/>
            </w:pPr>
            <w:r w:rsidRPr="00673DE1">
              <w:t>OHS policy and work procedures and instructions.</w:t>
            </w:r>
          </w:p>
          <w:p w:rsidR="00000000" w:rsidRPr="00673DE1" w:rsidP="00673DE1">
            <w:pPr>
              <w:pStyle w:val="ListBullet"/>
            </w:pPr>
            <w:r w:rsidRPr="00673DE1">
              <w:t>Suitable work environment, facilities, equipment and materials to undertake actual installation and maintenance of energised high voltage overhead electrical apparatus (stick).</w:t>
            </w:r>
          </w:p>
          <w:p w:rsidR="00000000" w:rsidRPr="00673DE1" w:rsidP="00673DE1">
            <w:pPr>
              <w:pStyle w:val="BodyText"/>
            </w:pPr>
            <w:r w:rsidRPr="00673DE1">
              <w:t>In addition to the resources listed above, in Context of and specific resources for assessment, evidence should show demonstrated competency working at realistic heights above ground i.e. above 3 metres, in limited spaces, with different structural/constru</w:t>
            </w:r>
            <w:r w:rsidRPr="00673DE1">
              <w:t xml:space="preserve">ction types and method and in a variety of environments. </w:t>
            </w:r>
          </w:p>
        </w:tc>
      </w:tr>
    </w:tbl>
    <w:p w:rsidR="00000000" w:rsidRPr="00673DE1" w:rsidP="00673DE1">
      <w:pPr>
        <w:pStyle w:val="BodyText"/>
      </w:pPr>
    </w:p>
    <w:tbl>
      <w:tblPr>
        <w:tblW w:w="0" w:type="auto"/>
        <w:tblLayout w:type="fixed"/>
        <w:tblCellMar>
          <w:left w:w="62" w:type="dxa"/>
          <w:right w:w="62" w:type="dxa"/>
        </w:tblCellMar>
        <w:tblLook w:val="0000"/>
      </w:tblPr>
      <w:tblGrid>
        <w:gridCol w:w="1890"/>
        <w:gridCol w:w="6570"/>
      </w:tblGrid>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9.4)</w:t>
            </w:r>
          </w:p>
        </w:tc>
      </w:tr>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This Competency Standard Unit shall be assessed by methods given in Volume 1, Part 3 “Assessment Guidelines”.</w:t>
            </w:r>
          </w:p>
          <w:p w:rsidR="00000000" w:rsidRPr="00673DE1" w:rsidP="00673DE1">
            <w:pPr>
              <w:pStyle w:val="BodyText"/>
            </w:pPr>
            <w:r w:rsidRPr="00673DE1">
              <w:t>Note:</w:t>
            </w:r>
          </w:p>
          <w:p w:rsidR="00000000" w:rsidRPr="00673DE1" w:rsidP="00673DE1">
            <w:pPr>
              <w:pStyle w:val="BodyText"/>
            </w:pPr>
            <w:r w:rsidRPr="00673DE1">
              <w:t>Competent performance with inherent safe working pra</w:t>
            </w:r>
            <w:r w:rsidRPr="00673DE1">
              <w:t>ctices is expected in the Industry to which this Competency Standard Unit applies. This requires that the specified essential knowledge and associated skills are assessed in a structured environment which is primarily intended for learning/assessment and i</w:t>
            </w:r>
            <w:r w:rsidRPr="00673DE1">
              <w:t>ncorporates all necessary equipment and facilities for learners to develop and demonstrate the essential knowledge and associated skills described in this unit.</w:t>
            </w:r>
          </w:p>
        </w:tc>
      </w:tr>
    </w:tbl>
    <w:p w:rsidR="00000000" w:rsidRPr="00673DE1" w:rsidP="00673DE1">
      <w:pPr>
        <w:pStyle w:val="BodyText"/>
      </w:pPr>
    </w:p>
    <w:tbl>
      <w:tblPr>
        <w:tblW w:w="0" w:type="auto"/>
        <w:tblLayout w:type="fixed"/>
        <w:tblCellMar>
          <w:left w:w="62" w:type="dxa"/>
          <w:right w:w="62" w:type="dxa"/>
        </w:tblCellMar>
        <w:tblLook w:val="0000"/>
      </w:tblPr>
      <w:tblGrid>
        <w:gridCol w:w="1890"/>
        <w:gridCol w:w="6570"/>
      </w:tblGrid>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9.5)</w:t>
            </w:r>
          </w:p>
        </w:tc>
      </w:tr>
      <w:tr w:rsidTr="00806B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There are no recommended concurrencies for this unit.</w:t>
            </w:r>
          </w:p>
        </w:tc>
      </w:tr>
    </w:tbl>
    <w:p w:rsidR="00000000" w:rsidRPr="00673DE1" w:rsidP="00673DE1">
      <w:pPr>
        <w:pStyle w:val="BodyText"/>
      </w:pPr>
    </w:p>
    <w:p w:rsidR="00000000" w:rsidRPr="00673DE1" w:rsidP="00673DE1">
      <w:pPr>
        <w:pStyle w:val="AllowPageBreak"/>
      </w:pPr>
    </w:p>
    <w:p w:rsidR="00000000" w:rsidRPr="00673DE1" w:rsidP="00673DE1">
      <w:pPr>
        <w:pStyle w:val="Heading1"/>
      </w:pPr>
      <w:bookmarkStart w:id="11" w:name="O_465526"/>
      <w:bookmarkEnd w:id="11"/>
      <w:r w:rsidRPr="00673DE1">
        <w:t>Range Statement</w:t>
      </w:r>
    </w:p>
    <w:tbl>
      <w:tblPr>
        <w:tblW w:w="0" w:type="auto"/>
        <w:tblLayout w:type="fixed"/>
        <w:tblCellMar>
          <w:left w:w="62" w:type="dxa"/>
          <w:right w:w="62" w:type="dxa"/>
        </w:tblCellMar>
        <w:tblLook w:val="0000"/>
      </w:tblPr>
      <w:tblGrid>
        <w:gridCol w:w="8460"/>
      </w:tblGrid>
      <w:tr w:rsidTr="00806B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RANGE STATEMENT</w:t>
            </w:r>
          </w:p>
        </w:tc>
      </w:tr>
      <w:tr w:rsidTr="00806B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10)</w:t>
            </w:r>
            <w:r w:rsidRPr="00673DE1">
              <w:t xml:space="preserve"> This relates to the unit of competency as a whole providing the range of contexts and conditions </w:t>
            </w:r>
            <w:r w:rsidRPr="00673DE1">
              <w:t>to which the performance criteria apply. It allows for different work environments and situations that will affect performance.</w:t>
            </w:r>
          </w:p>
          <w:p w:rsidR="00000000" w:rsidRPr="00673DE1" w:rsidP="00673DE1">
            <w:pPr>
              <w:pStyle w:val="BodyText"/>
            </w:pPr>
            <w:r w:rsidRPr="00673DE1">
              <w:t>This Competency Standard Unit shall be demonstrated in relation to the maintenance of energised HV distribution overhead electri</w:t>
            </w:r>
            <w:r w:rsidRPr="00673DE1">
              <w:t>cal apparatus and may include the following</w:t>
            </w:r>
          </w:p>
          <w:p w:rsidR="00000000" w:rsidRPr="00673DE1" w:rsidP="00673DE1">
            <w:pPr>
              <w:pStyle w:val="BodyText"/>
            </w:pPr>
            <w:r w:rsidRPr="00673DE1">
              <w:t>Types of conductor may include bare aluminium; steel cored aluminium, steel and copper conductors and insulated unscreened conductor (IUC) systems.</w:t>
            </w:r>
          </w:p>
          <w:p w:rsidR="00000000" w:rsidRPr="00673DE1" w:rsidP="00673DE1">
            <w:pPr>
              <w:pStyle w:val="BodyText"/>
            </w:pPr>
            <w:r w:rsidRPr="00673DE1">
              <w:t>Maintenance work may include -</w:t>
            </w:r>
          </w:p>
          <w:p w:rsidR="00000000" w:rsidRPr="00673DE1" w:rsidP="00673DE1">
            <w:pPr>
              <w:pStyle w:val="BodyText"/>
            </w:pPr>
            <w:r w:rsidRPr="00673DE1">
              <w:t>The replacement and repair or installation of structures, associated hardware and conductors, and the installation, repair, replacement or connection of bridges/bonding connections.</w:t>
            </w:r>
          </w:p>
          <w:p w:rsidR="00000000" w:rsidRPr="00673DE1" w:rsidP="00673DE1">
            <w:pPr>
              <w:pStyle w:val="BodyText"/>
            </w:pPr>
            <w:r w:rsidRPr="00673DE1">
              <w:t>The repair/replacement/installation of electrical equipment and associated</w:t>
            </w:r>
            <w:r w:rsidRPr="00673DE1">
              <w:t xml:space="preserve"> components whose current carrying parts are exposed, e.g. Air break switches, High Voltage links or disconnects and expulsion drop-out fuses. Pole mounted reclosers, transformers, sectionalisers, lightning arresters and High Voltage cables.</w:t>
            </w:r>
          </w:p>
          <w:p w:rsidR="00000000" w:rsidRPr="00673DE1" w:rsidP="00673DE1">
            <w:pPr>
              <w:pStyle w:val="BodyText"/>
            </w:pPr>
            <w:r w:rsidRPr="00673DE1">
              <w:t>The washing of</w:t>
            </w:r>
            <w:r w:rsidRPr="00673DE1">
              <w:t xml:space="preserve"> insulators.</w:t>
            </w:r>
          </w:p>
          <w:p w:rsidR="00000000" w:rsidRPr="00673DE1" w:rsidP="00673DE1">
            <w:pPr>
              <w:pStyle w:val="BodyText"/>
            </w:pPr>
            <w:r w:rsidRPr="00673DE1">
              <w:t>The commissioning of High Voltage electrical apparatus</w:t>
            </w:r>
          </w:p>
          <w:p w:rsidR="00000000" w:rsidRPr="00673DE1" w:rsidP="00673DE1">
            <w:pPr>
              <w:pStyle w:val="BodyText"/>
            </w:pPr>
            <w:r w:rsidRPr="00673DE1">
              <w:t>Distribution structures may be wood, steel, concrete or composite.</w:t>
            </w:r>
          </w:p>
          <w:p w:rsidR="00000000" w:rsidRPr="00673DE1" w:rsidP="00673DE1">
            <w:pPr>
              <w:pStyle w:val="BodyText"/>
            </w:pPr>
            <w:r w:rsidRPr="00673DE1">
              <w:t>Conductor voltage will generally not exceed 132 kV.</w:t>
            </w:r>
          </w:p>
          <w:p w:rsidR="00000000" w:rsidRPr="00673DE1" w:rsidP="00673DE1">
            <w:pPr>
              <w:pStyle w:val="BodyText"/>
            </w:pPr>
            <w:r w:rsidRPr="00673DE1">
              <w:t xml:space="preserve">Work may be performed from elevating work platform, ladder, portable </w:t>
            </w:r>
            <w:r w:rsidRPr="00673DE1">
              <w:t xml:space="preserve">pole platform or insulated scaffold and may include the use of a gin pole. </w:t>
            </w:r>
          </w:p>
          <w:p w:rsidR="00000000" w:rsidRPr="00673DE1" w:rsidP="00673DE1">
            <w:pPr>
              <w:pStyle w:val="BodyText"/>
            </w:pPr>
            <w:r w:rsidRPr="00673DE1">
              <w:t>Testing and recording equipment includes phasing sticks, fault indicators, voltage detectors, leakage detectors insulation testers and test equipment for live-line tools.</w:t>
            </w:r>
          </w:p>
          <w:p w:rsidR="00000000" w:rsidRPr="00673DE1" w:rsidP="00673DE1">
            <w:pPr>
              <w:pStyle w:val="BodyText"/>
            </w:pPr>
            <w:r w:rsidRPr="00673DE1">
              <w:t>The follo</w:t>
            </w:r>
            <w:r w:rsidRPr="00673DE1">
              <w:t>wing constants and variables included in the element/performance criteria in this unit are fully described in the Definitions Section 1 of this volume and form an integral part of the Range Statement of this unit:</w:t>
            </w:r>
          </w:p>
          <w:p w:rsidR="00000000" w:rsidRPr="00673DE1" w:rsidP="00673DE1">
            <w:pPr>
              <w:pStyle w:val="ListBullet3"/>
            </w:pPr>
            <w:r w:rsidRPr="00673DE1">
              <w:t>Appropriate and relevant persons (see Per</w:t>
            </w:r>
            <w:r w:rsidRPr="00673DE1">
              <w:t>sonnel)</w:t>
            </w:r>
          </w:p>
          <w:p w:rsidR="00000000" w:rsidRPr="00673DE1" w:rsidP="00673DE1">
            <w:pPr>
              <w:pStyle w:val="ListBullet3"/>
            </w:pPr>
            <w:r w:rsidRPr="00673DE1">
              <w:t xml:space="preserve">Appropriate authorities </w:t>
            </w:r>
          </w:p>
          <w:p w:rsidR="00000000" w:rsidRPr="00673DE1" w:rsidP="00673DE1">
            <w:pPr>
              <w:pStyle w:val="ListBullet3"/>
            </w:pPr>
            <w:r w:rsidRPr="00673DE1">
              <w:t>Appropriate work platform.</w:t>
            </w:r>
          </w:p>
          <w:p w:rsidR="00000000" w:rsidRPr="00673DE1" w:rsidP="00673DE1">
            <w:pPr>
              <w:pStyle w:val="ListBullet3"/>
            </w:pPr>
            <w:r w:rsidRPr="00673DE1">
              <w:t>Assessing risk</w:t>
            </w:r>
          </w:p>
          <w:p w:rsidR="00000000" w:rsidRPr="00673DE1" w:rsidP="00673DE1">
            <w:pPr>
              <w:pStyle w:val="ListBullet3"/>
            </w:pPr>
            <w:r w:rsidRPr="00673DE1">
              <w:t>Assessment</w:t>
            </w:r>
          </w:p>
          <w:p w:rsidR="00000000" w:rsidRPr="00673DE1" w:rsidP="00673DE1">
            <w:pPr>
              <w:pStyle w:val="ListBullet3"/>
            </w:pPr>
            <w:r w:rsidRPr="00673DE1">
              <w:t xml:space="preserve">Authorisation </w:t>
            </w:r>
          </w:p>
          <w:p w:rsidR="00000000" w:rsidRPr="00673DE1" w:rsidP="00673DE1">
            <w:pPr>
              <w:pStyle w:val="ListBullet3"/>
            </w:pPr>
            <w:r w:rsidRPr="00673DE1">
              <w:t>Diagnostic, testing and restoration</w:t>
            </w:r>
          </w:p>
          <w:p w:rsidR="00000000" w:rsidRPr="00673DE1" w:rsidP="00673DE1">
            <w:pPr>
              <w:pStyle w:val="ListBullet3"/>
            </w:pPr>
            <w:r w:rsidRPr="00673DE1">
              <w:t>Documenting detail work events, record keeping and or storage of information</w:t>
            </w:r>
          </w:p>
          <w:p w:rsidR="00000000" w:rsidRPr="00673DE1" w:rsidP="00673DE1">
            <w:pPr>
              <w:pStyle w:val="ListBullet3"/>
            </w:pPr>
            <w:r w:rsidRPr="00673DE1">
              <w:t>Drawings and specifications</w:t>
            </w:r>
          </w:p>
          <w:p w:rsidR="00000000" w:rsidRPr="00673DE1" w:rsidP="00673DE1">
            <w:pPr>
              <w:pStyle w:val="ListBullet3"/>
            </w:pPr>
            <w:r w:rsidRPr="00673DE1">
              <w:t>Emergency</w:t>
            </w:r>
          </w:p>
          <w:p w:rsidR="00000000" w:rsidRPr="00673DE1" w:rsidP="00673DE1">
            <w:pPr>
              <w:pStyle w:val="ListBullet3"/>
            </w:pPr>
            <w:r w:rsidRPr="00673DE1">
              <w:t>Environmental and sustainable energy procedures</w:t>
            </w:r>
          </w:p>
          <w:p w:rsidR="00000000" w:rsidRPr="00673DE1" w:rsidP="00673DE1">
            <w:pPr>
              <w:pStyle w:val="ListBullet3"/>
            </w:pPr>
            <w:r w:rsidRPr="00673DE1">
              <w:t>Environmental legislation</w:t>
            </w:r>
          </w:p>
          <w:p w:rsidR="00000000" w:rsidRPr="00673DE1" w:rsidP="00673DE1">
            <w:pPr>
              <w:pStyle w:val="ListBullet3"/>
            </w:pPr>
            <w:r w:rsidRPr="00673DE1">
              <w:t>Environmental management documentation</w:t>
            </w:r>
          </w:p>
          <w:p w:rsidR="00000000" w:rsidRPr="00673DE1" w:rsidP="00673DE1">
            <w:pPr>
              <w:pStyle w:val="ListBullet3"/>
            </w:pPr>
            <w:r w:rsidRPr="00673DE1">
              <w:t>Established procedures</w:t>
            </w:r>
          </w:p>
          <w:p w:rsidR="00000000" w:rsidRPr="00673DE1" w:rsidP="00673DE1">
            <w:pPr>
              <w:pStyle w:val="ListBullet3"/>
            </w:pPr>
            <w:r w:rsidRPr="00673DE1">
              <w:t>Fall prevention</w:t>
            </w:r>
          </w:p>
          <w:p w:rsidR="00000000" w:rsidRPr="00673DE1" w:rsidP="00673DE1">
            <w:pPr>
              <w:pStyle w:val="ListBullet3"/>
            </w:pPr>
            <w:r w:rsidRPr="00673DE1">
              <w:t>Hazards</w:t>
            </w:r>
          </w:p>
          <w:p w:rsidR="00000000" w:rsidRPr="00673DE1" w:rsidP="00673DE1">
            <w:pPr>
              <w:pStyle w:val="ListBullet3"/>
            </w:pPr>
            <w:r w:rsidRPr="00673DE1">
              <w:t>Identifying hazards</w:t>
            </w:r>
          </w:p>
          <w:p w:rsidR="00000000" w:rsidRPr="00673DE1" w:rsidP="00673DE1">
            <w:pPr>
              <w:pStyle w:val="ListBullet3"/>
            </w:pPr>
            <w:r w:rsidRPr="00673DE1">
              <w:t>Inspect</w:t>
            </w:r>
          </w:p>
          <w:p w:rsidR="00000000" w:rsidRPr="00673DE1" w:rsidP="00673DE1">
            <w:pPr>
              <w:pStyle w:val="ListBullet3"/>
            </w:pPr>
            <w:r w:rsidRPr="00673DE1">
              <w:t>Legislation</w:t>
            </w:r>
          </w:p>
          <w:p w:rsidR="00000000" w:rsidRPr="00673DE1" w:rsidP="00673DE1">
            <w:pPr>
              <w:pStyle w:val="ListBullet3"/>
            </w:pPr>
            <w:r w:rsidRPr="00673DE1">
              <w:t>MSDS</w:t>
            </w:r>
          </w:p>
          <w:p w:rsidR="00000000" w:rsidRPr="00673DE1" w:rsidP="00673DE1">
            <w:pPr>
              <w:pStyle w:val="ListBullet3"/>
            </w:pPr>
            <w:r w:rsidRPr="00673DE1">
              <w:t>Notification</w:t>
            </w:r>
          </w:p>
          <w:p w:rsidR="00000000" w:rsidRPr="00673DE1" w:rsidP="00673DE1">
            <w:pPr>
              <w:pStyle w:val="ListBullet3"/>
            </w:pPr>
            <w:r w:rsidRPr="00673DE1">
              <w:t>OHS practices</w:t>
            </w:r>
          </w:p>
          <w:p w:rsidR="00000000" w:rsidRPr="00673DE1" w:rsidP="00673DE1">
            <w:pPr>
              <w:pStyle w:val="ListBullet3"/>
            </w:pPr>
            <w:r w:rsidRPr="00673DE1">
              <w:t>OHS issues</w:t>
            </w:r>
          </w:p>
          <w:p w:rsidR="00000000" w:rsidRPr="00673DE1" w:rsidP="00673DE1">
            <w:pPr>
              <w:pStyle w:val="ListBullet3"/>
            </w:pPr>
            <w:r w:rsidRPr="00673DE1">
              <w:t>Permits and/o</w:t>
            </w:r>
            <w:r w:rsidRPr="00673DE1">
              <w:t>r permits to work</w:t>
            </w:r>
          </w:p>
          <w:p w:rsidR="00000000" w:rsidRPr="00673DE1" w:rsidP="00673DE1">
            <w:pPr>
              <w:pStyle w:val="ListBullet3"/>
            </w:pPr>
            <w:r w:rsidRPr="00673DE1">
              <w:t>Personnel</w:t>
            </w:r>
          </w:p>
          <w:p w:rsidR="00000000" w:rsidRPr="00673DE1" w:rsidP="00673DE1">
            <w:pPr>
              <w:pStyle w:val="ListBullet3"/>
            </w:pPr>
            <w:r w:rsidRPr="00673DE1">
              <w:t>Quality assurance systems</w:t>
            </w:r>
          </w:p>
          <w:p w:rsidR="00000000" w:rsidRPr="00673DE1" w:rsidP="00673DE1">
            <w:pPr>
              <w:pStyle w:val="ListBullet3"/>
            </w:pPr>
            <w:r w:rsidRPr="00673DE1">
              <w:t>Requirements</w:t>
            </w:r>
          </w:p>
          <w:p w:rsidR="00000000" w:rsidRPr="00673DE1" w:rsidP="00673DE1">
            <w:pPr>
              <w:pStyle w:val="ListBullet3"/>
            </w:pPr>
            <w:r w:rsidRPr="00673DE1">
              <w:t>Testing procedures</w:t>
            </w:r>
          </w:p>
          <w:p w:rsidR="00000000" w:rsidRPr="00673DE1" w:rsidP="00673DE1">
            <w:pPr>
              <w:pStyle w:val="ListBullet3"/>
            </w:pPr>
            <w:r w:rsidRPr="00673DE1">
              <w:t>Work clearance systems</w:t>
            </w:r>
          </w:p>
        </w:tc>
      </w:tr>
    </w:tbl>
    <w:p w:rsidR="00000000" w:rsidRPr="00673DE1" w:rsidP="00673DE1">
      <w:pPr>
        <w:pStyle w:val="BodyText"/>
      </w:pPr>
    </w:p>
    <w:p w:rsidR="00000000" w:rsidRPr="00673DE1" w:rsidP="00673DE1">
      <w:pPr>
        <w:pStyle w:val="AllowPageBreak"/>
      </w:pPr>
    </w:p>
    <w:p w:rsidR="00000000" w:rsidRPr="00673DE1" w:rsidP="00673DE1">
      <w:pPr>
        <w:pStyle w:val="Heading1"/>
      </w:pPr>
      <w:bookmarkStart w:id="12" w:name="O_465529"/>
      <w:bookmarkEnd w:id="12"/>
      <w:r w:rsidRPr="00673DE1">
        <w:t>Unit Sector(s)</w:t>
      </w:r>
    </w:p>
    <w:p w:rsidR="00000000" w:rsidRPr="00673DE1" w:rsidP="00673DE1">
      <w:pPr>
        <w:pStyle w:val="BodyText"/>
      </w:pPr>
      <w:r w:rsidRPr="00673DE1">
        <w:t>Not applicable.</w:t>
      </w:r>
    </w:p>
    <w:p w:rsidR="00000000" w:rsidRPr="00673DE1" w:rsidP="00673DE1">
      <w:pPr>
        <w:pStyle w:val="AllowPageBreak"/>
      </w:pPr>
    </w:p>
    <w:p w:rsidR="00000000" w:rsidRPr="00673DE1" w:rsidP="00673DE1">
      <w:pPr>
        <w:pStyle w:val="Heading1"/>
      </w:pPr>
      <w:bookmarkStart w:id="13" w:name="O_465518"/>
      <w:bookmarkEnd w:id="13"/>
      <w:r w:rsidRPr="00673DE1">
        <w:t>Competency Field</w:t>
      </w:r>
    </w:p>
    <w:tbl>
      <w:tblPr>
        <w:tblW w:w="0" w:type="auto"/>
        <w:tblLayout w:type="fixed"/>
        <w:tblCellMar>
          <w:left w:w="62" w:type="dxa"/>
          <w:right w:w="62" w:type="dxa"/>
        </w:tblCellMar>
        <w:tblLook w:val="0000"/>
      </w:tblPr>
      <w:tblGrid>
        <w:gridCol w:w="2700"/>
        <w:gridCol w:w="5760"/>
      </w:tblGrid>
      <w:tr w:rsidTr="00806B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73DE1">
            <w:pPr>
              <w:pStyle w:val="BodyText"/>
              <w:rPr>
                <w:lang w:val="en-NZ"/>
              </w:rPr>
            </w:pPr>
            <w:r w:rsidRPr="00673DE1">
              <w:rPr>
                <w:rStyle w:val="SpecialBold"/>
              </w:rPr>
              <w:t xml:space="preserve">11) </w:t>
            </w:r>
          </w:p>
        </w:tc>
      </w:tr>
      <w:tr w:rsidTr="00806B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3DE1" w:rsidP="00673DE1">
            <w:pPr>
              <w:pStyle w:val="BodyText"/>
            </w:pPr>
            <w:r w:rsidRPr="00673DE1">
              <w:t>Distribution.</w:t>
            </w:r>
          </w:p>
        </w:tc>
      </w:tr>
    </w:tbl>
    <w:p w:rsidR="00000000" w:rsidRPr="00673DE1" w:rsidP="00673DE1">
      <w:pPr>
        <w:pStyle w:val="BodyText"/>
      </w:pPr>
    </w:p>
    <w:p w:rsidR="00000000" w:rsidRPr="00673DE1" w:rsidP="00673DE1"/>
    <w:sectPr w:rsidSect="00673D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6B2C" w:rsidP="00806B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2C" w:rsidP="00673D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06B2C" w:rsidP="00673D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06B2C" w:rsidP="00673D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E1" w:rsidRPr="00806B2C" w:rsidP="00806B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2C" w:rsidRPr="002D2AF8" w:rsidP="00673DE1">
    <w:pPr>
      <w:pStyle w:val="Header"/>
      <w:framePr w:wrap="around"/>
    </w:pPr>
    <w:r>
      <w:fldChar w:fldCharType="begin"/>
    </w:r>
    <w:r>
      <w:instrText xml:space="preserve"> TITLE   \* MERGEFORMAT </w:instrText>
    </w:r>
    <w:r>
      <w:fldChar w:fldCharType="separate"/>
    </w:r>
    <w:r>
      <w:t>UETTDRDP13A Maintain energised HV distribution overhead electrical apparatus (stick)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06B2C" w:rsidP="00673D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5A3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C6C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3AE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DE1"/>
    <w:pPr>
      <w:spacing w:before="360" w:after="60"/>
      <w:outlineLvl w:val="0"/>
    </w:pPr>
    <w:rPr>
      <w:sz w:val="32"/>
    </w:rPr>
  </w:style>
  <w:style w:type="paragraph" w:styleId="Heading2">
    <w:name w:val="heading 2"/>
    <w:basedOn w:val="HeadingBase"/>
    <w:next w:val="BodyText"/>
    <w:link w:val="Heading2Char"/>
    <w:qFormat/>
    <w:rsid w:val="00673DE1"/>
    <w:pPr>
      <w:keepLines/>
      <w:spacing w:before="240" w:after="120"/>
      <w:outlineLvl w:val="1"/>
    </w:pPr>
    <w:rPr>
      <w:sz w:val="28"/>
      <w:szCs w:val="40"/>
    </w:rPr>
  </w:style>
  <w:style w:type="paragraph" w:styleId="Heading3">
    <w:name w:val="heading 3"/>
    <w:basedOn w:val="HeadingBase"/>
    <w:next w:val="BodyText"/>
    <w:link w:val="Heading3Char"/>
    <w:qFormat/>
    <w:rsid w:val="00673DE1"/>
    <w:pPr>
      <w:spacing w:before="180" w:after="120"/>
      <w:outlineLvl w:val="2"/>
    </w:pPr>
    <w:rPr>
      <w:spacing w:val="-10"/>
      <w:kern w:val="32"/>
    </w:rPr>
  </w:style>
  <w:style w:type="paragraph" w:styleId="Heading4">
    <w:name w:val="heading 4"/>
    <w:basedOn w:val="HeadingBase"/>
    <w:next w:val="BodyText"/>
    <w:link w:val="Heading4Char"/>
    <w:qFormat/>
    <w:rsid w:val="00673DE1"/>
    <w:pPr>
      <w:spacing w:before="160" w:after="120"/>
      <w:outlineLvl w:val="3"/>
    </w:pPr>
    <w:rPr>
      <w:sz w:val="22"/>
    </w:rPr>
  </w:style>
  <w:style w:type="paragraph" w:styleId="Heading5">
    <w:name w:val="heading 5"/>
    <w:basedOn w:val="HeadingBase"/>
    <w:next w:val="Normal"/>
    <w:link w:val="Heading5Char"/>
    <w:qFormat/>
    <w:rsid w:val="00673DE1"/>
    <w:pPr>
      <w:spacing w:before="80"/>
      <w:outlineLvl w:val="4"/>
    </w:pPr>
    <w:rPr>
      <w:color w:val="918585"/>
      <w:sz w:val="20"/>
    </w:rPr>
  </w:style>
  <w:style w:type="paragraph" w:styleId="Heading6">
    <w:name w:val="heading 6"/>
    <w:basedOn w:val="HeadingBase"/>
    <w:next w:val="Normal"/>
    <w:link w:val="Heading6Char"/>
    <w:qFormat/>
    <w:rsid w:val="00673DE1"/>
    <w:pPr>
      <w:spacing w:before="60"/>
      <w:outlineLvl w:val="5"/>
    </w:pPr>
    <w:rPr>
      <w:color w:val="918585"/>
      <w:sz w:val="20"/>
    </w:rPr>
  </w:style>
  <w:style w:type="paragraph" w:styleId="Heading7">
    <w:name w:val="heading 7"/>
    <w:basedOn w:val="Normal"/>
    <w:next w:val="Normal"/>
    <w:link w:val="Heading7Char"/>
    <w:qFormat/>
    <w:rsid w:val="00673DE1"/>
    <w:pPr>
      <w:ind w:left="720"/>
      <w:outlineLvl w:val="6"/>
    </w:pPr>
    <w:rPr>
      <w:i/>
    </w:rPr>
  </w:style>
  <w:style w:type="paragraph" w:styleId="Heading8">
    <w:name w:val="heading 8"/>
    <w:basedOn w:val="Normal"/>
    <w:next w:val="Normal"/>
    <w:link w:val="Heading8Char"/>
    <w:qFormat/>
    <w:rsid w:val="00673DE1"/>
    <w:pPr>
      <w:ind w:left="720"/>
      <w:outlineLvl w:val="7"/>
    </w:pPr>
    <w:rPr>
      <w:i/>
    </w:rPr>
  </w:style>
  <w:style w:type="paragraph" w:styleId="Heading9">
    <w:name w:val="heading 9"/>
    <w:basedOn w:val="Normal"/>
    <w:next w:val="Normal"/>
    <w:link w:val="Heading9Char"/>
    <w:qFormat/>
    <w:rsid w:val="00673DE1"/>
    <w:pPr>
      <w:ind w:left="720"/>
      <w:outlineLvl w:val="8"/>
    </w:pPr>
    <w:rPr>
      <w:i/>
    </w:rPr>
  </w:style>
  <w:style w:type="character" w:default="1" w:styleId="DefaultParagraphFont">
    <w:name w:val="Default Paragraph Font"/>
    <w:uiPriority w:val="1"/>
    <w:unhideWhenUsed/>
    <w:rsid w:val="00673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DE1"/>
  </w:style>
  <w:style w:type="character" w:customStyle="1" w:styleId="Heading1Char">
    <w:name w:val="Heading 1 Char"/>
    <w:basedOn w:val="DefaultParagraphFont"/>
    <w:link w:val="Heading1"/>
    <w:rsid w:val="00673DE1"/>
    <w:rPr>
      <w:rFonts w:ascii="Times New Roman" w:eastAsia="Times New Roman" w:hAnsi="Times New Roman" w:cs="Times New Roman"/>
      <w:b/>
      <w:sz w:val="32"/>
      <w:szCs w:val="20"/>
      <w:lang w:eastAsia="en-US"/>
    </w:rPr>
  </w:style>
  <w:style w:type="paragraph" w:styleId="BodyText">
    <w:name w:val="Body Text"/>
    <w:basedOn w:val="Normal"/>
    <w:link w:val="BodyTextChar"/>
    <w:rsid w:val="00673D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DE1"/>
    <w:rPr>
      <w:rFonts w:ascii="Times New Roman" w:eastAsia="Times New Roman" w:hAnsi="Times New Roman" w:cs="Times New Roman"/>
      <w:sz w:val="24"/>
      <w:lang w:eastAsia="en-US"/>
    </w:rPr>
  </w:style>
  <w:style w:type="paragraph" w:styleId="Footer">
    <w:name w:val="footer"/>
    <w:basedOn w:val="Normal"/>
    <w:link w:val="FooterChar"/>
    <w:rsid w:val="00673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DE1"/>
    <w:rPr>
      <w:rFonts w:ascii="Times New Roman" w:eastAsia="Times New Roman" w:hAnsi="Times New Roman" w:cs="Times New Roman"/>
      <w:sz w:val="16"/>
      <w:lang w:eastAsia="en-US"/>
    </w:rPr>
  </w:style>
  <w:style w:type="paragraph" w:styleId="ListBullet">
    <w:name w:val="List Bullet"/>
    <w:basedOn w:val="List"/>
    <w:rsid w:val="00673DE1"/>
    <w:pPr>
      <w:numPr>
        <w:numId w:val="14"/>
      </w:numPr>
      <w:tabs>
        <w:tab w:val="clear" w:pos="340"/>
      </w:tabs>
      <w:spacing w:before="40" w:after="40"/>
    </w:pPr>
  </w:style>
  <w:style w:type="character" w:customStyle="1" w:styleId="SpecialBold">
    <w:name w:val="Special Bold"/>
    <w:basedOn w:val="DefaultParagraphFont"/>
    <w:rsid w:val="00673DE1"/>
    <w:rPr>
      <w:b/>
      <w:spacing w:val="0"/>
    </w:rPr>
  </w:style>
  <w:style w:type="paragraph" w:styleId="ListBullet2">
    <w:name w:val="List Bullet 2"/>
    <w:basedOn w:val="List2"/>
    <w:rsid w:val="00673DE1"/>
    <w:pPr>
      <w:numPr>
        <w:numId w:val="15"/>
      </w:numPr>
      <w:tabs>
        <w:tab w:val="clear" w:pos="680"/>
      </w:tabs>
    </w:pPr>
  </w:style>
  <w:style w:type="paragraph" w:customStyle="1" w:styleId="SuperHeading">
    <w:name w:val="SuperHeading"/>
    <w:basedOn w:val="Normal"/>
    <w:rsid w:val="00673DE1"/>
    <w:pPr>
      <w:spacing w:before="240" w:after="120"/>
      <w:outlineLvl w:val="0"/>
    </w:pPr>
    <w:rPr>
      <w:rFonts w:ascii="Times New Roman" w:hAnsi="Times New Roman"/>
      <w:b/>
      <w:sz w:val="28"/>
    </w:rPr>
  </w:style>
  <w:style w:type="paragraph" w:customStyle="1" w:styleId="AllowPageBreak">
    <w:name w:val="AllowPageBreak"/>
    <w:rsid w:val="00673D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3DE1"/>
    <w:pPr>
      <w:numPr>
        <w:numId w:val="3"/>
      </w:numPr>
      <w:tabs>
        <w:tab w:val="clear" w:pos="1021"/>
      </w:tabs>
      <w:ind w:left="1037" w:hanging="357"/>
    </w:pPr>
  </w:style>
  <w:style w:type="character" w:customStyle="1" w:styleId="Heading2Char">
    <w:name w:val="Heading 2 Char"/>
    <w:basedOn w:val="DefaultParagraphFont"/>
    <w:link w:val="Heading2"/>
    <w:rsid w:val="00673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DE1"/>
    <w:rPr>
      <w:rFonts w:ascii="Courier New" w:eastAsia="Times New Roman" w:hAnsi="Courier New" w:cs="Times New Roman"/>
      <w:i/>
      <w:szCs w:val="20"/>
      <w:lang w:eastAsia="en-US"/>
    </w:rPr>
  </w:style>
  <w:style w:type="paragraph" w:customStyle="1" w:styleId="HeadingBase">
    <w:name w:val="Heading Base"/>
    <w:rsid w:val="00673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DE1"/>
    <w:pPr>
      <w:tabs>
        <w:tab w:val="right" w:leader="dot" w:pos="9072"/>
      </w:tabs>
      <w:ind w:left="567"/>
    </w:pPr>
    <w:rPr>
      <w:szCs w:val="22"/>
    </w:rPr>
  </w:style>
  <w:style w:type="paragraph" w:customStyle="1" w:styleId="TOCBase">
    <w:name w:val="TOC Base"/>
    <w:rsid w:val="00673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DE1"/>
    <w:pPr>
      <w:tabs>
        <w:tab w:val="right" w:leader="dot" w:pos="9072"/>
      </w:tabs>
      <w:spacing w:before="40" w:after="40"/>
      <w:ind w:left="284"/>
    </w:pPr>
    <w:rPr>
      <w:rFonts w:ascii="Times New Roman" w:hAnsi="Times New Roman"/>
    </w:rPr>
  </w:style>
  <w:style w:type="paragraph" w:styleId="TOC1">
    <w:name w:val="toc 1"/>
    <w:basedOn w:val="TOCBase"/>
    <w:next w:val="Normal"/>
    <w:rsid w:val="00673D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DE1"/>
    <w:pPr>
      <w:spacing w:before="5040"/>
      <w:jc w:val="center"/>
    </w:pPr>
    <w:rPr>
      <w:sz w:val="48"/>
      <w:szCs w:val="72"/>
      <w:lang w:val="en-US"/>
    </w:rPr>
  </w:style>
  <w:style w:type="character" w:customStyle="1" w:styleId="TitleChar">
    <w:name w:val="Title Char"/>
    <w:basedOn w:val="DefaultParagraphFont"/>
    <w:link w:val="Title"/>
    <w:rsid w:val="00673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DE1"/>
    <w:pPr>
      <w:tabs>
        <w:tab w:val="left" w:pos="3600"/>
        <w:tab w:val="left" w:pos="3958"/>
      </w:tabs>
    </w:pPr>
  </w:style>
  <w:style w:type="paragraph" w:styleId="List">
    <w:name w:val="List"/>
    <w:basedOn w:val="BodyText"/>
    <w:next w:val="BodyText"/>
    <w:rsid w:val="00673DE1"/>
    <w:pPr>
      <w:tabs>
        <w:tab w:val="left" w:pos="340"/>
      </w:tabs>
      <w:spacing w:before="60" w:after="60"/>
      <w:ind w:left="340" w:hanging="340"/>
    </w:pPr>
  </w:style>
  <w:style w:type="paragraph" w:customStyle="1" w:styleId="Note">
    <w:name w:val="Note"/>
    <w:basedOn w:val="BodyText"/>
    <w:rsid w:val="00673D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DE1"/>
    <w:pPr>
      <w:framePr w:wrap="auto" w:hAnchor="text" w:y="6049"/>
    </w:pPr>
    <w:rPr>
      <w:color w:val="000000"/>
      <w:sz w:val="40"/>
    </w:rPr>
  </w:style>
  <w:style w:type="paragraph" w:customStyle="1" w:styleId="TOCTitle">
    <w:name w:val="TOCTitle"/>
    <w:basedOn w:val="Heading1"/>
    <w:rsid w:val="00673DE1"/>
    <w:pPr>
      <w:spacing w:after="240"/>
      <w:jc w:val="center"/>
      <w:outlineLvl w:val="9"/>
    </w:pPr>
    <w:rPr>
      <w:caps/>
    </w:rPr>
  </w:style>
  <w:style w:type="paragraph" w:customStyle="1" w:styleId="Version">
    <w:name w:val="Version"/>
    <w:rsid w:val="00673D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DE1"/>
    <w:pPr>
      <w:keepNext w:val="0"/>
      <w:tabs>
        <w:tab w:val="right" w:pos="4176"/>
      </w:tabs>
      <w:ind w:left="198" w:hanging="198"/>
    </w:pPr>
    <w:rPr>
      <w:rFonts w:ascii="Garamond" w:hAnsi="Garamond"/>
    </w:rPr>
  </w:style>
  <w:style w:type="paragraph" w:styleId="IndexHeading">
    <w:name w:val="index heading"/>
    <w:basedOn w:val="Normal"/>
    <w:next w:val="Index1"/>
    <w:semiHidden/>
    <w:rsid w:val="00673DE1"/>
    <w:pPr>
      <w:spacing w:before="120" w:after="120"/>
    </w:pPr>
    <w:rPr>
      <w:rFonts w:ascii="Arial" w:hAnsi="Arial"/>
      <w:b/>
      <w:color w:val="918585"/>
      <w:sz w:val="24"/>
    </w:rPr>
  </w:style>
  <w:style w:type="paragraph" w:styleId="Header">
    <w:name w:val="header"/>
    <w:basedOn w:val="Normal"/>
    <w:link w:val="HeaderChar"/>
    <w:rsid w:val="00673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DE1"/>
    <w:rPr>
      <w:rFonts w:ascii="Times New Roman" w:eastAsia="Times New Roman" w:hAnsi="Times New Roman" w:cs="Times New Roman"/>
      <w:sz w:val="16"/>
      <w:szCs w:val="20"/>
      <w:lang w:val="en-GB" w:eastAsia="en-US"/>
    </w:rPr>
  </w:style>
  <w:style w:type="paragraph" w:customStyle="1" w:styleId="Chapter">
    <w:name w:val="Chapter"/>
    <w:basedOn w:val="Normal"/>
    <w:rsid w:val="00673DE1"/>
    <w:pPr>
      <w:spacing w:before="240"/>
    </w:pPr>
    <w:rPr>
      <w:rFonts w:ascii="Times New Roman" w:hAnsi="Times New Roman"/>
      <w:smallCaps/>
      <w:spacing w:val="80"/>
      <w:sz w:val="28"/>
    </w:rPr>
  </w:style>
  <w:style w:type="paragraph" w:customStyle="1" w:styleId="InChapter">
    <w:name w:val="InChapter"/>
    <w:basedOn w:val="Heading3"/>
    <w:rsid w:val="00673DE1"/>
    <w:pPr>
      <w:spacing w:after="240"/>
      <w:outlineLvl w:val="9"/>
    </w:pPr>
    <w:rPr>
      <w:noProof/>
    </w:rPr>
  </w:style>
  <w:style w:type="paragraph" w:styleId="Index2">
    <w:name w:val="index 2"/>
    <w:basedOn w:val="Normal"/>
    <w:next w:val="Normal"/>
    <w:semiHidden/>
    <w:rsid w:val="00673DE1"/>
    <w:pPr>
      <w:tabs>
        <w:tab w:val="right" w:pos="4176"/>
      </w:tabs>
      <w:ind w:left="568" w:hanging="284"/>
    </w:pPr>
    <w:rPr>
      <w:rFonts w:ascii="Garamond" w:hAnsi="Garamond"/>
    </w:rPr>
  </w:style>
  <w:style w:type="paragraph" w:customStyle="1" w:styleId="Byline">
    <w:name w:val="Byline"/>
    <w:rsid w:val="00673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DE1"/>
    <w:pPr>
      <w:tabs>
        <w:tab w:val="clear" w:pos="3600"/>
        <w:tab w:val="clear" w:pos="3958"/>
      </w:tabs>
      <w:jc w:val="right"/>
    </w:pPr>
  </w:style>
  <w:style w:type="character" w:styleId="Emphasis">
    <w:name w:val="Emphasis"/>
    <w:basedOn w:val="DefaultParagraphFont"/>
    <w:qFormat/>
    <w:rsid w:val="00673DE1"/>
    <w:rPr>
      <w:i/>
    </w:rPr>
  </w:style>
  <w:style w:type="paragraph" w:styleId="Caption">
    <w:name w:val="caption"/>
    <w:basedOn w:val="BodyText"/>
    <w:next w:val="Normal"/>
    <w:qFormat/>
    <w:rsid w:val="00673DE1"/>
    <w:pPr>
      <w:framePr w:w="2268" w:hSpace="181" w:vSpace="181" w:wrap="around" w:vAnchor="text" w:hAnchor="page" w:x="1135" w:y="285" w:anchorLock="1"/>
    </w:pPr>
    <w:rPr>
      <w:i/>
    </w:rPr>
  </w:style>
  <w:style w:type="paragraph" w:customStyle="1" w:styleId="MiniTOCTitle">
    <w:name w:val="MiniTOCTitle"/>
    <w:basedOn w:val="Heading4"/>
    <w:rsid w:val="00673DE1"/>
    <w:pPr>
      <w:spacing w:before="240"/>
      <w:outlineLvl w:val="9"/>
    </w:pPr>
    <w:rPr>
      <w:noProof/>
      <w:sz w:val="24"/>
    </w:rPr>
  </w:style>
  <w:style w:type="paragraph" w:customStyle="1" w:styleId="MiniTOCItem">
    <w:name w:val="MiniTOCItem"/>
    <w:basedOn w:val="ListBullet"/>
    <w:rsid w:val="00673DE1"/>
    <w:pPr>
      <w:numPr>
        <w:numId w:val="0"/>
      </w:numPr>
      <w:tabs>
        <w:tab w:val="right" w:leader="dot" w:pos="6521"/>
      </w:tabs>
      <w:spacing w:before="0" w:after="0"/>
    </w:pPr>
  </w:style>
  <w:style w:type="paragraph" w:customStyle="1" w:styleId="TOFTitle">
    <w:name w:val="TOFTitle"/>
    <w:basedOn w:val="TOCTitle"/>
    <w:rsid w:val="00673DE1"/>
  </w:style>
  <w:style w:type="paragraph" w:styleId="TableofFigures">
    <w:name w:val="table of figures"/>
    <w:basedOn w:val="Normal"/>
    <w:next w:val="Normal"/>
    <w:semiHidden/>
    <w:rsid w:val="00673DE1"/>
    <w:pPr>
      <w:tabs>
        <w:tab w:val="right" w:leader="dot" w:pos="9072"/>
      </w:tabs>
      <w:ind w:left="970" w:hanging="403"/>
    </w:pPr>
    <w:rPr>
      <w:rFonts w:ascii="Times New Roman" w:hAnsi="Times New Roman"/>
      <w:b/>
    </w:rPr>
  </w:style>
  <w:style w:type="paragraph" w:styleId="ListNumber">
    <w:name w:val="List Number"/>
    <w:basedOn w:val="List"/>
    <w:rsid w:val="00673DE1"/>
    <w:pPr>
      <w:numPr>
        <w:numId w:val="12"/>
      </w:numPr>
    </w:pPr>
  </w:style>
  <w:style w:type="character" w:customStyle="1" w:styleId="WingdingSymbols">
    <w:name w:val="Wingding Symbols"/>
    <w:rsid w:val="00673DE1"/>
    <w:rPr>
      <w:rFonts w:ascii="Wingdings" w:hAnsi="Wingdings"/>
    </w:rPr>
  </w:style>
  <w:style w:type="paragraph" w:customStyle="1" w:styleId="TableHeading">
    <w:name w:val="Table Heading"/>
    <w:basedOn w:val="HeadingBase"/>
    <w:rsid w:val="00673DE1"/>
    <w:pPr>
      <w:keepLines/>
      <w:pBdr>
        <w:bottom w:val="single" w:sz="6" w:space="1" w:color="918585"/>
      </w:pBdr>
      <w:spacing w:before="240"/>
    </w:pPr>
  </w:style>
  <w:style w:type="character" w:customStyle="1" w:styleId="HotSpot">
    <w:name w:val="HotSpot"/>
    <w:rsid w:val="00673DE1"/>
    <w:rPr>
      <w:color w:val="0033CC"/>
      <w:u w:val="none"/>
    </w:rPr>
  </w:style>
  <w:style w:type="paragraph" w:customStyle="1" w:styleId="BodyTextRight">
    <w:name w:val="Body Text Right"/>
    <w:basedOn w:val="BodyText"/>
    <w:rsid w:val="00673DE1"/>
    <w:pPr>
      <w:spacing w:before="0" w:after="0"/>
      <w:jc w:val="right"/>
    </w:pPr>
  </w:style>
  <w:style w:type="paragraph" w:styleId="Index3">
    <w:name w:val="index 3"/>
    <w:basedOn w:val="ListNumber2"/>
    <w:next w:val="Normal"/>
    <w:semiHidden/>
    <w:rsid w:val="00673DE1"/>
    <w:pPr>
      <w:numPr>
        <w:numId w:val="0"/>
      </w:numPr>
      <w:tabs>
        <w:tab w:val="right" w:leader="dot" w:pos="4176"/>
      </w:tabs>
    </w:pPr>
  </w:style>
  <w:style w:type="paragraph" w:styleId="ListNumber2">
    <w:name w:val="List Number 2"/>
    <w:basedOn w:val="List2"/>
    <w:rsid w:val="00673DE1"/>
    <w:pPr>
      <w:numPr>
        <w:numId w:val="11"/>
      </w:numPr>
      <w:tabs>
        <w:tab w:val="clear" w:pos="1060"/>
      </w:tabs>
    </w:pPr>
  </w:style>
  <w:style w:type="paragraph" w:customStyle="1" w:styleId="MarginNote">
    <w:name w:val="Margin Note"/>
    <w:basedOn w:val="BodyText"/>
    <w:rsid w:val="00673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DE1"/>
    <w:rPr>
      <w:sz w:val="32"/>
    </w:rPr>
  </w:style>
  <w:style w:type="paragraph" w:customStyle="1" w:styleId="HeadingProcedure">
    <w:name w:val="Heading Procedure"/>
    <w:basedOn w:val="HeadingBase"/>
    <w:next w:val="Normal"/>
    <w:rsid w:val="00673DE1"/>
    <w:pPr>
      <w:tabs>
        <w:tab w:val="left" w:pos="0"/>
      </w:tabs>
      <w:spacing w:before="120" w:after="60"/>
    </w:pPr>
    <w:rPr>
      <w:i/>
      <w:color w:val="918585"/>
      <w:sz w:val="22"/>
    </w:rPr>
  </w:style>
  <w:style w:type="paragraph" w:customStyle="1" w:styleId="TableBodyText">
    <w:name w:val="Table Body Text"/>
    <w:basedOn w:val="BodyText"/>
    <w:rsid w:val="00673DE1"/>
    <w:pPr>
      <w:spacing w:before="60" w:after="60"/>
    </w:pPr>
  </w:style>
  <w:style w:type="paragraph" w:styleId="ListContinue">
    <w:name w:val="List Continue"/>
    <w:basedOn w:val="List"/>
    <w:rsid w:val="00673DE1"/>
    <w:pPr>
      <w:ind w:firstLine="0"/>
    </w:pPr>
  </w:style>
  <w:style w:type="paragraph" w:customStyle="1" w:styleId="ListNote">
    <w:name w:val="List Note"/>
    <w:basedOn w:val="List"/>
    <w:rsid w:val="00673DE1"/>
    <w:pPr>
      <w:pBdr>
        <w:top w:val="single" w:sz="6" w:space="2" w:color="918585"/>
        <w:bottom w:val="single" w:sz="6" w:space="2" w:color="918585"/>
      </w:pBdr>
      <w:tabs>
        <w:tab w:val="left" w:pos="1021"/>
      </w:tabs>
      <w:ind w:firstLine="0"/>
    </w:pPr>
  </w:style>
  <w:style w:type="paragraph" w:customStyle="1" w:styleId="Warning">
    <w:name w:val="Warning"/>
    <w:basedOn w:val="BodyText"/>
    <w:rsid w:val="00673DE1"/>
    <w:pPr>
      <w:shd w:val="clear" w:color="auto" w:fill="D9D9D9"/>
      <w:tabs>
        <w:tab w:val="left" w:pos="992"/>
      </w:tabs>
      <w:ind w:left="119" w:right="119"/>
    </w:pPr>
    <w:rPr>
      <w:sz w:val="20"/>
    </w:rPr>
  </w:style>
  <w:style w:type="paragraph" w:customStyle="1" w:styleId="MarginIcons">
    <w:name w:val="Margin Icons"/>
    <w:basedOn w:val="BodyText"/>
    <w:rsid w:val="00673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DE1"/>
    <w:rPr>
      <w:rFonts w:ascii="Courier New" w:hAnsi="Courier New"/>
    </w:rPr>
  </w:style>
  <w:style w:type="paragraph" w:customStyle="1" w:styleId="NoteBullet">
    <w:name w:val="Note Bullet"/>
    <w:basedOn w:val="Note"/>
    <w:rsid w:val="00673DE1"/>
    <w:pPr>
      <w:tabs>
        <w:tab w:val="clear" w:pos="680"/>
      </w:tabs>
      <w:spacing w:before="60" w:after="60"/>
    </w:pPr>
  </w:style>
  <w:style w:type="paragraph" w:customStyle="1" w:styleId="SubHeading2">
    <w:name w:val="SubHeading2"/>
    <w:basedOn w:val="HeadingBase"/>
    <w:rsid w:val="00673DE1"/>
    <w:pPr>
      <w:spacing w:before="240" w:after="60"/>
    </w:pPr>
    <w:rPr>
      <w:sz w:val="20"/>
    </w:rPr>
  </w:style>
  <w:style w:type="paragraph" w:customStyle="1" w:styleId="SubHeading1">
    <w:name w:val="SubHeading1"/>
    <w:basedOn w:val="HeadingBase"/>
    <w:rsid w:val="00673DE1"/>
    <w:pPr>
      <w:spacing w:before="240" w:after="60"/>
    </w:pPr>
    <w:rPr>
      <w:color w:val="918585"/>
      <w:sz w:val="22"/>
    </w:rPr>
  </w:style>
  <w:style w:type="paragraph" w:customStyle="1" w:styleId="SideHeading">
    <w:name w:val="Side Heading"/>
    <w:basedOn w:val="HeadingBase"/>
    <w:rsid w:val="00673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DE1"/>
    <w:pPr>
      <w:numPr>
        <w:numId w:val="13"/>
      </w:numPr>
    </w:pPr>
  </w:style>
  <w:style w:type="paragraph" w:styleId="PlainText">
    <w:name w:val="Plain Text"/>
    <w:basedOn w:val="Normal"/>
    <w:link w:val="PlainTextChar"/>
    <w:rsid w:val="00673DE1"/>
    <w:rPr>
      <w:sz w:val="20"/>
    </w:rPr>
  </w:style>
  <w:style w:type="character" w:customStyle="1" w:styleId="PlainTextChar">
    <w:name w:val="Plain Text Char"/>
    <w:basedOn w:val="DefaultParagraphFont"/>
    <w:link w:val="PlainText"/>
    <w:rsid w:val="00673DE1"/>
    <w:rPr>
      <w:rFonts w:ascii="Courier New" w:eastAsia="Times New Roman" w:hAnsi="Courier New" w:cs="Times New Roman"/>
      <w:sz w:val="20"/>
      <w:szCs w:val="20"/>
      <w:lang w:eastAsia="en-US"/>
    </w:rPr>
  </w:style>
  <w:style w:type="character" w:customStyle="1" w:styleId="MenuOption">
    <w:name w:val="Menu Option"/>
    <w:basedOn w:val="DefaultParagraphFont"/>
    <w:rsid w:val="00673DE1"/>
    <w:rPr>
      <w:b/>
      <w:smallCaps/>
    </w:rPr>
  </w:style>
  <w:style w:type="paragraph" w:customStyle="1" w:styleId="TableListNumber">
    <w:name w:val="Table List Number"/>
    <w:basedOn w:val="ListNumber"/>
    <w:rsid w:val="00673DE1"/>
    <w:pPr>
      <w:numPr>
        <w:numId w:val="0"/>
      </w:numPr>
    </w:pPr>
  </w:style>
  <w:style w:type="paragraph" w:styleId="TOC4">
    <w:name w:val="toc 4"/>
    <w:basedOn w:val="TOCBase"/>
    <w:next w:val="Normal"/>
    <w:semiHidden/>
    <w:rsid w:val="00673DE1"/>
    <w:pPr>
      <w:tabs>
        <w:tab w:val="right" w:leader="dot" w:pos="9071"/>
      </w:tabs>
      <w:ind w:left="1701"/>
    </w:pPr>
  </w:style>
  <w:style w:type="paragraph" w:customStyle="1" w:styleId="ListAlpha">
    <w:name w:val="List Alpha"/>
    <w:basedOn w:val="List"/>
    <w:rsid w:val="00673DE1"/>
    <w:pPr>
      <w:numPr>
        <w:numId w:val="10"/>
      </w:numPr>
    </w:pPr>
  </w:style>
  <w:style w:type="paragraph" w:customStyle="1" w:styleId="ListAlpha2">
    <w:name w:val="List Alpha 2"/>
    <w:basedOn w:val="List2"/>
    <w:rsid w:val="00673DE1"/>
    <w:pPr>
      <w:numPr>
        <w:numId w:val="9"/>
      </w:numPr>
    </w:pPr>
  </w:style>
  <w:style w:type="paragraph" w:styleId="List2">
    <w:name w:val="List 2"/>
    <w:basedOn w:val="BodyText"/>
    <w:rsid w:val="00673DE1"/>
    <w:pPr>
      <w:tabs>
        <w:tab w:val="left" w:pos="680"/>
      </w:tabs>
      <w:spacing w:before="60" w:after="60"/>
      <w:ind w:left="680" w:hanging="340"/>
    </w:pPr>
  </w:style>
  <w:style w:type="paragraph" w:styleId="List3">
    <w:name w:val="List 3"/>
    <w:basedOn w:val="BodyText"/>
    <w:rsid w:val="00673DE1"/>
    <w:pPr>
      <w:tabs>
        <w:tab w:val="left" w:pos="1021"/>
      </w:tabs>
      <w:spacing w:before="60" w:after="60"/>
      <w:ind w:left="1020" w:hanging="340"/>
    </w:pPr>
  </w:style>
  <w:style w:type="paragraph" w:styleId="List4">
    <w:name w:val="List 4"/>
    <w:basedOn w:val="BodyText"/>
    <w:rsid w:val="00673DE1"/>
    <w:pPr>
      <w:tabs>
        <w:tab w:val="left" w:pos="1361"/>
      </w:tabs>
      <w:spacing w:before="60" w:after="60"/>
      <w:ind w:left="1361" w:hanging="340"/>
    </w:pPr>
  </w:style>
  <w:style w:type="paragraph" w:styleId="List5">
    <w:name w:val="List 5"/>
    <w:basedOn w:val="BodyText"/>
    <w:rsid w:val="00673DE1"/>
    <w:pPr>
      <w:tabs>
        <w:tab w:val="left" w:pos="1701"/>
      </w:tabs>
      <w:spacing w:before="60" w:after="60"/>
      <w:ind w:left="1701" w:hanging="340"/>
    </w:pPr>
  </w:style>
  <w:style w:type="paragraph" w:styleId="ListBullet4">
    <w:name w:val="List Bullet 4"/>
    <w:basedOn w:val="List4"/>
    <w:rsid w:val="00673DE1"/>
    <w:pPr>
      <w:numPr>
        <w:numId w:val="4"/>
      </w:numPr>
    </w:pPr>
  </w:style>
  <w:style w:type="paragraph" w:styleId="ListBullet5">
    <w:name w:val="List Bullet 5"/>
    <w:basedOn w:val="List5"/>
    <w:rsid w:val="00673DE1"/>
    <w:pPr>
      <w:numPr>
        <w:numId w:val="5"/>
      </w:numPr>
    </w:pPr>
  </w:style>
  <w:style w:type="paragraph" w:styleId="ListContinue2">
    <w:name w:val="List Continue 2"/>
    <w:basedOn w:val="List2"/>
    <w:rsid w:val="00673DE1"/>
    <w:pPr>
      <w:ind w:firstLine="0"/>
    </w:pPr>
  </w:style>
  <w:style w:type="paragraph" w:styleId="ListContinue3">
    <w:name w:val="List Continue 3"/>
    <w:basedOn w:val="List3"/>
    <w:rsid w:val="00673DE1"/>
    <w:pPr>
      <w:ind w:left="1021" w:firstLine="0"/>
    </w:pPr>
  </w:style>
  <w:style w:type="paragraph" w:styleId="ListContinue4">
    <w:name w:val="List Continue 4"/>
    <w:basedOn w:val="List4"/>
    <w:rsid w:val="00673DE1"/>
    <w:pPr>
      <w:ind w:firstLine="0"/>
    </w:pPr>
  </w:style>
  <w:style w:type="paragraph" w:styleId="ListContinue5">
    <w:name w:val="List Continue 5"/>
    <w:basedOn w:val="List5"/>
    <w:rsid w:val="00673DE1"/>
    <w:pPr>
      <w:ind w:firstLine="0"/>
    </w:pPr>
  </w:style>
  <w:style w:type="paragraph" w:styleId="ListNumber3">
    <w:name w:val="List Number 3"/>
    <w:basedOn w:val="List3"/>
    <w:rsid w:val="00673DE1"/>
    <w:pPr>
      <w:numPr>
        <w:numId w:val="6"/>
      </w:numPr>
    </w:pPr>
  </w:style>
  <w:style w:type="paragraph" w:styleId="ListNumber4">
    <w:name w:val="List Number 4"/>
    <w:basedOn w:val="List4"/>
    <w:rsid w:val="00673DE1"/>
    <w:pPr>
      <w:numPr>
        <w:numId w:val="7"/>
      </w:numPr>
    </w:pPr>
  </w:style>
  <w:style w:type="paragraph" w:styleId="ListNumber5">
    <w:name w:val="List Number 5"/>
    <w:basedOn w:val="List5"/>
    <w:rsid w:val="00673DE1"/>
    <w:pPr>
      <w:numPr>
        <w:numId w:val="8"/>
      </w:numPr>
    </w:pPr>
  </w:style>
  <w:style w:type="paragraph" w:styleId="BlockText">
    <w:name w:val="Block Text"/>
    <w:basedOn w:val="Normal"/>
    <w:rsid w:val="00673DE1"/>
    <w:pPr>
      <w:spacing w:after="120"/>
      <w:ind w:left="1440" w:right="1440"/>
    </w:pPr>
  </w:style>
  <w:style w:type="character" w:customStyle="1" w:styleId="Subscript">
    <w:name w:val="Subscript"/>
    <w:basedOn w:val="DefaultParagraphFont"/>
    <w:rsid w:val="00673DE1"/>
    <w:rPr>
      <w:sz w:val="16"/>
      <w:vertAlign w:val="subscript"/>
    </w:rPr>
  </w:style>
  <w:style w:type="character" w:customStyle="1" w:styleId="Superscript">
    <w:name w:val="Superscript"/>
    <w:basedOn w:val="DefaultParagraphFont"/>
    <w:rsid w:val="00673DE1"/>
    <w:rPr>
      <w:sz w:val="16"/>
      <w:vertAlign w:val="superscript"/>
    </w:rPr>
  </w:style>
  <w:style w:type="character" w:customStyle="1" w:styleId="Symbols">
    <w:name w:val="Symbols"/>
    <w:basedOn w:val="DefaultParagraphFont"/>
    <w:rsid w:val="00673DE1"/>
    <w:rPr>
      <w:rFonts w:ascii="Symbol" w:hAnsi="Symbol"/>
    </w:rPr>
  </w:style>
  <w:style w:type="character" w:customStyle="1" w:styleId="MenuOptions">
    <w:name w:val="Menu Options"/>
    <w:basedOn w:val="DefaultParagraphFont"/>
    <w:rsid w:val="00673DE1"/>
    <w:rPr>
      <w:rFonts w:ascii="Arial Narrow" w:hAnsi="Arial Narrow"/>
      <w:smallCaps/>
    </w:rPr>
  </w:style>
  <w:style w:type="character" w:customStyle="1" w:styleId="Buttons">
    <w:name w:val="Buttons"/>
    <w:basedOn w:val="DefaultParagraphFont"/>
    <w:rsid w:val="00673DE1"/>
    <w:rPr>
      <w:b/>
    </w:rPr>
  </w:style>
  <w:style w:type="character" w:customStyle="1" w:styleId="Underlined">
    <w:name w:val="Underlined"/>
    <w:basedOn w:val="DefaultParagraphFont"/>
    <w:rsid w:val="00673DE1"/>
    <w:rPr>
      <w:u w:val="single"/>
    </w:rPr>
  </w:style>
  <w:style w:type="paragraph" w:customStyle="1" w:styleId="TableBodyTextRight">
    <w:name w:val="Table Body Text Right"/>
    <w:basedOn w:val="TableBodyText"/>
    <w:rsid w:val="00673DE1"/>
    <w:pPr>
      <w:widowControl w:val="0"/>
      <w:autoSpaceDE w:val="0"/>
      <w:autoSpaceDN w:val="0"/>
      <w:adjustRightInd w:val="0"/>
      <w:jc w:val="right"/>
    </w:pPr>
    <w:rPr>
      <w:rFonts w:cs="Arial"/>
      <w:szCs w:val="18"/>
    </w:rPr>
  </w:style>
  <w:style w:type="paragraph" w:customStyle="1" w:styleId="CopyrightText">
    <w:name w:val="Copyright Text"/>
    <w:basedOn w:val="BodyText"/>
    <w:rsid w:val="00673DE1"/>
    <w:rPr>
      <w:sz w:val="18"/>
    </w:rPr>
  </w:style>
  <w:style w:type="paragraph" w:customStyle="1" w:styleId="BodySmallRight">
    <w:name w:val="Body Small Right"/>
    <w:basedOn w:val="BodyTextRight"/>
    <w:rsid w:val="00673DE1"/>
    <w:rPr>
      <w:sz w:val="18"/>
      <w:szCs w:val="18"/>
    </w:rPr>
  </w:style>
  <w:style w:type="paragraph" w:customStyle="1" w:styleId="MarginEdition">
    <w:name w:val="Margin Edition"/>
    <w:basedOn w:val="MarginNote"/>
    <w:rsid w:val="00673DE1"/>
    <w:pPr>
      <w:spacing w:before="0" w:after="0"/>
    </w:pPr>
    <w:rPr>
      <w:rFonts w:ascii="Times New Roman" w:hAnsi="Times New Roman"/>
      <w:color w:val="999999"/>
    </w:rPr>
  </w:style>
  <w:style w:type="paragraph" w:customStyle="1" w:styleId="Spacer">
    <w:name w:val="Spacer"/>
    <w:basedOn w:val="Normal"/>
    <w:rsid w:val="00673DE1"/>
    <w:rPr>
      <w:sz w:val="2"/>
      <w:szCs w:val="2"/>
    </w:rPr>
  </w:style>
  <w:style w:type="character" w:customStyle="1" w:styleId="Small">
    <w:name w:val="Small"/>
    <w:basedOn w:val="DefaultParagraphFont"/>
    <w:rsid w:val="00673DE1"/>
    <w:rPr>
      <w:sz w:val="16"/>
    </w:rPr>
  </w:style>
  <w:style w:type="paragraph" w:customStyle="1" w:styleId="WideTable">
    <w:name w:val="Wide Table"/>
    <w:basedOn w:val="Normal"/>
    <w:rsid w:val="00673DE1"/>
    <w:pPr>
      <w:ind w:left="-1418"/>
    </w:pPr>
    <w:rPr>
      <w:sz w:val="2"/>
      <w:szCs w:val="2"/>
    </w:rPr>
  </w:style>
  <w:style w:type="character" w:styleId="PageNumber">
    <w:name w:val="page number"/>
    <w:basedOn w:val="DefaultParagraphFont"/>
    <w:rsid w:val="00673DE1"/>
  </w:style>
  <w:style w:type="paragraph" w:styleId="Quote">
    <w:name w:val="Quote"/>
    <w:basedOn w:val="Heading1"/>
    <w:link w:val="QuoteChar"/>
    <w:qFormat/>
    <w:rsid w:val="00673DE1"/>
    <w:rPr>
      <w:b w:val="0"/>
      <w:sz w:val="72"/>
      <w:szCs w:val="72"/>
      <w:lang w:val="en-NZ"/>
    </w:rPr>
  </w:style>
  <w:style w:type="character" w:customStyle="1" w:styleId="QuoteChar">
    <w:name w:val="Quote Char"/>
    <w:basedOn w:val="DefaultParagraphFont"/>
    <w:link w:val="Quote"/>
    <w:rsid w:val="00673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DE1"/>
    <w:pPr>
      <w:pageBreakBefore/>
    </w:pPr>
  </w:style>
  <w:style w:type="paragraph" w:customStyle="1" w:styleId="Border">
    <w:name w:val="Border"/>
    <w:basedOn w:val="Normal"/>
    <w:qFormat/>
    <w:rsid w:val="00673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DE1"/>
    <w:rPr>
      <w:b/>
      <w:bCs/>
      <w:i/>
      <w:iCs/>
      <w:color w:val="auto"/>
    </w:rPr>
  </w:style>
  <w:style w:type="paragraph" w:styleId="IntenseQuote">
    <w:name w:val="Intense Quote"/>
    <w:basedOn w:val="Normal"/>
    <w:next w:val="Normal"/>
    <w:link w:val="IntenseQuoteChar"/>
    <w:uiPriority w:val="30"/>
    <w:qFormat/>
    <w:rsid w:val="00673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DE1"/>
    <w:rPr>
      <w:smallCaps/>
      <w:color w:val="auto"/>
      <w:u w:val="single"/>
    </w:rPr>
  </w:style>
  <w:style w:type="character" w:styleId="IntenseReference">
    <w:name w:val="Intense Reference"/>
    <w:basedOn w:val="DefaultParagraphFont"/>
    <w:uiPriority w:val="32"/>
    <w:qFormat/>
    <w:rsid w:val="00673DE1"/>
    <w:rPr>
      <w:b/>
      <w:bCs/>
      <w:smallCaps/>
      <w:color w:val="auto"/>
      <w:spacing w:val="5"/>
      <w:u w:val="single"/>
    </w:rPr>
  </w:style>
  <w:style w:type="paragraph" w:customStyle="1" w:styleId="2ColumnHeading">
    <w:name w:val="2Column Heading"/>
    <w:basedOn w:val="BodyText"/>
    <w:qFormat/>
    <w:rsid w:val="00673DE1"/>
    <w:pPr>
      <w:spacing w:after="60"/>
      <w:ind w:left="-2268"/>
    </w:pPr>
    <w:rPr>
      <w:b/>
    </w:rPr>
  </w:style>
  <w:style w:type="paragraph" w:customStyle="1" w:styleId="Heading1TOC">
    <w:name w:val="Heading1 TOC"/>
    <w:basedOn w:val="Normal"/>
    <w:qFormat/>
    <w:rsid w:val="00673DE1"/>
    <w:pPr>
      <w:spacing w:before="240" w:after="120"/>
    </w:pPr>
    <w:rPr>
      <w:rFonts w:ascii="Times New Roman" w:hAnsi="Times New Roman"/>
      <w:b/>
      <w:sz w:val="32"/>
    </w:rPr>
  </w:style>
  <w:style w:type="paragraph" w:customStyle="1" w:styleId="Heading2TOC">
    <w:name w:val="Heading2 TOC"/>
    <w:basedOn w:val="Normal"/>
    <w:qFormat/>
    <w:rsid w:val="00673DE1"/>
    <w:pPr>
      <w:spacing w:before="240" w:after="60"/>
    </w:pPr>
    <w:rPr>
      <w:rFonts w:ascii="Times New Roman" w:hAnsi="Times New Roman"/>
      <w:b/>
      <w:sz w:val="28"/>
    </w:rPr>
  </w:style>
  <w:style w:type="character" w:customStyle="1" w:styleId="Underline">
    <w:name w:val="Underline"/>
    <w:basedOn w:val="DefaultParagraphFont"/>
    <w:qFormat/>
    <w:rsid w:val="00673DE1"/>
    <w:rPr>
      <w:u w:val="single"/>
    </w:rPr>
  </w:style>
  <w:style w:type="character" w:customStyle="1" w:styleId="BoldandItalics">
    <w:name w:val="Bold and Italics"/>
    <w:qFormat/>
    <w:rsid w:val="00673DE1"/>
    <w:rPr>
      <w:b/>
      <w:i/>
      <w:u w:val="none"/>
    </w:rPr>
  </w:style>
  <w:style w:type="paragraph" w:styleId="BalloonText">
    <w:name w:val="Balloon Text"/>
    <w:basedOn w:val="Normal"/>
    <w:link w:val="BalloonTextChar"/>
    <w:rsid w:val="00673DE1"/>
    <w:rPr>
      <w:rFonts w:ascii="Tahoma" w:hAnsi="Tahoma" w:cs="Tahoma"/>
      <w:sz w:val="16"/>
      <w:szCs w:val="16"/>
    </w:rPr>
  </w:style>
  <w:style w:type="character" w:customStyle="1" w:styleId="BalloonTextChar">
    <w:name w:val="Balloon Text Char"/>
    <w:basedOn w:val="DefaultParagraphFont"/>
    <w:link w:val="BalloonText"/>
    <w:rsid w:val="00673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D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DE1"/>
    <w:rPr>
      <w:b/>
      <w:color w:val="660033"/>
      <w:spacing w:val="0"/>
    </w:rPr>
  </w:style>
  <w:style w:type="paragraph" w:customStyle="1" w:styleId="Nameditemlist">
    <w:name w:val="Named item list"/>
    <w:basedOn w:val="BodyText"/>
    <w:qFormat/>
    <w:rsid w:val="00673D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3048</Words>
  <Characters>19519</Characters>
  <Application>Microsoft Office Word</Application>
  <DocSecurity>0</DocSecurity>
  <Lines>775</Lines>
  <Paragraphs>353</Paragraphs>
  <ScaleCrop>false</ScaleCrop>
  <Company>Author-it Software Corporation Ltd.</Company>
  <LinksUpToDate>false</LinksUpToDate>
  <CharactersWithSpaces>22342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UETTDRDP13A Maintain energised HV distribution overhead electrical apparatus (stick)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2012-10-11T22:03:00Z</dcterms:created>
  <dcterms:modified xsi:type="dcterms:W3CDTF">2012-10-11T22:03:00Z</dcterms:modified>
</cp:coreProperties>
</file>