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F26" w:rsidP="00EB2F26">
      <w:pPr>
        <w:pStyle w:val="Title"/>
      </w:pPr>
      <w:r>
        <w:fldChar w:fldCharType="begin"/>
      </w:r>
      <w:r>
        <w:instrText xml:space="preserve"> TITLE   \* MERGEFORMAT </w:instrText>
      </w:r>
      <w:r>
        <w:fldChar w:fldCharType="separate"/>
      </w:r>
      <w:r>
        <w:t>UETTDRDP12A Maintain overhead energised low voltage conductors and cables</w:t>
      </w:r>
      <w:r>
        <w:fldChar w:fldCharType="end"/>
      </w:r>
    </w:p>
    <w:p w:rsidR="00EB2F26" w:rsidP="00EB2F26">
      <w:pPr>
        <w:pStyle w:val="Version"/>
        <w:sectPr w:rsidSect="001B2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208" w:rsidP="001B2208">
      <w:pPr>
        <w:pStyle w:val="SuperHeading"/>
      </w:pPr>
      <w:r w:rsidRPr="001B2208">
        <w:t>UETTDRDP12A Maintain overhead energised low voltage conductors and cables</w:t>
      </w:r>
    </w:p>
    <w:p w:rsidR="00000000" w:rsidRPr="001B2208" w:rsidP="001B2208">
      <w:pPr>
        <w:pStyle w:val="Heading1"/>
      </w:pPr>
      <w:bookmarkStart w:id="1" w:name="O_465515"/>
      <w:bookmarkEnd w:id="1"/>
      <w:r w:rsidRPr="001B2208">
        <w:t>Modification History</w:t>
      </w:r>
    </w:p>
    <w:p w:rsidR="00000000" w:rsidRPr="001B2208" w:rsidP="001B2208">
      <w:pPr>
        <w:pStyle w:val="BodyText"/>
      </w:pPr>
      <w:r w:rsidRPr="001B2208">
        <w:t>Not applicable.</w:t>
      </w:r>
    </w:p>
    <w:p w:rsidR="00000000" w:rsidRPr="001B2208" w:rsidP="001B2208">
      <w:pPr>
        <w:pStyle w:val="AllowPageBreak"/>
      </w:pPr>
    </w:p>
    <w:p w:rsidR="00000000" w:rsidRPr="001B2208" w:rsidP="001B2208">
      <w:pPr>
        <w:pStyle w:val="Heading1"/>
      </w:pPr>
      <w:bookmarkStart w:id="2" w:name="O_465513"/>
      <w:bookmarkEnd w:id="2"/>
      <w:r w:rsidRPr="001B2208">
        <w:t>Unit Descriptor</w:t>
      </w:r>
    </w:p>
    <w:tbl>
      <w:tblPr>
        <w:tblW w:w="0" w:type="auto"/>
        <w:tblLayout w:type="fixed"/>
        <w:tblCellMar>
          <w:left w:w="62" w:type="dxa"/>
          <w:right w:w="62" w:type="dxa"/>
        </w:tblCellMar>
        <w:tblLook w:val="0000"/>
      </w:tblPr>
      <w:tblGrid>
        <w:gridCol w:w="2700"/>
        <w:gridCol w:w="5760"/>
      </w:tblGrid>
      <w:tr w:rsidTr="00EB2F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1)</w:t>
            </w:r>
            <w:r w:rsidRPr="001B2208">
              <w:t xml:space="preserve"> </w:t>
            </w:r>
            <w:r w:rsidRPr="001B2208">
              <w:rPr>
                <w:rStyle w:val="SpecialBold"/>
              </w:rPr>
              <w:t>Scope:</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220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1.1) Descriptor</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This Competency Standard Unit covers the maintenance of overhead energised low voltage conductors and cables and includes the verification of the site conditions and the potential hazards. It also encompasses the selection of appropriate and authorised wor</w:t>
            </w:r>
            <w:r w:rsidRPr="001B2208">
              <w:t>k method using specialised equipment, the diagnosis of faults, the undertaking of electrical tests and the updating of system data/maintenance records.</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3" w:name="O_465502"/>
      <w:bookmarkEnd w:id="3"/>
      <w:r w:rsidRPr="001B2208">
        <w:t>Application of the Unit</w:t>
      </w:r>
    </w:p>
    <w:tbl>
      <w:tblPr>
        <w:tblW w:w="0" w:type="auto"/>
        <w:tblLayout w:type="fixed"/>
        <w:tblCellMar>
          <w:left w:w="62" w:type="dxa"/>
          <w:right w:w="62" w:type="dxa"/>
        </w:tblCellMar>
        <w:tblLook w:val="0000"/>
      </w:tblPr>
      <w:tblGrid>
        <w:gridCol w:w="2672"/>
        <w:gridCol w:w="5699"/>
      </w:tblGrid>
      <w:tr w:rsidTr="00EB2F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2)</w:t>
            </w:r>
          </w:p>
        </w:tc>
      </w:tr>
      <w:tr w:rsidTr="00EB2F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This Competency Standard Unit is intended to augment formally acquired competencies. It is suitable for employment-based programs under an approved contract of training.</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4" w:name="O_465509"/>
      <w:bookmarkEnd w:id="4"/>
      <w:r w:rsidRPr="001B2208">
        <w:t>Licensing/Regulatory Information</w:t>
      </w:r>
    </w:p>
    <w:tbl>
      <w:tblPr>
        <w:tblW w:w="0" w:type="auto"/>
        <w:tblLayout w:type="fixed"/>
        <w:tblCellMar>
          <w:left w:w="62" w:type="dxa"/>
          <w:right w:w="62" w:type="dxa"/>
        </w:tblCellMar>
        <w:tblLook w:val="0000"/>
      </w:tblPr>
      <w:tblGrid>
        <w:gridCol w:w="2700"/>
        <w:gridCol w:w="5760"/>
      </w:tblGrid>
      <w:tr w:rsidTr="00EB2F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 xml:space="preserve">3)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The skil</w:t>
            </w:r>
            <w:r w:rsidRPr="001B2208">
              <w:t>ls and knowledge described in this unit may require a licence/registration to practice in the work place subject to regulations for undertaking of electrical work. Practice in workplace and during training is also subject to regulations directly related to</w:t>
            </w:r>
            <w:r w:rsidRPr="001B2208">
              <w:t xml:space="preserve"> Occupational Health and Safety, electricity/telecommunications/gas/water industry </w:t>
            </w:r>
            <w:r w:rsidRPr="001B2208">
              <w:t>safety and compliance, industrial relations, environmental protection, anti discrimination and training. Commonwealth, State/Territory or Local Government legislation and re</w:t>
            </w:r>
            <w:r w:rsidRPr="001B2208">
              <w:t>gulations may exist that limits the age of operating certain equipment.</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5" w:name="O_465510"/>
      <w:bookmarkEnd w:id="5"/>
      <w:r w:rsidRPr="001B2208">
        <w:t>Pre-Requisites</w:t>
      </w:r>
    </w:p>
    <w:tbl>
      <w:tblPr>
        <w:tblW w:w="0" w:type="auto"/>
        <w:tblLayout w:type="fixed"/>
        <w:tblCellMar>
          <w:left w:w="62" w:type="dxa"/>
          <w:right w:w="62" w:type="dxa"/>
        </w:tblCellMar>
        <w:tblLook w:val="0000"/>
      </w:tblPr>
      <w:tblGrid>
        <w:gridCol w:w="2700"/>
        <w:gridCol w:w="2070"/>
        <w:gridCol w:w="3690"/>
      </w:tblGrid>
      <w:tr w:rsidTr="00EB2F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 xml:space="preserve">4)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4.1)</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Granting of competency in this unit shall be made only after competency in the following unit(s) has/have been confirmed.</w:t>
            </w:r>
          </w:p>
          <w:p w:rsidR="00000000" w:rsidRPr="001B2208" w:rsidP="001B2208">
            <w:pPr>
              <w:pStyle w:val="BodyText"/>
            </w:pPr>
            <w:r w:rsidRPr="001B2208">
              <w:t>Where pre-requisite pathways have been identified. All competencies in the Common Unit Group must be have been completed.</w:t>
            </w:r>
          </w:p>
          <w:p w:rsidR="00000000" w:rsidP="001B2208">
            <w:pPr>
              <w:pStyle w:val="BodyText"/>
              <w:rPr>
                <w:lang w:val="en-NZ"/>
              </w:rPr>
            </w:pPr>
            <w:r w:rsidRPr="001B2208">
              <w:t xml:space="preserve">Common Unit </w:t>
            </w:r>
            <w:r w:rsidRPr="001B2208">
              <w:t>Group</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Unit Code</w:t>
            </w:r>
            <w:r w:rsidRPr="001B2208">
              <w:tab/>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Unit Title</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Apply Occupational Health and Safety regulations, codes and practices in the workplace</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Fabricate, assemble and dismantle utilities industry components</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Solve problems in d.c. Circuits</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Fix and secure electrotechnology equipment</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Use drawings, diagrams, schedules, standards, codes and specifications</w:t>
            </w:r>
          </w:p>
        </w:tc>
      </w:tr>
      <w:tr w:rsidTr="00EB2F2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Solve problems in electromagnetic devices and related circuits</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Solve problems in low voltage a.c. Circuits</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 xml:space="preserve">Apply sustainable energy and environmental procedures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 xml:space="preserve">Operate plant and equipment near live electrical conductors and apparatus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 xml:space="preserve">Working safely near live electrical apparatus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UETTDRIS52A</w:t>
            </w:r>
          </w:p>
        </w:tc>
        <w:tc>
          <w:tcPr>
            <w:tcW w:w="3690" w:type="dxa"/>
            <w:tcBorders>
              <w:top w:val="nil"/>
              <w:left w:val="nil"/>
              <w:bottom w:val="nil"/>
              <w:right w:val="nil"/>
            </w:tcBorders>
            <w:tcMar>
              <w:top w:w="0" w:type="dxa"/>
              <w:left w:w="62" w:type="dxa"/>
              <w:bottom w:w="0" w:type="dxa"/>
              <w:right w:w="62" w:type="dxa"/>
            </w:tcMar>
            <w:vAlign w:val="bottom"/>
          </w:tcPr>
          <w:p w:rsidR="00000000" w:rsidP="001B2208">
            <w:pPr>
              <w:pStyle w:val="BodyText"/>
              <w:rPr>
                <w:lang w:val="en-NZ"/>
              </w:rPr>
            </w:pPr>
            <w:r w:rsidRPr="001B2208">
              <w:t>Install and maintain poles, structures and associated hardware</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UETTDRIS54A</w:t>
            </w:r>
          </w:p>
        </w:tc>
        <w:tc>
          <w:tcPr>
            <w:tcW w:w="3690" w:type="dxa"/>
            <w:tcBorders>
              <w:top w:val="nil"/>
              <w:left w:val="nil"/>
              <w:bottom w:val="nil"/>
              <w:right w:val="nil"/>
            </w:tcBorders>
            <w:tcMar>
              <w:top w:w="0" w:type="dxa"/>
              <w:left w:w="62" w:type="dxa"/>
              <w:bottom w:w="0" w:type="dxa"/>
              <w:right w:w="62" w:type="dxa"/>
            </w:tcMar>
            <w:vAlign w:val="bottom"/>
          </w:tcPr>
          <w:p w:rsidR="00000000" w:rsidRPr="001B2208" w:rsidP="001B2208">
            <w:pPr>
              <w:pStyle w:val="BodyText"/>
            </w:pPr>
            <w:r w:rsidRPr="001B2208">
              <w:t xml:space="preserve">Install and maintain poles, structures, overhead conductors and cables </w:t>
            </w:r>
          </w:p>
        </w:tc>
      </w:tr>
    </w:tbl>
    <w:p w:rsidR="00000000" w:rsidRPr="001B2208" w:rsidP="001B220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B2F2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 xml:space="preserve">4.2)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Participants are best equipped to achieve this unit if they have reading, writing and numeracy skills indicated by the following scales. Description of each scale is given in Volume 2, Part 3 “Literacy and Numeracy”</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Reading</w:t>
            </w:r>
          </w:p>
        </w:tc>
        <w:tc>
          <w:tcPr>
            <w:tcW w:w="81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w:t>
            </w:r>
          </w:p>
        </w:tc>
        <w:tc>
          <w:tcPr>
            <w:tcW w:w="99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Writing</w:t>
            </w:r>
          </w:p>
        </w:tc>
        <w:tc>
          <w:tcPr>
            <w:tcW w:w="90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w:t>
            </w:r>
          </w:p>
        </w:tc>
        <w:tc>
          <w:tcPr>
            <w:tcW w:w="12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Numeracy</w:t>
            </w:r>
          </w:p>
        </w:tc>
        <w:tc>
          <w:tcPr>
            <w:tcW w:w="72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3</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6" w:name="O_465506"/>
      <w:bookmarkEnd w:id="6"/>
      <w:r w:rsidRPr="001B2208">
        <w:t>Employability Skills Information</w:t>
      </w:r>
    </w:p>
    <w:tbl>
      <w:tblPr>
        <w:tblW w:w="0" w:type="auto"/>
        <w:tblLayout w:type="fixed"/>
        <w:tblCellMar>
          <w:left w:w="62" w:type="dxa"/>
          <w:right w:w="62" w:type="dxa"/>
        </w:tblCellMar>
        <w:tblLook w:val="0000"/>
      </w:tblPr>
      <w:tblGrid>
        <w:gridCol w:w="2700"/>
        <w:gridCol w:w="5760"/>
      </w:tblGrid>
      <w:tr w:rsidTr="00EB2F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 xml:space="preserve">5)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The required outcomes described in this unit of competency contain applicable facets of Employability Skills. The Employability Skills Summary of the qualification in which this u</w:t>
            </w:r>
            <w:r w:rsidRPr="001B2208">
              <w:t>nit of competency is packaged will assist in identifying Employability Skill requirements.</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7" w:name="O_465505"/>
      <w:bookmarkEnd w:id="7"/>
      <w:r w:rsidRPr="001B2208">
        <w:t>Elements and Performance Criteria Pre-Content</w:t>
      </w:r>
    </w:p>
    <w:tbl>
      <w:tblPr>
        <w:tblW w:w="0" w:type="auto"/>
        <w:tblLayout w:type="fixed"/>
        <w:tblCellMar>
          <w:left w:w="62" w:type="dxa"/>
          <w:right w:w="62" w:type="dxa"/>
        </w:tblCellMar>
        <w:tblLook w:val="0000"/>
      </w:tblPr>
      <w:tblGrid>
        <w:gridCol w:w="2700"/>
        <w:gridCol w:w="5760"/>
      </w:tblGrid>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6)</w:t>
            </w:r>
            <w:r w:rsidRPr="001B220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Performance Criteria describe the required performance needed to demonstrate achievement of the element. Assessment of performance is to be consistent with the Evidence Guide.</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8" w:name="O_465504"/>
      <w:bookmarkEnd w:id="8"/>
      <w:r w:rsidRPr="001B2208">
        <w:t>Elements and Performance Criteria</w:t>
      </w:r>
    </w:p>
    <w:tbl>
      <w:tblPr>
        <w:tblW w:w="0" w:type="auto"/>
        <w:tblLayout w:type="fixed"/>
        <w:tblCellMar>
          <w:left w:w="62" w:type="dxa"/>
          <w:right w:w="62" w:type="dxa"/>
        </w:tblCellMar>
        <w:tblLook w:val="0000"/>
      </w:tblPr>
      <w:tblGrid>
        <w:gridCol w:w="405"/>
        <w:gridCol w:w="2295"/>
        <w:gridCol w:w="791"/>
        <w:gridCol w:w="4969"/>
      </w:tblGrid>
      <w:tr w:rsidTr="00EB2F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PERFORMANCE CRITER</w:t>
            </w:r>
            <w:r w:rsidRPr="001B2208">
              <w:rPr>
                <w:rStyle w:val="SpecialBold"/>
              </w:rPr>
              <w:t>IA</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w:t>
            </w:r>
          </w:p>
        </w:tc>
        <w:tc>
          <w:tcPr>
            <w:tcW w:w="2295" w:type="dxa"/>
            <w:vMerge w:val="restart"/>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Prepare for the maintenance of overhead energised LV conductors and cables.</w:t>
            </w: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1.1</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 xml:space="preserve">Works schedule(s), including drawings, plans, requirements, established procedures, and material lists, are received, analysed and confirmed, </w:t>
            </w:r>
            <w:r w:rsidRPr="001B2208">
              <w:t>if necessary, by site inspection.</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1.2</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Relevant requirements and established procedures for the work are communicated to all personnel and identified for all work sites.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1.3</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OHS policies and procedures related to requirements and established procedures for the maintenance of overhead energised LV conductors and cables are obtained and confirmed for the purposes of the work to be performed and communicated.</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1.4</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Physical load</w:t>
            </w:r>
            <w:r w:rsidRPr="001B2208">
              <w:t>s and calculations are confirmed according to requirements, using essential knowledge and appropriate skill.</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1.5</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Work is prioritised and sequenced following consultation with others for completion within acceptable timeframes and in accordance with esta</w:t>
            </w:r>
            <w:r w:rsidRPr="001B2208">
              <w:t>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1.6</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Hazards are identified, OHS risks assessed and control measures are prioritised, implemented and monitored including emergency exits kept clear according to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1.7</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Relevant work permits are o</w:t>
            </w:r>
            <w:r w:rsidRPr="001B2208">
              <w:t>btained to access and perform work according to requirements and/or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1.8</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Resources including personnel, equipment, tools and personal protective equipment required for the job are obtained and confirmed in working order.</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1.9</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Sp</w:t>
            </w:r>
            <w:r w:rsidRPr="001B2208">
              <w:t>ecialist equipment for live working is inspected and confined in working order as per requirements and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1.10</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Relevant personnel at worksite are confirmed current in First Aid, Pole Top Rescue and other related work procedures according to requirements.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1.11</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Liaison and communication issues with other/authorised personnel, authorities, clients and land owners a</w:t>
            </w:r>
            <w:r w:rsidRPr="001B2208">
              <w:t>re resolved to carry out work where necessary.</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1.12</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Site is prepared according to the work schedule and to minimise risk and damage to property, commerce, and individuals in accordance with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1.13</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 xml:space="preserve">Personnel participating in the </w:t>
            </w:r>
            <w:r w:rsidRPr="001B2208">
              <w:t>work, including plant operators and contractors, are fully briefed and respective responsibilities confirmed where applicable in accordance with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1.14</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Traffic management plan is identified and implemented.</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w:t>
            </w:r>
          </w:p>
        </w:tc>
        <w:tc>
          <w:tcPr>
            <w:tcW w:w="2295" w:type="dxa"/>
            <w:vMerge w:val="restart"/>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Carry out maintenance of overhead energised LV conductors and cables.</w:t>
            </w: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2.1</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Environmental principles and practices to reduce the incidents of accidents and minimise waste are monitored and followed in accordance with requirements and/or established procedure</w:t>
            </w:r>
            <w:r w:rsidRPr="001B2208">
              <w:t>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2.2</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Lifting, climbing, working aloft, and use of power tools/equipment, techniques and practices are safely followed and, currency according to requirements confirmed.</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2.3</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Essential knowledge and associated skills are applied in the safe maintenance of overhead energised LV conductors and cables to ensure completion in an agreed timeframe and, to quality standards with a minimum of waste according to requirements.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2.4</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Mai</w:t>
            </w:r>
            <w:r w:rsidRPr="001B2208">
              <w:t>ntenance, including repair and/or replacement of poles and/or structures is carried out, in accordance with the work schedule and requirements/established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2.5</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Hazard warnings and safety signs are recognised and hazards and assessed OHS risks</w:t>
            </w:r>
            <w:r w:rsidRPr="001B2208">
              <w:t xml:space="preserve"> are reported to the immediate authorised persons for directions according to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2.6</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Unplanned events in the maintenance of overhead energised LV conductors and cables are undertaken within the scope of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2.7</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Known solutions to a variety of problems are applied using acquired essential knowledge and associated skills.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2.8</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Ongoing checks of quality of the work are undertaken in accordance with instructions and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w:t>
            </w:r>
          </w:p>
        </w:tc>
        <w:tc>
          <w:tcPr>
            <w:tcW w:w="2295" w:type="dxa"/>
            <w:vMerge w:val="restart"/>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Complete the maint</w:t>
            </w:r>
            <w:r w:rsidRPr="001B2208">
              <w:t>enance of overhead energised LV conductors and cables.</w:t>
            </w: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3.1</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Work undertaken is checked against works schedule for conformance with requirements and anomalies reported in accordance with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3.2</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Accidents and/or injuries are reported in accordance with requirements/established procedures, where applicable.</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3.3</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Work site is rehabilitated, cleaned up and made safe in accordance with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3.4</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 xml:space="preserve">Tools, equipment and any surplus </w:t>
            </w:r>
            <w:r w:rsidRPr="001B2208">
              <w:t>resources and materials are, where appropriate, cleaned, checked and returned to storage or disposed of in accordance with established procedures.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3.5</w:t>
            </w:r>
          </w:p>
        </w:tc>
        <w:tc>
          <w:tcPr>
            <w:tcW w:w="4969"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Relevant work permit(s) are signed off and, overhead energised LV conductors and cables are returned to service in accordance with requirements.</w:t>
            </w:r>
          </w:p>
        </w:tc>
      </w:tr>
      <w:tr w:rsidTr="00EB2F2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1"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t>3.6</w:t>
            </w:r>
          </w:p>
        </w:tc>
        <w:tc>
          <w:tcPr>
            <w:tcW w:w="4969"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Works completion records, reports, as installed /modified drawing and/or documentation and information a</w:t>
            </w:r>
            <w:r w:rsidRPr="001B2208">
              <w:t>re finalised and processed and appropriate personnel notified.</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9" w:name="O_465512"/>
      <w:bookmarkEnd w:id="9"/>
      <w:r w:rsidRPr="001B2208">
        <w:t>Required Skills and Knowledge</w:t>
      </w:r>
    </w:p>
    <w:tbl>
      <w:tblPr>
        <w:tblW w:w="0" w:type="auto"/>
        <w:tblLayout w:type="fixed"/>
        <w:tblCellMar>
          <w:left w:w="62" w:type="dxa"/>
          <w:right w:w="62" w:type="dxa"/>
        </w:tblCellMar>
        <w:tblLook w:val="0000"/>
      </w:tblPr>
      <w:tblGrid>
        <w:gridCol w:w="8460"/>
      </w:tblGrid>
      <w:tr w:rsidTr="00EB2F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REQUIRED SKILLS AND KNOWLEDGE</w:t>
            </w:r>
          </w:p>
        </w:tc>
      </w:tr>
      <w:tr w:rsidTr="00EB2F2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8)</w:t>
            </w:r>
            <w:r w:rsidRPr="001B2208">
              <w:t xml:space="preserve"> Essential Knowledge and Associated Skills (EKAS): This describes the essential skills and knowledge </w:t>
            </w:r>
            <w:r w:rsidRPr="001B2208">
              <w:t>and their level, required for this unit.</w:t>
            </w:r>
          </w:p>
          <w:p w:rsidR="00000000" w:rsidRPr="001B2208" w:rsidP="001B2208">
            <w:pPr>
              <w:pStyle w:val="BodyText"/>
            </w:pPr>
            <w:r w:rsidRPr="001B2208">
              <w:t>Evidence shall show that knowledge has been acquired of maintaining overhead energised LV conductors and cables.</w:t>
            </w:r>
          </w:p>
          <w:p w:rsidR="00000000" w:rsidRPr="001B2208" w:rsidP="001B2208">
            <w:pPr>
              <w:pStyle w:val="BodyText"/>
            </w:pPr>
            <w:r w:rsidRPr="001B2208">
              <w:t xml:space="preserve">All knowledge and skills detailed in this unit should be contextualised to current industry practices </w:t>
            </w:r>
            <w:r w:rsidRPr="001B2208">
              <w:t>and technologies.</w:t>
            </w:r>
          </w:p>
          <w:p w:rsidR="00000000" w:rsidRPr="001B2208" w:rsidP="001B2208">
            <w:pPr>
              <w:pStyle w:val="BodyText"/>
            </w:pPr>
            <w:r w:rsidRPr="001B2208">
              <w:t xml:space="preserve">KS01-TDP12A </w:t>
            </w:r>
            <w:r w:rsidRPr="001B2208">
              <w:tab/>
              <w:t>Low voltage energised working practices for distribution overhead</w:t>
            </w:r>
          </w:p>
          <w:p w:rsidR="00000000" w:rsidRPr="001B2208" w:rsidP="001B2208">
            <w:pPr>
              <w:pStyle w:val="BodyText"/>
            </w:pPr>
            <w:r w:rsidRPr="001B2208">
              <w:t>Evidence shall show an understanding of the safe working on energised low voltage equipment to an extent indicated by the following aspects:</w:t>
            </w:r>
          </w:p>
          <w:p w:rsidR="00000000" w:rsidRPr="001B2208" w:rsidP="001B2208">
            <w:pPr>
              <w:pStyle w:val="BodyText"/>
            </w:pPr>
            <w:r w:rsidRPr="001B2208">
              <w:t>T1</w:t>
            </w:r>
            <w:r w:rsidRPr="001B2208">
              <w:tab/>
              <w:t>Standards, code</w:t>
            </w:r>
            <w:r w:rsidRPr="001B2208">
              <w:t>s, Commonwealth, State/Territory/local government legislation, supply authority regulations and or enterprise requirements</w:t>
            </w:r>
          </w:p>
          <w:p w:rsidR="00000000" w:rsidRPr="001B2208" w:rsidP="001B2208">
            <w:pPr>
              <w:pStyle w:val="BodyText"/>
            </w:pPr>
            <w:r w:rsidRPr="001B2208">
              <w:t>T2</w:t>
            </w:r>
            <w:r w:rsidRPr="001B2208">
              <w:tab/>
              <w:t>Safety precautions specific to working on or near energised low voltage conductors encompassing:</w:t>
            </w:r>
          </w:p>
          <w:p w:rsidR="00000000" w:rsidRPr="001B2208" w:rsidP="001B2208">
            <w:pPr>
              <w:pStyle w:val="ListBullet"/>
            </w:pPr>
            <w:r w:rsidRPr="001B2208">
              <w:t>Safe working practices and proce</w:t>
            </w:r>
            <w:r w:rsidRPr="001B2208">
              <w:t>dures</w:t>
            </w:r>
          </w:p>
          <w:p w:rsidR="00000000" w:rsidRPr="001B2208" w:rsidP="001B2208">
            <w:pPr>
              <w:pStyle w:val="ListBullet"/>
            </w:pPr>
            <w:r w:rsidRPr="001B2208">
              <w:t>Identification of hazards, assessment and control of OHS risks</w:t>
            </w:r>
          </w:p>
          <w:p w:rsidR="00000000" w:rsidRPr="001B2208" w:rsidP="001B2208">
            <w:pPr>
              <w:pStyle w:val="ListBullet"/>
            </w:pPr>
            <w:r w:rsidRPr="001B2208">
              <w:t>Types, selection, maintenance and use of personal protective equipment</w:t>
            </w:r>
          </w:p>
          <w:p w:rsidR="00000000" w:rsidRPr="001B2208" w:rsidP="001B2208">
            <w:pPr>
              <w:pStyle w:val="BodyText"/>
            </w:pPr>
            <w:r w:rsidRPr="001B2208">
              <w:t>T3</w:t>
            </w:r>
            <w:r w:rsidRPr="001B2208">
              <w:tab/>
              <w:t>Work on or near energised LV conductors encompassing:</w:t>
            </w:r>
          </w:p>
          <w:p w:rsidR="00000000" w:rsidRPr="001B2208" w:rsidP="001B2208">
            <w:pPr>
              <w:pStyle w:val="ListBullet"/>
            </w:pPr>
            <w:r w:rsidRPr="001B2208">
              <w:t>Types and function of specialised tools</w:t>
            </w:r>
          </w:p>
          <w:p w:rsidR="00000000" w:rsidRPr="001B2208" w:rsidP="001B2208">
            <w:pPr>
              <w:pStyle w:val="ListBullet"/>
            </w:pPr>
            <w:r w:rsidRPr="001B2208">
              <w:t>Safe working pract</w:t>
            </w:r>
            <w:r w:rsidRPr="001B2208">
              <w:t>ices when using specialised tools</w:t>
            </w:r>
          </w:p>
          <w:p w:rsidR="00000000" w:rsidRPr="001B2208" w:rsidP="001B2208">
            <w:pPr>
              <w:pStyle w:val="ListBullet"/>
            </w:pPr>
            <w:r w:rsidRPr="001B2208">
              <w:t>Methods of using specialised tools</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10" w:name="O_465507"/>
      <w:bookmarkEnd w:id="10"/>
      <w:r w:rsidRPr="001B2208">
        <w:t>Evidence Guide</w:t>
      </w:r>
    </w:p>
    <w:tbl>
      <w:tblPr>
        <w:tblW w:w="0" w:type="auto"/>
        <w:tblLayout w:type="fixed"/>
        <w:tblCellMar>
          <w:left w:w="62" w:type="dxa"/>
          <w:right w:w="62" w:type="dxa"/>
        </w:tblCellMar>
        <w:tblLook w:val="0000"/>
      </w:tblPr>
      <w:tblGrid>
        <w:gridCol w:w="8460"/>
      </w:tblGrid>
      <w:tr w:rsidTr="00EB2F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EVIDENCE GUIDE</w:t>
            </w:r>
          </w:p>
        </w:tc>
      </w:tr>
      <w:tr w:rsidTr="00EB2F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9)</w:t>
            </w:r>
            <w:r w:rsidRPr="001B2208">
              <w:t xml:space="preserve"> This provides essential advice for assessment of the unit of competency and must be read in conjunction </w:t>
            </w:r>
            <w:r w:rsidRPr="001B2208">
              <w:t>with the performance criteria and the range statement of the unit of competency and the Training Package Assessment Guidelines.</w:t>
            </w:r>
          </w:p>
          <w:p w:rsidR="00000000" w:rsidRPr="001B2208" w:rsidP="001B2208">
            <w:pPr>
              <w:pStyle w:val="BodyText"/>
            </w:pPr>
            <w:r w:rsidRPr="001B2208">
              <w:t>The Evidence Guide forms an integral part of this Competency Standard Unit and shall be used in conjunction with all component p</w:t>
            </w:r>
            <w:r w:rsidRPr="001B2208">
              <w:t>arts of this unit and, performed in accordance with the Assessment Guidelines of this Training Package.</w:t>
            </w:r>
          </w:p>
        </w:tc>
      </w:tr>
    </w:tbl>
    <w:p w:rsidR="00000000" w:rsidRPr="001B2208" w:rsidP="001B2208">
      <w:pPr>
        <w:pStyle w:val="BodyText"/>
      </w:pPr>
    </w:p>
    <w:tbl>
      <w:tblPr>
        <w:tblW w:w="0" w:type="auto"/>
        <w:tblLayout w:type="fixed"/>
        <w:tblCellMar>
          <w:left w:w="62" w:type="dxa"/>
          <w:right w:w="62" w:type="dxa"/>
        </w:tblCellMar>
        <w:tblLook w:val="0000"/>
      </w:tblPr>
      <w:tblGrid>
        <w:gridCol w:w="1890"/>
        <w:gridCol w:w="6570"/>
      </w:tblGrid>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9.1)</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Longitudinal competency development approaches to assessment, such as Profiling, require data to be reliably gathered in a form that can be consistently interpreted over time. This approach is best utilised in Apprenticeship programs and reduces assessment</w:t>
            </w:r>
            <w:r w:rsidRPr="001B220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B2208">
              <w:t>tency in a realistically simulated work environment. It is recognised that, in some circumstances, assessment in part or full can occur outside the workplace. However, it must be in accord with Industry and, Regulatory policy in this regard.</w:t>
            </w:r>
          </w:p>
          <w:p w:rsidR="00000000" w:rsidRPr="001B2208" w:rsidP="001B2208">
            <w:pPr>
              <w:pStyle w:val="BodyText"/>
            </w:pPr>
            <w:r w:rsidRPr="001B2208">
              <w:t>Methods chosen</w:t>
            </w:r>
            <w:r w:rsidRPr="001B220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B2208">
              <w:t>equired and the critical nature of the competencies being assessed.</w:t>
            </w:r>
          </w:p>
          <w:p w:rsidR="00000000" w:rsidRPr="001B2208" w:rsidP="001B2208">
            <w:pPr>
              <w:pStyle w:val="BodyText"/>
            </w:pPr>
            <w:r w:rsidRPr="001B2208">
              <w:t>The critical safety nature of working with electricity, electrical equipment, gas or any other hazardous substance/material carries risk in deeming a person competent. Hence, sources of ev</w:t>
            </w:r>
            <w:r w:rsidRPr="001B2208">
              <w:t>idence need to be ‘rich’ in nature so as to minimise error in judgment.</w:t>
            </w:r>
          </w:p>
          <w:p w:rsidR="00000000" w:rsidRPr="001B2208" w:rsidP="001B2208">
            <w:pPr>
              <w:pStyle w:val="BodyText"/>
            </w:pPr>
            <w:r w:rsidRPr="001B2208">
              <w:t>Activities associated with normal every day work have a bearing on the decision as to how much and how detailed the data gathered will contribute to its ‘richness’. Some skills are mor</w:t>
            </w:r>
            <w:r w:rsidRPr="001B2208">
              <w:t>e critical to safety and operational requirements while the same skills may be more or less frequently practiced. These points are raised for the assessors to consider when choosing an assessment method and developing assessment instruments. Sample assessm</w:t>
            </w:r>
            <w:r w:rsidRPr="001B2208">
              <w:t>ent instruments are included for Assessors in the Assessment Guidelines of this Training Package.</w:t>
            </w:r>
          </w:p>
        </w:tc>
      </w:tr>
    </w:tbl>
    <w:p w:rsidR="00000000" w:rsidRPr="001B2208" w:rsidP="001B220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9.2)</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Before the critical aspects of evidence are considered all prerequisi</w:t>
            </w:r>
            <w:r w:rsidRPr="001B2208">
              <w:t>tes shall be met.</w:t>
            </w:r>
          </w:p>
          <w:p w:rsidR="00000000" w:rsidRPr="001B2208" w:rsidP="001B2208">
            <w:pPr>
              <w:pStyle w:val="BodyText"/>
            </w:pPr>
            <w:r w:rsidRPr="001B2208">
              <w:t xml:space="preserve">Evidence for competence in this unit shall be considered holistically. Each element and associated performance criteria shall be demonstrated on at least two occasions in accordance with the “Assessment Guidelines – UET12”. Evidence </w:t>
            </w:r>
            <w:r w:rsidRPr="001B2208">
              <w:t>shall also comprise:</w:t>
            </w:r>
          </w:p>
          <w:p w:rsidR="00000000" w:rsidRPr="001B2208" w:rsidP="001B2208">
            <w:pPr>
              <w:pStyle w:val="ListBullet"/>
            </w:pPr>
            <w:r w:rsidRPr="001B2208">
              <w:t>A representative body of performance criteria demonstrated within the timeframes typically expected of the discipline, work function and industrial environment. In particular this shall incorporate evidence that shows a candidate is a</w:t>
            </w:r>
            <w:r w:rsidRPr="001B2208">
              <w:t>ble to:</w:t>
            </w:r>
          </w:p>
          <w:p w:rsidR="00000000" w:rsidRPr="001B2208" w:rsidP="001B2208">
            <w:pPr>
              <w:pStyle w:val="ListBullet2"/>
            </w:pPr>
            <w:r w:rsidRPr="001B2208">
              <w:t>Implement Occupational Health and Safety workplace procedures and practices including the use of risk control measures as specified in the performance criteria and range; and</w:t>
            </w:r>
          </w:p>
          <w:p w:rsidR="00000000" w:rsidRPr="001B2208" w:rsidP="001B2208">
            <w:pPr>
              <w:pStyle w:val="ListBullet2"/>
            </w:pPr>
            <w:r w:rsidRPr="001B2208">
              <w:t>Apply sustainable energy principles and practices as specified in the pe</w:t>
            </w:r>
            <w:r w:rsidRPr="001B2208">
              <w:t>rformance criteria and range; and</w:t>
            </w:r>
          </w:p>
          <w:p w:rsidR="00000000" w:rsidRPr="001B2208" w:rsidP="001B2208">
            <w:pPr>
              <w:pStyle w:val="ListBullet2"/>
            </w:pPr>
            <w:r w:rsidRPr="001B2208">
              <w:t>Demonstrate an understanding of the essential knowledge and associated skills as described in this unit to such an extent that the learner’s performance outcome is reported in accordance with the preferred approach; namely</w:t>
            </w:r>
            <w:r w:rsidRPr="001B2208">
              <w:t xml:space="preserve"> a percentile graded result, where required by the regulated environment; and</w:t>
            </w:r>
          </w:p>
          <w:p w:rsidR="00000000" w:rsidRPr="001B2208" w:rsidP="001B2208">
            <w:pPr>
              <w:pStyle w:val="ListBullet2"/>
            </w:pPr>
            <w:r w:rsidRPr="001B2208">
              <w:t>Demonstrate an appropriate level of employability skills; and</w:t>
            </w:r>
          </w:p>
          <w:p w:rsidR="00000000" w:rsidRPr="001B2208" w:rsidP="001B2208">
            <w:pPr>
              <w:pStyle w:val="ListBullet"/>
            </w:pPr>
            <w:r w:rsidRPr="001B2208">
              <w:t>Conduct work observing the relevant Anti Discrimination legislation, regulations, policies and workplace procedures</w:t>
            </w:r>
            <w:r w:rsidRPr="001B2208">
              <w:t>; and</w:t>
            </w:r>
          </w:p>
          <w:p w:rsidR="00000000" w:rsidP="001B2208">
            <w:pPr>
              <w:pStyle w:val="ListBullet2"/>
              <w:rPr>
                <w:lang w:val="en-NZ"/>
              </w:rPr>
            </w:pPr>
            <w:r w:rsidRPr="001B2208">
              <w:t>Demonstrated performance across a representative range of contexts from the prescribed items below:</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B220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rPr>
                <w:rStyle w:val="SpecialBold"/>
              </w:rPr>
              <w:t>Range of tools/equipment/materials/procedures/workplaces/other variables</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B220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rPr>
                <w:rStyle w:val="SpecialBold"/>
              </w:rPr>
              <w:t>The minimum numbe</w:t>
            </w:r>
            <w:r w:rsidRPr="001B2208">
              <w:rPr>
                <w:rStyle w:val="SpecialBold"/>
              </w:rPr>
              <w:t>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rPr>
                <w:rStyle w:val="SpecialBold"/>
              </w:rPr>
              <w:t>Item List</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t>Copper</w:t>
            </w:r>
          </w:p>
          <w:p w:rsidR="00000000" w:rsidRPr="001B2208" w:rsidP="001B2208">
            <w:pPr>
              <w:pStyle w:val="BodyText"/>
            </w:pPr>
            <w:r w:rsidRPr="001B2208">
              <w:t>Aluminium</w:t>
            </w:r>
          </w:p>
          <w:p w:rsidR="00000000" w:rsidRPr="001B2208" w:rsidP="001B2208">
            <w:pPr>
              <w:pStyle w:val="BodyText"/>
            </w:pPr>
            <w:r w:rsidRPr="001B2208">
              <w:t>Aluminium/steel reinforced</w:t>
            </w:r>
          </w:p>
          <w:p w:rsidR="00000000" w:rsidRPr="001B2208" w:rsidP="001B2208">
            <w:pPr>
              <w:pStyle w:val="BodyText"/>
            </w:pPr>
            <w:r w:rsidRPr="001B2208">
              <w:t>Steel</w:t>
            </w:r>
          </w:p>
          <w:p w:rsidR="00000000" w:rsidP="001B2208">
            <w:pPr>
              <w:pStyle w:val="BodyText"/>
              <w:rPr>
                <w:lang w:val="en-NZ"/>
              </w:rPr>
            </w:pPr>
            <w:r w:rsidRPr="001B2208">
              <w:t>Pilot</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t>EWP</w:t>
            </w:r>
          </w:p>
          <w:p w:rsidR="00000000" w:rsidRPr="001B2208" w:rsidP="001B2208">
            <w:pPr>
              <w:pStyle w:val="BodyText"/>
            </w:pPr>
            <w:r w:rsidRPr="001B2208">
              <w:t>Ladder</w:t>
            </w:r>
          </w:p>
          <w:p w:rsidR="00000000" w:rsidP="001B2208">
            <w:pPr>
              <w:pStyle w:val="BodyText"/>
              <w:rPr>
                <w:lang w:val="en-NZ"/>
              </w:rPr>
            </w:pPr>
            <w:r w:rsidRPr="001B2208">
              <w:t>Portable platform</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t>Insulating mats/sleeves</w:t>
            </w:r>
          </w:p>
          <w:p w:rsidR="00000000" w:rsidRPr="001B2208" w:rsidP="001B2208">
            <w:pPr>
              <w:pStyle w:val="BodyText"/>
            </w:pPr>
            <w:r w:rsidRPr="001B2208">
              <w:t>Temporary bridging device</w:t>
            </w:r>
          </w:p>
          <w:p w:rsidR="00000000" w:rsidRPr="001B2208" w:rsidP="001B2208">
            <w:pPr>
              <w:pStyle w:val="BodyText"/>
            </w:pPr>
            <w:r w:rsidRPr="001B2208">
              <w:t>Insulating gloves</w:t>
            </w:r>
          </w:p>
          <w:p w:rsidR="00000000" w:rsidRPr="001B2208" w:rsidP="001B2208">
            <w:pPr>
              <w:pStyle w:val="BodyText"/>
            </w:pPr>
            <w:r w:rsidRPr="001B2208">
              <w:t>Insulated cable tensioning devices</w:t>
            </w:r>
          </w:p>
          <w:p w:rsidR="00000000" w:rsidRPr="001B2208" w:rsidP="001B2208">
            <w:pPr>
              <w:pStyle w:val="BodyText"/>
            </w:pPr>
            <w:r w:rsidRPr="001B2208">
              <w:t>Ladder/pole shrouds</w:t>
            </w:r>
          </w:p>
          <w:p w:rsidR="00000000" w:rsidP="001B2208">
            <w:pPr>
              <w:pStyle w:val="BodyText"/>
              <w:rPr>
                <w:lang w:val="en-NZ"/>
              </w:rPr>
            </w:pPr>
            <w:r w:rsidRPr="001B2208">
              <w:t>Equipotential bonding</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t>Voltage detector*</w:t>
            </w:r>
          </w:p>
          <w:p w:rsidR="00000000" w:rsidRPr="001B2208" w:rsidP="001B2208">
            <w:pPr>
              <w:pStyle w:val="BodyText"/>
            </w:pPr>
            <w:r w:rsidRPr="001B2208">
              <w:t>Clamp-on ammeter</w:t>
            </w:r>
          </w:p>
          <w:p w:rsidR="00000000" w:rsidRPr="001B2208" w:rsidP="001B2208">
            <w:pPr>
              <w:pStyle w:val="BodyText"/>
            </w:pPr>
            <w:r w:rsidRPr="001B2208">
              <w:t>Polarity tester</w:t>
            </w:r>
          </w:p>
          <w:p w:rsidR="00000000" w:rsidRPr="001B2208" w:rsidP="001B2208">
            <w:pPr>
              <w:pStyle w:val="BodyText"/>
            </w:pPr>
            <w:r w:rsidRPr="001B2208">
              <w:t xml:space="preserve">Insulation resistance </w:t>
            </w:r>
            <w:r w:rsidRPr="001B2208">
              <w:t>tester</w:t>
            </w:r>
          </w:p>
          <w:p w:rsidR="00000000" w:rsidRPr="001B2208" w:rsidP="001B2208">
            <w:pPr>
              <w:pStyle w:val="BodyText"/>
            </w:pPr>
            <w:r w:rsidRPr="001B2208">
              <w:t>Phase sequence indicator</w:t>
            </w:r>
          </w:p>
          <w:p w:rsidR="00000000" w:rsidRPr="001B2208" w:rsidP="001B2208">
            <w:pPr>
              <w:pStyle w:val="BodyText"/>
            </w:pPr>
            <w:r w:rsidRPr="001B2208">
              <w:t>Recording meters</w:t>
            </w:r>
          </w:p>
          <w:p w:rsidR="00000000" w:rsidP="001B2208">
            <w:pPr>
              <w:pStyle w:val="BodyText"/>
              <w:rPr>
                <w:lang w:val="en-NZ"/>
              </w:rPr>
            </w:pPr>
            <w:r w:rsidRPr="001B2208">
              <w:t>(*must do)</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208">
            <w:pPr>
              <w:pStyle w:val="BodyText"/>
              <w:rPr>
                <w:lang w:val="en-NZ"/>
              </w:rPr>
            </w:pPr>
            <w:r w:rsidRPr="001B220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208" w:rsidP="001B2208">
            <w:pPr>
              <w:pStyle w:val="BodyText"/>
            </w:pPr>
            <w:r w:rsidRPr="001B2208">
              <w:t xml:space="preserve">Dealing with an unplanned event by drawing on essential knowledge and associated skills to provide appropriate solutions incorporated in the </w:t>
            </w:r>
            <w:r w:rsidRPr="001B2208">
              <w:t>holistic assessment with the above listed items.</w:t>
            </w:r>
          </w:p>
        </w:tc>
      </w:tr>
    </w:tbl>
    <w:p w:rsidR="00000000" w:rsidRPr="001B2208" w:rsidP="001B2208">
      <w:pPr>
        <w:pStyle w:val="BodyText"/>
      </w:pPr>
    </w:p>
    <w:tbl>
      <w:tblPr>
        <w:tblW w:w="0" w:type="auto"/>
        <w:tblLayout w:type="fixed"/>
        <w:tblCellMar>
          <w:left w:w="62" w:type="dxa"/>
          <w:right w:w="62" w:type="dxa"/>
        </w:tblCellMar>
        <w:tblLook w:val="0000"/>
      </w:tblPr>
      <w:tblGrid>
        <w:gridCol w:w="1890"/>
        <w:gridCol w:w="6570"/>
      </w:tblGrid>
      <w:tr w:rsidTr="00EB2F2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9.3)</w:t>
            </w:r>
          </w:p>
        </w:tc>
      </w:tr>
      <w:tr w:rsidTr="00EB2F2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 xml:space="preserve">This unit should be assessed as it relates to normal work practice using procedures, information and resources typical of a workplace. This </w:t>
            </w:r>
            <w:r w:rsidRPr="001B2208">
              <w:t>should include:</w:t>
            </w:r>
          </w:p>
          <w:p w:rsidR="00000000" w:rsidRPr="001B2208" w:rsidP="001B2208">
            <w:pPr>
              <w:pStyle w:val="ListBullet"/>
            </w:pPr>
            <w:r w:rsidRPr="001B2208">
              <w:t>OHS policy and work procedures and instructions.</w:t>
            </w:r>
          </w:p>
          <w:p w:rsidR="00000000" w:rsidRPr="001B2208" w:rsidP="001B2208">
            <w:pPr>
              <w:pStyle w:val="ListBullet"/>
            </w:pPr>
            <w:r w:rsidRPr="001B2208">
              <w:t>Suitable work environment, facilities, equipment and materials to undertake actual maintenance of overhead energised LV conductors and cables</w:t>
            </w:r>
          </w:p>
          <w:p w:rsidR="00000000" w:rsidRPr="001B2208" w:rsidP="001B2208">
            <w:pPr>
              <w:pStyle w:val="BodyText"/>
            </w:pPr>
            <w:r w:rsidRPr="001B2208">
              <w:t>In addition to the resources listed above, in Co</w:t>
            </w:r>
            <w:r w:rsidRPr="001B2208">
              <w:t>ntext of and specific resources for assessment, evidence should show demonstrated competency working below ground, in limited spaces, with different structural/construction types and method and in a variety of environments.</w:t>
            </w:r>
          </w:p>
        </w:tc>
      </w:tr>
    </w:tbl>
    <w:p w:rsidR="00000000" w:rsidRPr="001B2208" w:rsidP="001B2208">
      <w:pPr>
        <w:pStyle w:val="BodyText"/>
      </w:pPr>
    </w:p>
    <w:tbl>
      <w:tblPr>
        <w:tblW w:w="0" w:type="auto"/>
        <w:tblLayout w:type="fixed"/>
        <w:tblCellMar>
          <w:left w:w="62" w:type="dxa"/>
          <w:right w:w="62" w:type="dxa"/>
        </w:tblCellMar>
        <w:tblLook w:val="0000"/>
      </w:tblPr>
      <w:tblGrid>
        <w:gridCol w:w="1890"/>
        <w:gridCol w:w="6570"/>
      </w:tblGrid>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9.4)</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This Competency Standard Unit shall be assessed by methods given in Volume 1, Part 3 “Assessment Guidelines”.</w:t>
            </w:r>
          </w:p>
          <w:p w:rsidR="00000000" w:rsidRPr="001B2208" w:rsidP="001B2208">
            <w:pPr>
              <w:pStyle w:val="BodyText"/>
            </w:pPr>
            <w:r w:rsidRPr="001B2208">
              <w:t>Note:</w:t>
            </w:r>
          </w:p>
          <w:p w:rsidR="00000000" w:rsidRPr="001B2208" w:rsidP="001B2208">
            <w:pPr>
              <w:pStyle w:val="BodyText"/>
            </w:pPr>
            <w:r w:rsidRPr="001B2208">
              <w:t xml:space="preserve">Competent performance with inherent safe working practices is expected in the Industry to which this Competency Standard Unit applies. This </w:t>
            </w:r>
            <w:r w:rsidRPr="001B2208">
              <w:t>requires that the specified essential knowledge and associated skills are assessed in a structured environment which is primarily intended for learning/assessment and incorporates all necessary equipment and facilities for learners to develop and demonstra</w:t>
            </w:r>
            <w:r w:rsidRPr="001B2208">
              <w:t>te the essential knowledge and associated skills described in this unit.</w:t>
            </w:r>
          </w:p>
        </w:tc>
      </w:tr>
    </w:tbl>
    <w:p w:rsidR="00000000" w:rsidRPr="001B2208" w:rsidP="001B2208">
      <w:pPr>
        <w:pStyle w:val="BodyText"/>
      </w:pPr>
    </w:p>
    <w:tbl>
      <w:tblPr>
        <w:tblW w:w="0" w:type="auto"/>
        <w:tblLayout w:type="fixed"/>
        <w:tblCellMar>
          <w:left w:w="62" w:type="dxa"/>
          <w:right w:w="62" w:type="dxa"/>
        </w:tblCellMar>
        <w:tblLook w:val="0000"/>
      </w:tblPr>
      <w:tblGrid>
        <w:gridCol w:w="1890"/>
        <w:gridCol w:w="6570"/>
      </w:tblGrid>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9.5)</w:t>
            </w:r>
          </w:p>
        </w:tc>
      </w:tr>
      <w:tr w:rsidTr="00EB2F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There are no recommended concurrencies for this unit.</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11" w:name="O_465511"/>
      <w:bookmarkEnd w:id="11"/>
      <w:r w:rsidRPr="001B2208">
        <w:t>Range Statement</w:t>
      </w:r>
    </w:p>
    <w:tbl>
      <w:tblPr>
        <w:tblW w:w="0" w:type="auto"/>
        <w:tblLayout w:type="fixed"/>
        <w:tblCellMar>
          <w:left w:w="62" w:type="dxa"/>
          <w:right w:w="62" w:type="dxa"/>
        </w:tblCellMar>
        <w:tblLook w:val="0000"/>
      </w:tblPr>
      <w:tblGrid>
        <w:gridCol w:w="8460"/>
      </w:tblGrid>
      <w:tr w:rsidTr="00EB2F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RANGE STATEMENT</w:t>
            </w:r>
          </w:p>
        </w:tc>
      </w:tr>
      <w:tr w:rsidTr="00EB2F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10)</w:t>
            </w:r>
            <w:r w:rsidRPr="001B2208">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1B2208" w:rsidP="001B2208">
            <w:pPr>
              <w:pStyle w:val="BodyText"/>
            </w:pPr>
            <w:r w:rsidRPr="001B2208">
              <w:t xml:space="preserve">This Competency Standard Unit </w:t>
            </w:r>
            <w:r w:rsidRPr="001B2208">
              <w:t>shall be demonstrated in relation to the maintenance of overhead energised low voltage conductors and cables taking into account the potential hazards, the calculation of physical loads, including an understanding of the effects of traffic loads and de-rat</w:t>
            </w:r>
            <w:r w:rsidRPr="001B2208">
              <w:t xml:space="preserve">ing of circuits. </w:t>
            </w:r>
          </w:p>
          <w:p w:rsidR="00000000" w:rsidRPr="001B2208" w:rsidP="001B2208">
            <w:pPr>
              <w:pStyle w:val="BodyText"/>
            </w:pPr>
            <w:r w:rsidRPr="001B2208">
              <w:t>Maintenance may include the removal, repair and replacement of cables, conductors and associated hardware.</w:t>
            </w:r>
          </w:p>
          <w:p w:rsidR="00000000" w:rsidRPr="001B2208" w:rsidP="001B2208">
            <w:pPr>
              <w:pStyle w:val="BodyText"/>
            </w:pPr>
            <w:r w:rsidRPr="001B2208">
              <w:t>Structures include poles, and columns.</w:t>
            </w:r>
          </w:p>
          <w:p w:rsidR="00000000" w:rsidRPr="001B2208" w:rsidP="001B2208">
            <w:pPr>
              <w:pStyle w:val="BodyText"/>
            </w:pPr>
            <w:r w:rsidRPr="001B2208">
              <w:t>Work methods require the use of insulating gloves and specialised live working equipment and</w:t>
            </w:r>
            <w:r w:rsidRPr="001B2208">
              <w:t xml:space="preserve"> tools.</w:t>
            </w:r>
          </w:p>
          <w:p w:rsidR="00000000" w:rsidRPr="001B2208" w:rsidP="001B2208">
            <w:pPr>
              <w:pStyle w:val="BodyText"/>
            </w:pPr>
            <w:r w:rsidRPr="001B2208">
              <w:t>Work may be performed from elevating work platform, ladder, portable pole platform, or the ground.</w:t>
            </w:r>
          </w:p>
          <w:p w:rsidR="00000000" w:rsidRPr="001B2208" w:rsidP="001B2208">
            <w:pPr>
              <w:pStyle w:val="BodyText"/>
            </w:pPr>
            <w:r w:rsidRPr="001B2208">
              <w:t>Testing and recording devices include voltage detectors, tong ammeters, polarity testers, recording meters and phase sequence indicators.</w:t>
            </w:r>
          </w:p>
          <w:p w:rsidR="00000000" w:rsidRPr="001B2208" w:rsidP="001B2208">
            <w:pPr>
              <w:pStyle w:val="BodyText"/>
            </w:pPr>
            <w:r w:rsidRPr="001B2208">
              <w:t>Specialised</w:t>
            </w:r>
            <w:r w:rsidRPr="001B2208">
              <w:t xml:space="preserve"> live working equipment includes insulating mats and sleeves, insulating gloves, temporary bridges/hoppers, insulated cable tensioning devices and ladder/pole shrouds and equipotential bonding.</w:t>
            </w:r>
          </w:p>
          <w:p w:rsidR="00000000" w:rsidRPr="001B2208" w:rsidP="001B2208">
            <w:pPr>
              <w:pStyle w:val="BodyText"/>
            </w:pPr>
            <w:r w:rsidRPr="001B2208">
              <w:t>The following constants and variables included in the element/</w:t>
            </w:r>
            <w:r w:rsidRPr="001B2208">
              <w:t>performance criteria in this unit are fully described in the Definitions Section 1 of this volume and form an integral part of the Range Statement of this unit:</w:t>
            </w:r>
          </w:p>
          <w:p w:rsidR="00000000" w:rsidRPr="001B2208" w:rsidP="001B2208">
            <w:pPr>
              <w:pStyle w:val="ListBullet3"/>
            </w:pPr>
            <w:r w:rsidRPr="001B2208">
              <w:t>Appropriate and relevant persons (see Personnel)</w:t>
            </w:r>
          </w:p>
          <w:p w:rsidR="00000000" w:rsidRPr="001B2208" w:rsidP="001B2208">
            <w:pPr>
              <w:pStyle w:val="ListBullet3"/>
            </w:pPr>
            <w:r w:rsidRPr="001B2208">
              <w:t>Appropriate authorities</w:t>
            </w:r>
          </w:p>
          <w:p w:rsidR="00000000" w:rsidRPr="001B2208" w:rsidP="001B2208">
            <w:pPr>
              <w:pStyle w:val="ListBullet3"/>
            </w:pPr>
            <w:r w:rsidRPr="001B2208">
              <w:t>Appropriate work plat</w:t>
            </w:r>
            <w:r w:rsidRPr="001B2208">
              <w:t>form</w:t>
            </w:r>
          </w:p>
          <w:p w:rsidR="00000000" w:rsidRPr="001B2208" w:rsidP="001B2208">
            <w:pPr>
              <w:pStyle w:val="ListBullet3"/>
            </w:pPr>
            <w:r w:rsidRPr="001B2208">
              <w:t>Assessing risk</w:t>
            </w:r>
          </w:p>
          <w:p w:rsidR="00000000" w:rsidRPr="001B2208" w:rsidP="001B2208">
            <w:pPr>
              <w:pStyle w:val="ListBullet3"/>
            </w:pPr>
            <w:r w:rsidRPr="001B2208">
              <w:t>Assessment</w:t>
            </w:r>
          </w:p>
          <w:p w:rsidR="00000000" w:rsidRPr="001B2208" w:rsidP="001B2208">
            <w:pPr>
              <w:pStyle w:val="ListBullet3"/>
            </w:pPr>
            <w:r w:rsidRPr="001B2208">
              <w:t>Authorisation</w:t>
            </w:r>
          </w:p>
          <w:p w:rsidR="00000000" w:rsidRPr="001B2208" w:rsidP="001B2208">
            <w:pPr>
              <w:pStyle w:val="ListBullet3"/>
            </w:pPr>
            <w:r w:rsidRPr="001B2208">
              <w:t>Diagnostic, testing and restoration</w:t>
            </w:r>
          </w:p>
          <w:p w:rsidR="00000000" w:rsidRPr="001B2208" w:rsidP="001B2208">
            <w:pPr>
              <w:pStyle w:val="ListBullet3"/>
            </w:pPr>
            <w:r w:rsidRPr="001B2208">
              <w:t>Documenting detail work events, record keeping and or storage of information</w:t>
            </w:r>
          </w:p>
          <w:p w:rsidR="00000000" w:rsidRPr="001B2208" w:rsidP="001B2208">
            <w:pPr>
              <w:pStyle w:val="ListBullet3"/>
            </w:pPr>
            <w:r w:rsidRPr="001B2208">
              <w:t>Drawings and specifications</w:t>
            </w:r>
          </w:p>
          <w:p w:rsidR="00000000" w:rsidRPr="001B2208" w:rsidP="001B2208">
            <w:pPr>
              <w:pStyle w:val="ListBullet3"/>
            </w:pPr>
            <w:r w:rsidRPr="001B2208">
              <w:t>Emergency</w:t>
            </w:r>
          </w:p>
          <w:p w:rsidR="00000000" w:rsidRPr="001B2208" w:rsidP="001B2208">
            <w:pPr>
              <w:pStyle w:val="ListBullet3"/>
            </w:pPr>
            <w:r w:rsidRPr="001B2208">
              <w:t>Environmental and sustainable energy procedures</w:t>
            </w:r>
          </w:p>
          <w:p w:rsidR="00000000" w:rsidRPr="001B2208" w:rsidP="001B2208">
            <w:pPr>
              <w:pStyle w:val="ListBullet3"/>
            </w:pPr>
            <w:r w:rsidRPr="001B2208">
              <w:t>Environmental legislation</w:t>
            </w:r>
          </w:p>
          <w:p w:rsidR="00000000" w:rsidRPr="001B2208" w:rsidP="001B2208">
            <w:pPr>
              <w:pStyle w:val="ListBullet3"/>
            </w:pPr>
            <w:r w:rsidRPr="001B2208">
              <w:t>Environmental management documentation</w:t>
            </w:r>
          </w:p>
          <w:p w:rsidR="00000000" w:rsidRPr="001B2208" w:rsidP="001B2208">
            <w:pPr>
              <w:pStyle w:val="ListBullet3"/>
            </w:pPr>
            <w:r w:rsidRPr="001B2208">
              <w:t>Established procedures</w:t>
            </w:r>
          </w:p>
          <w:p w:rsidR="00000000" w:rsidRPr="001B2208" w:rsidP="001B2208">
            <w:pPr>
              <w:pStyle w:val="ListBullet3"/>
            </w:pPr>
            <w:r w:rsidRPr="001B2208">
              <w:t>Fall prevention</w:t>
            </w:r>
          </w:p>
          <w:p w:rsidR="00000000" w:rsidRPr="001B2208" w:rsidP="001B2208">
            <w:pPr>
              <w:pStyle w:val="ListBullet3"/>
            </w:pPr>
            <w:r w:rsidRPr="001B2208">
              <w:t>Hazards</w:t>
            </w:r>
          </w:p>
          <w:p w:rsidR="00000000" w:rsidRPr="001B2208" w:rsidP="001B2208">
            <w:pPr>
              <w:pStyle w:val="ListBullet3"/>
            </w:pPr>
            <w:r w:rsidRPr="001B2208">
              <w:t>Identifying hazards</w:t>
            </w:r>
          </w:p>
          <w:p w:rsidR="00000000" w:rsidRPr="001B2208" w:rsidP="001B2208">
            <w:pPr>
              <w:pStyle w:val="ListBullet3"/>
            </w:pPr>
            <w:r w:rsidRPr="001B2208">
              <w:t>Inspect</w:t>
            </w:r>
          </w:p>
          <w:p w:rsidR="00000000" w:rsidRPr="001B2208" w:rsidP="001B2208">
            <w:pPr>
              <w:pStyle w:val="ListBullet3"/>
            </w:pPr>
            <w:r w:rsidRPr="001B2208">
              <w:t>Legislation</w:t>
            </w:r>
          </w:p>
          <w:p w:rsidR="00000000" w:rsidRPr="001B2208" w:rsidP="001B2208">
            <w:pPr>
              <w:pStyle w:val="ListBullet3"/>
            </w:pPr>
            <w:r w:rsidRPr="001B2208">
              <w:t>MSDS</w:t>
            </w:r>
          </w:p>
          <w:p w:rsidR="00000000" w:rsidRPr="001B2208" w:rsidP="001B2208">
            <w:pPr>
              <w:pStyle w:val="ListBullet3"/>
            </w:pPr>
            <w:r w:rsidRPr="001B2208">
              <w:t>Notification</w:t>
            </w:r>
          </w:p>
          <w:p w:rsidR="00000000" w:rsidRPr="001B2208" w:rsidP="001B2208">
            <w:pPr>
              <w:pStyle w:val="ListBullet3"/>
            </w:pPr>
            <w:r w:rsidRPr="001B2208">
              <w:t>OHS practices</w:t>
            </w:r>
          </w:p>
          <w:p w:rsidR="00000000" w:rsidRPr="001B2208" w:rsidP="001B2208">
            <w:pPr>
              <w:pStyle w:val="ListBullet3"/>
            </w:pPr>
            <w:r w:rsidRPr="001B2208">
              <w:t>OHS issues</w:t>
            </w:r>
          </w:p>
          <w:p w:rsidR="00000000" w:rsidRPr="001B2208" w:rsidP="001B2208">
            <w:pPr>
              <w:pStyle w:val="ListBullet3"/>
            </w:pPr>
            <w:r w:rsidRPr="001B2208">
              <w:t>Permits and/or permits to work</w:t>
            </w:r>
          </w:p>
          <w:p w:rsidR="00000000" w:rsidRPr="001B2208" w:rsidP="001B2208">
            <w:pPr>
              <w:pStyle w:val="ListBullet3"/>
            </w:pPr>
            <w:r w:rsidRPr="001B2208">
              <w:t>Personnel</w:t>
            </w:r>
          </w:p>
          <w:p w:rsidR="00000000" w:rsidRPr="001B2208" w:rsidP="001B2208">
            <w:pPr>
              <w:pStyle w:val="ListBullet3"/>
            </w:pPr>
            <w:r w:rsidRPr="001B2208">
              <w:t>Quality assurance systems</w:t>
            </w:r>
          </w:p>
          <w:p w:rsidR="00000000" w:rsidRPr="001B2208" w:rsidP="001B2208">
            <w:pPr>
              <w:pStyle w:val="ListBullet3"/>
            </w:pPr>
            <w:r w:rsidRPr="001B2208">
              <w:t>Requirements.</w:t>
            </w:r>
          </w:p>
          <w:p w:rsidR="00000000" w:rsidRPr="001B2208" w:rsidP="001B2208">
            <w:pPr>
              <w:pStyle w:val="ListBullet3"/>
            </w:pPr>
            <w:r w:rsidRPr="001B2208">
              <w:t>Testing procedures</w:t>
            </w:r>
          </w:p>
          <w:p w:rsidR="00000000" w:rsidRPr="001B2208" w:rsidP="001B2208">
            <w:pPr>
              <w:pStyle w:val="ListBullet3"/>
            </w:pPr>
            <w:r w:rsidRPr="001B2208">
              <w:t>Work clearance systems</w:t>
            </w:r>
          </w:p>
        </w:tc>
      </w:tr>
    </w:tbl>
    <w:p w:rsidR="00000000" w:rsidRPr="001B2208" w:rsidP="001B2208">
      <w:pPr>
        <w:pStyle w:val="BodyText"/>
      </w:pPr>
    </w:p>
    <w:p w:rsidR="00000000" w:rsidRPr="001B2208" w:rsidP="001B2208">
      <w:pPr>
        <w:pStyle w:val="AllowPageBreak"/>
      </w:pPr>
    </w:p>
    <w:p w:rsidR="00000000" w:rsidRPr="001B2208" w:rsidP="001B2208">
      <w:pPr>
        <w:pStyle w:val="Heading1"/>
      </w:pPr>
      <w:bookmarkStart w:id="12" w:name="O_465514"/>
      <w:bookmarkEnd w:id="12"/>
      <w:r w:rsidRPr="001B2208">
        <w:t>Unit Sector(s)</w:t>
      </w:r>
    </w:p>
    <w:p w:rsidR="00000000" w:rsidRPr="001B2208" w:rsidP="001B2208">
      <w:pPr>
        <w:pStyle w:val="BodyText"/>
      </w:pPr>
      <w:r w:rsidRPr="001B2208">
        <w:t>Not applicable.</w:t>
      </w:r>
    </w:p>
    <w:p w:rsidR="00000000" w:rsidRPr="001B2208" w:rsidP="001B2208">
      <w:pPr>
        <w:pStyle w:val="AllowPageBreak"/>
      </w:pPr>
    </w:p>
    <w:p w:rsidR="00000000" w:rsidRPr="001B2208" w:rsidP="001B2208">
      <w:pPr>
        <w:pStyle w:val="Heading1"/>
      </w:pPr>
      <w:bookmarkStart w:id="13" w:name="O_465503"/>
      <w:bookmarkEnd w:id="13"/>
      <w:r w:rsidRPr="001B2208">
        <w:t>Competency Field</w:t>
      </w:r>
    </w:p>
    <w:tbl>
      <w:tblPr>
        <w:tblW w:w="0" w:type="auto"/>
        <w:tblLayout w:type="fixed"/>
        <w:tblCellMar>
          <w:left w:w="62" w:type="dxa"/>
          <w:right w:w="62" w:type="dxa"/>
        </w:tblCellMar>
        <w:tblLook w:val="0000"/>
      </w:tblPr>
      <w:tblGrid>
        <w:gridCol w:w="2700"/>
        <w:gridCol w:w="5760"/>
      </w:tblGrid>
      <w:tr w:rsidTr="00EB2F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2208">
            <w:pPr>
              <w:pStyle w:val="BodyText"/>
              <w:rPr>
                <w:lang w:val="en-NZ"/>
              </w:rPr>
            </w:pPr>
            <w:r w:rsidRPr="001B2208">
              <w:rPr>
                <w:rStyle w:val="SpecialBold"/>
              </w:rPr>
              <w:t xml:space="preserve">11) </w:t>
            </w:r>
          </w:p>
        </w:tc>
      </w:tr>
      <w:tr w:rsidTr="00EB2F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2208" w:rsidP="001B2208">
            <w:pPr>
              <w:pStyle w:val="BodyText"/>
            </w:pPr>
            <w:r w:rsidRPr="001B2208">
              <w:t>Distribution</w:t>
            </w:r>
          </w:p>
        </w:tc>
      </w:tr>
    </w:tbl>
    <w:p w:rsidR="00000000" w:rsidRPr="001B2208" w:rsidP="001B2208">
      <w:pPr>
        <w:pStyle w:val="BodyText"/>
      </w:pPr>
    </w:p>
    <w:p w:rsidR="00000000" w:rsidRPr="001B2208" w:rsidP="001B2208"/>
    <w:sectPr w:rsidSect="001B2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F26" w:rsidP="00EB2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26" w:rsidP="001B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B2F26" w:rsidP="001B2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B2F26" w:rsidP="001B2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F26" w:rsidP="00EB2F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26" w:rsidP="001B2208">
    <w:pPr>
      <w:pStyle w:val="Header"/>
      <w:framePr w:wrap="around"/>
    </w:pPr>
    <w:r>
      <w:fldChar w:fldCharType="begin"/>
    </w:r>
    <w:r>
      <w:instrText xml:space="preserve"> TITLE   \* MERGEFORMAT </w:instrText>
    </w:r>
    <w:r>
      <w:fldChar w:fldCharType="separate"/>
    </w:r>
    <w:r>
      <w:t>UETTDRDP12A Maintain overhead energised low voltage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2F26" w:rsidP="001B22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67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AC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4E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2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2208"/>
    <w:pPr>
      <w:spacing w:before="360" w:after="60"/>
      <w:outlineLvl w:val="0"/>
    </w:pPr>
    <w:rPr>
      <w:sz w:val="32"/>
    </w:rPr>
  </w:style>
  <w:style w:type="paragraph" w:styleId="Heading2">
    <w:name w:val="heading 2"/>
    <w:basedOn w:val="HeadingBase"/>
    <w:next w:val="BodyText"/>
    <w:link w:val="Heading2Char"/>
    <w:qFormat/>
    <w:rsid w:val="001B2208"/>
    <w:pPr>
      <w:keepLines/>
      <w:spacing w:before="240" w:after="120"/>
      <w:outlineLvl w:val="1"/>
    </w:pPr>
    <w:rPr>
      <w:sz w:val="28"/>
      <w:szCs w:val="40"/>
    </w:rPr>
  </w:style>
  <w:style w:type="paragraph" w:styleId="Heading3">
    <w:name w:val="heading 3"/>
    <w:basedOn w:val="HeadingBase"/>
    <w:next w:val="BodyText"/>
    <w:link w:val="Heading3Char"/>
    <w:qFormat/>
    <w:rsid w:val="001B2208"/>
    <w:pPr>
      <w:spacing w:before="180" w:after="120"/>
      <w:outlineLvl w:val="2"/>
    </w:pPr>
    <w:rPr>
      <w:spacing w:val="-10"/>
      <w:kern w:val="32"/>
    </w:rPr>
  </w:style>
  <w:style w:type="paragraph" w:styleId="Heading4">
    <w:name w:val="heading 4"/>
    <w:basedOn w:val="HeadingBase"/>
    <w:next w:val="BodyText"/>
    <w:link w:val="Heading4Char"/>
    <w:qFormat/>
    <w:rsid w:val="001B2208"/>
    <w:pPr>
      <w:spacing w:before="160" w:after="120"/>
      <w:outlineLvl w:val="3"/>
    </w:pPr>
    <w:rPr>
      <w:sz w:val="22"/>
    </w:rPr>
  </w:style>
  <w:style w:type="paragraph" w:styleId="Heading5">
    <w:name w:val="heading 5"/>
    <w:basedOn w:val="HeadingBase"/>
    <w:next w:val="Normal"/>
    <w:link w:val="Heading5Char"/>
    <w:qFormat/>
    <w:rsid w:val="001B2208"/>
    <w:pPr>
      <w:spacing w:before="80"/>
      <w:outlineLvl w:val="4"/>
    </w:pPr>
    <w:rPr>
      <w:color w:val="918585"/>
      <w:sz w:val="20"/>
    </w:rPr>
  </w:style>
  <w:style w:type="paragraph" w:styleId="Heading6">
    <w:name w:val="heading 6"/>
    <w:basedOn w:val="HeadingBase"/>
    <w:next w:val="Normal"/>
    <w:link w:val="Heading6Char"/>
    <w:qFormat/>
    <w:rsid w:val="001B2208"/>
    <w:pPr>
      <w:spacing w:before="60"/>
      <w:outlineLvl w:val="5"/>
    </w:pPr>
    <w:rPr>
      <w:color w:val="918585"/>
      <w:sz w:val="20"/>
    </w:rPr>
  </w:style>
  <w:style w:type="paragraph" w:styleId="Heading7">
    <w:name w:val="heading 7"/>
    <w:basedOn w:val="Normal"/>
    <w:next w:val="Normal"/>
    <w:link w:val="Heading7Char"/>
    <w:qFormat/>
    <w:rsid w:val="001B2208"/>
    <w:pPr>
      <w:ind w:left="720"/>
      <w:outlineLvl w:val="6"/>
    </w:pPr>
    <w:rPr>
      <w:i/>
    </w:rPr>
  </w:style>
  <w:style w:type="paragraph" w:styleId="Heading8">
    <w:name w:val="heading 8"/>
    <w:basedOn w:val="Normal"/>
    <w:next w:val="Normal"/>
    <w:link w:val="Heading8Char"/>
    <w:qFormat/>
    <w:rsid w:val="001B2208"/>
    <w:pPr>
      <w:ind w:left="720"/>
      <w:outlineLvl w:val="7"/>
    </w:pPr>
    <w:rPr>
      <w:i/>
    </w:rPr>
  </w:style>
  <w:style w:type="paragraph" w:styleId="Heading9">
    <w:name w:val="heading 9"/>
    <w:basedOn w:val="Normal"/>
    <w:next w:val="Normal"/>
    <w:link w:val="Heading9Char"/>
    <w:qFormat/>
    <w:rsid w:val="001B2208"/>
    <w:pPr>
      <w:ind w:left="720"/>
      <w:outlineLvl w:val="8"/>
    </w:pPr>
    <w:rPr>
      <w:i/>
    </w:rPr>
  </w:style>
  <w:style w:type="character" w:default="1" w:styleId="DefaultParagraphFont">
    <w:name w:val="Default Paragraph Font"/>
    <w:uiPriority w:val="1"/>
    <w:unhideWhenUsed/>
    <w:rsid w:val="001B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208"/>
  </w:style>
  <w:style w:type="character" w:customStyle="1" w:styleId="Heading1Char">
    <w:name w:val="Heading 1 Char"/>
    <w:link w:val="Heading1"/>
    <w:rsid w:val="001B2208"/>
    <w:rPr>
      <w:rFonts w:ascii="Times New Roman" w:eastAsia="Times New Roman" w:hAnsi="Times New Roman" w:cs="Times New Roman"/>
      <w:b/>
      <w:sz w:val="32"/>
      <w:szCs w:val="20"/>
      <w:lang w:eastAsia="en-US"/>
    </w:rPr>
  </w:style>
  <w:style w:type="paragraph" w:styleId="BodyText">
    <w:name w:val="Body Text"/>
    <w:basedOn w:val="Normal"/>
    <w:link w:val="BodyTextChar"/>
    <w:rsid w:val="001B2208"/>
    <w:pPr>
      <w:spacing w:before="120" w:after="120"/>
      <w:contextualSpacing/>
    </w:pPr>
    <w:rPr>
      <w:rFonts w:ascii="Times New Roman" w:hAnsi="Times New Roman"/>
      <w:sz w:val="24"/>
      <w:szCs w:val="22"/>
    </w:rPr>
  </w:style>
  <w:style w:type="character" w:customStyle="1" w:styleId="BodyTextChar">
    <w:name w:val="Body Text Char"/>
    <w:link w:val="BodyText"/>
    <w:rsid w:val="001B2208"/>
    <w:rPr>
      <w:rFonts w:ascii="Times New Roman" w:eastAsia="Times New Roman" w:hAnsi="Times New Roman" w:cs="Times New Roman"/>
      <w:sz w:val="24"/>
      <w:lang w:val="en-US" w:eastAsia="en-US"/>
    </w:rPr>
  </w:style>
  <w:style w:type="paragraph" w:styleId="Footer">
    <w:name w:val="footer"/>
    <w:basedOn w:val="Normal"/>
    <w:link w:val="FooterChar"/>
    <w:rsid w:val="001B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2208"/>
    <w:rPr>
      <w:rFonts w:ascii="Times New Roman" w:eastAsia="Times New Roman" w:hAnsi="Times New Roman" w:cs="Times New Roman"/>
      <w:sz w:val="16"/>
      <w:lang w:val="en-US" w:eastAsia="en-US"/>
    </w:rPr>
  </w:style>
  <w:style w:type="paragraph" w:styleId="ListBullet">
    <w:name w:val="List Bullet"/>
    <w:basedOn w:val="List"/>
    <w:rsid w:val="001B2208"/>
    <w:pPr>
      <w:numPr>
        <w:numId w:val="14"/>
      </w:numPr>
      <w:tabs>
        <w:tab w:val="clear" w:pos="340"/>
      </w:tabs>
      <w:spacing w:before="40" w:after="40"/>
    </w:pPr>
  </w:style>
  <w:style w:type="character" w:customStyle="1" w:styleId="SpecialBold">
    <w:name w:val="Special Bold"/>
    <w:rsid w:val="001B2208"/>
    <w:rPr>
      <w:b/>
      <w:spacing w:val="0"/>
    </w:rPr>
  </w:style>
  <w:style w:type="paragraph" w:styleId="ListBullet2">
    <w:name w:val="List Bullet 2"/>
    <w:basedOn w:val="List2"/>
    <w:rsid w:val="001B2208"/>
    <w:pPr>
      <w:numPr>
        <w:numId w:val="15"/>
      </w:numPr>
      <w:tabs>
        <w:tab w:val="clear" w:pos="680"/>
      </w:tabs>
    </w:pPr>
  </w:style>
  <w:style w:type="paragraph" w:styleId="Header">
    <w:name w:val="header"/>
    <w:basedOn w:val="Normal"/>
    <w:link w:val="HeaderChar"/>
    <w:rsid w:val="001B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22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2208"/>
    <w:pPr>
      <w:spacing w:before="240" w:after="120"/>
      <w:outlineLvl w:val="0"/>
    </w:pPr>
    <w:rPr>
      <w:rFonts w:ascii="Times New Roman" w:hAnsi="Times New Roman"/>
      <w:b/>
      <w:sz w:val="28"/>
    </w:rPr>
  </w:style>
  <w:style w:type="paragraph" w:customStyle="1" w:styleId="AllowPageBreak">
    <w:name w:val="AllowPageBreak"/>
    <w:rsid w:val="001B22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2208"/>
    <w:pPr>
      <w:numPr>
        <w:numId w:val="3"/>
      </w:numPr>
      <w:tabs>
        <w:tab w:val="clear" w:pos="1021"/>
      </w:tabs>
      <w:ind w:left="1037" w:hanging="357"/>
    </w:pPr>
  </w:style>
  <w:style w:type="character" w:customStyle="1" w:styleId="Heading2Char">
    <w:name w:val="Heading 2 Char"/>
    <w:link w:val="Heading2"/>
    <w:rsid w:val="001B2208"/>
    <w:rPr>
      <w:rFonts w:ascii="Times New Roman" w:eastAsia="Times New Roman" w:hAnsi="Times New Roman" w:cs="Times New Roman"/>
      <w:b/>
      <w:sz w:val="28"/>
      <w:szCs w:val="40"/>
      <w:lang w:eastAsia="en-US"/>
    </w:rPr>
  </w:style>
  <w:style w:type="character" w:customStyle="1" w:styleId="Heading3Char">
    <w:name w:val="Heading 3 Char"/>
    <w:link w:val="Heading3"/>
    <w:rsid w:val="001B22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2208"/>
    <w:rPr>
      <w:rFonts w:ascii="Times New Roman" w:eastAsia="Times New Roman" w:hAnsi="Times New Roman" w:cs="Times New Roman"/>
      <w:b/>
      <w:szCs w:val="20"/>
      <w:lang w:eastAsia="en-US"/>
    </w:rPr>
  </w:style>
  <w:style w:type="character" w:customStyle="1" w:styleId="Heading5Char">
    <w:name w:val="Heading 5 Char"/>
    <w:link w:val="Heading5"/>
    <w:rsid w:val="001B22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2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22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2208"/>
    <w:rPr>
      <w:rFonts w:ascii="Courier New" w:eastAsia="Times New Roman" w:hAnsi="Courier New" w:cs="Times New Roman"/>
      <w:i/>
      <w:szCs w:val="20"/>
      <w:lang w:val="en-US" w:eastAsia="en-US"/>
    </w:rPr>
  </w:style>
  <w:style w:type="paragraph" w:customStyle="1" w:styleId="HeadingBase">
    <w:name w:val="Heading Base"/>
    <w:rsid w:val="001B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208"/>
    <w:pPr>
      <w:tabs>
        <w:tab w:val="right" w:leader="dot" w:pos="9072"/>
      </w:tabs>
      <w:ind w:left="567"/>
    </w:pPr>
    <w:rPr>
      <w:szCs w:val="22"/>
    </w:rPr>
  </w:style>
  <w:style w:type="paragraph" w:customStyle="1" w:styleId="TOCBase">
    <w:name w:val="TOC Base"/>
    <w:rsid w:val="001B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208"/>
    <w:pPr>
      <w:tabs>
        <w:tab w:val="right" w:leader="dot" w:pos="9072"/>
      </w:tabs>
      <w:spacing w:before="40" w:after="40"/>
      <w:ind w:left="284"/>
    </w:pPr>
    <w:rPr>
      <w:rFonts w:ascii="Times New Roman" w:hAnsi="Times New Roman"/>
    </w:rPr>
  </w:style>
  <w:style w:type="paragraph" w:styleId="TOC1">
    <w:name w:val="toc 1"/>
    <w:basedOn w:val="TOCBase"/>
    <w:next w:val="Normal"/>
    <w:rsid w:val="001B2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2208"/>
    <w:pPr>
      <w:spacing w:before="5040"/>
      <w:jc w:val="center"/>
    </w:pPr>
    <w:rPr>
      <w:sz w:val="48"/>
      <w:szCs w:val="72"/>
      <w:lang w:val="en-US"/>
    </w:rPr>
  </w:style>
  <w:style w:type="character" w:customStyle="1" w:styleId="TitleChar">
    <w:name w:val="Title Char"/>
    <w:link w:val="Title"/>
    <w:rsid w:val="001B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208"/>
    <w:pPr>
      <w:tabs>
        <w:tab w:val="left" w:pos="3600"/>
        <w:tab w:val="left" w:pos="3958"/>
      </w:tabs>
    </w:pPr>
  </w:style>
  <w:style w:type="paragraph" w:styleId="List">
    <w:name w:val="List"/>
    <w:basedOn w:val="BodyText"/>
    <w:next w:val="BodyText"/>
    <w:rsid w:val="001B2208"/>
    <w:pPr>
      <w:tabs>
        <w:tab w:val="left" w:pos="340"/>
      </w:tabs>
      <w:spacing w:before="60" w:after="60"/>
      <w:ind w:left="340" w:hanging="340"/>
    </w:pPr>
  </w:style>
  <w:style w:type="paragraph" w:customStyle="1" w:styleId="Note">
    <w:name w:val="Note"/>
    <w:basedOn w:val="BodyText"/>
    <w:rsid w:val="001B2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208"/>
    <w:pPr>
      <w:framePr w:wrap="auto" w:hAnchor="text" w:y="6049"/>
    </w:pPr>
    <w:rPr>
      <w:color w:val="000000"/>
      <w:sz w:val="40"/>
    </w:rPr>
  </w:style>
  <w:style w:type="paragraph" w:customStyle="1" w:styleId="TOCTitle">
    <w:name w:val="TOCTitle"/>
    <w:basedOn w:val="Heading1"/>
    <w:rsid w:val="001B2208"/>
    <w:pPr>
      <w:spacing w:after="240"/>
      <w:jc w:val="center"/>
      <w:outlineLvl w:val="9"/>
    </w:pPr>
    <w:rPr>
      <w:caps/>
    </w:rPr>
  </w:style>
  <w:style w:type="paragraph" w:customStyle="1" w:styleId="Version">
    <w:name w:val="Version"/>
    <w:rsid w:val="001B2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208"/>
    <w:pPr>
      <w:keepNext w:val="0"/>
      <w:tabs>
        <w:tab w:val="right" w:pos="4176"/>
      </w:tabs>
      <w:ind w:left="198" w:hanging="198"/>
    </w:pPr>
    <w:rPr>
      <w:rFonts w:ascii="Garamond" w:hAnsi="Garamond"/>
    </w:rPr>
  </w:style>
  <w:style w:type="paragraph" w:styleId="IndexHeading">
    <w:name w:val="index heading"/>
    <w:basedOn w:val="Normal"/>
    <w:next w:val="Index1"/>
    <w:semiHidden/>
    <w:rsid w:val="001B2208"/>
    <w:pPr>
      <w:spacing w:before="120" w:after="120"/>
    </w:pPr>
    <w:rPr>
      <w:rFonts w:ascii="Arial" w:hAnsi="Arial"/>
      <w:b/>
      <w:color w:val="918585"/>
      <w:sz w:val="24"/>
    </w:rPr>
  </w:style>
  <w:style w:type="paragraph" w:customStyle="1" w:styleId="Chapter">
    <w:name w:val="Chapter"/>
    <w:basedOn w:val="Normal"/>
    <w:rsid w:val="001B2208"/>
    <w:pPr>
      <w:spacing w:before="240"/>
    </w:pPr>
    <w:rPr>
      <w:rFonts w:ascii="Times New Roman" w:hAnsi="Times New Roman"/>
      <w:smallCaps/>
      <w:spacing w:val="80"/>
      <w:sz w:val="28"/>
    </w:rPr>
  </w:style>
  <w:style w:type="paragraph" w:customStyle="1" w:styleId="InChapter">
    <w:name w:val="InChapter"/>
    <w:basedOn w:val="Heading3"/>
    <w:rsid w:val="001B2208"/>
    <w:pPr>
      <w:spacing w:after="240"/>
      <w:outlineLvl w:val="9"/>
    </w:pPr>
    <w:rPr>
      <w:noProof/>
    </w:rPr>
  </w:style>
  <w:style w:type="paragraph" w:styleId="Index2">
    <w:name w:val="index 2"/>
    <w:basedOn w:val="Normal"/>
    <w:next w:val="Normal"/>
    <w:semiHidden/>
    <w:rsid w:val="001B2208"/>
    <w:pPr>
      <w:tabs>
        <w:tab w:val="right" w:pos="4176"/>
      </w:tabs>
      <w:ind w:left="568" w:hanging="284"/>
    </w:pPr>
    <w:rPr>
      <w:rFonts w:ascii="Garamond" w:hAnsi="Garamond"/>
    </w:rPr>
  </w:style>
  <w:style w:type="paragraph" w:customStyle="1" w:styleId="Byline">
    <w:name w:val="Byline"/>
    <w:rsid w:val="001B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208"/>
    <w:pPr>
      <w:tabs>
        <w:tab w:val="clear" w:pos="3600"/>
        <w:tab w:val="clear" w:pos="3958"/>
      </w:tabs>
      <w:jc w:val="right"/>
    </w:pPr>
  </w:style>
  <w:style w:type="character" w:styleId="Emphasis">
    <w:name w:val="Emphasis"/>
    <w:qFormat/>
    <w:rsid w:val="001B2208"/>
    <w:rPr>
      <w:i/>
    </w:rPr>
  </w:style>
  <w:style w:type="paragraph" w:styleId="Caption">
    <w:name w:val="caption"/>
    <w:basedOn w:val="BodyText"/>
    <w:next w:val="Normal"/>
    <w:qFormat/>
    <w:rsid w:val="001B2208"/>
    <w:pPr>
      <w:framePr w:w="2268" w:hSpace="181" w:vSpace="181" w:wrap="around" w:vAnchor="text" w:hAnchor="page" w:x="1135" w:y="285" w:anchorLock="1"/>
    </w:pPr>
    <w:rPr>
      <w:i/>
    </w:rPr>
  </w:style>
  <w:style w:type="paragraph" w:customStyle="1" w:styleId="MiniTOCTitle">
    <w:name w:val="MiniTOCTitle"/>
    <w:basedOn w:val="Heading4"/>
    <w:rsid w:val="001B2208"/>
    <w:pPr>
      <w:spacing w:before="240"/>
      <w:outlineLvl w:val="9"/>
    </w:pPr>
    <w:rPr>
      <w:noProof/>
      <w:sz w:val="24"/>
    </w:rPr>
  </w:style>
  <w:style w:type="paragraph" w:customStyle="1" w:styleId="MiniTOCItem">
    <w:name w:val="MiniTOCItem"/>
    <w:basedOn w:val="ListBullet"/>
    <w:rsid w:val="001B2208"/>
    <w:pPr>
      <w:numPr>
        <w:numId w:val="0"/>
      </w:numPr>
      <w:tabs>
        <w:tab w:val="right" w:leader="dot" w:pos="6521"/>
      </w:tabs>
      <w:spacing w:before="0" w:after="0"/>
    </w:pPr>
  </w:style>
  <w:style w:type="paragraph" w:customStyle="1" w:styleId="TOFTitle">
    <w:name w:val="TOFTitle"/>
    <w:basedOn w:val="TOCTitle"/>
    <w:rsid w:val="001B2208"/>
  </w:style>
  <w:style w:type="paragraph" w:styleId="TableofFigures">
    <w:name w:val="table of figures"/>
    <w:basedOn w:val="Normal"/>
    <w:next w:val="Normal"/>
    <w:semiHidden/>
    <w:rsid w:val="001B2208"/>
    <w:pPr>
      <w:tabs>
        <w:tab w:val="right" w:leader="dot" w:pos="9072"/>
      </w:tabs>
      <w:ind w:left="970" w:hanging="403"/>
    </w:pPr>
    <w:rPr>
      <w:rFonts w:ascii="Times New Roman" w:hAnsi="Times New Roman"/>
      <w:b/>
    </w:rPr>
  </w:style>
  <w:style w:type="paragraph" w:styleId="ListNumber">
    <w:name w:val="List Number"/>
    <w:basedOn w:val="List"/>
    <w:rsid w:val="001B2208"/>
    <w:pPr>
      <w:numPr>
        <w:numId w:val="12"/>
      </w:numPr>
    </w:pPr>
  </w:style>
  <w:style w:type="character" w:customStyle="1" w:styleId="WingdingSymbols">
    <w:name w:val="Wingding Symbols"/>
    <w:rsid w:val="001B2208"/>
    <w:rPr>
      <w:rFonts w:ascii="Wingdings" w:hAnsi="Wingdings"/>
    </w:rPr>
  </w:style>
  <w:style w:type="paragraph" w:customStyle="1" w:styleId="TableHeading">
    <w:name w:val="Table Heading"/>
    <w:basedOn w:val="HeadingBase"/>
    <w:rsid w:val="001B2208"/>
    <w:pPr>
      <w:keepLines/>
      <w:pBdr>
        <w:bottom w:val="single" w:sz="6" w:space="1" w:color="918585"/>
      </w:pBdr>
      <w:spacing w:before="240"/>
    </w:pPr>
  </w:style>
  <w:style w:type="character" w:customStyle="1" w:styleId="HotSpot">
    <w:name w:val="HotSpot"/>
    <w:rsid w:val="001B2208"/>
    <w:rPr>
      <w:color w:val="0033CC"/>
      <w:u w:val="none"/>
    </w:rPr>
  </w:style>
  <w:style w:type="paragraph" w:customStyle="1" w:styleId="BodyTextRight">
    <w:name w:val="Body Text Right"/>
    <w:basedOn w:val="BodyText"/>
    <w:rsid w:val="001B2208"/>
    <w:pPr>
      <w:spacing w:before="0" w:after="0"/>
      <w:jc w:val="right"/>
    </w:pPr>
  </w:style>
  <w:style w:type="paragraph" w:styleId="Index3">
    <w:name w:val="index 3"/>
    <w:basedOn w:val="ListNumber2"/>
    <w:next w:val="Normal"/>
    <w:semiHidden/>
    <w:rsid w:val="001B2208"/>
    <w:pPr>
      <w:numPr>
        <w:numId w:val="0"/>
      </w:numPr>
      <w:tabs>
        <w:tab w:val="right" w:leader="dot" w:pos="4176"/>
      </w:tabs>
    </w:pPr>
  </w:style>
  <w:style w:type="paragraph" w:styleId="ListNumber2">
    <w:name w:val="List Number 2"/>
    <w:basedOn w:val="List2"/>
    <w:rsid w:val="001B2208"/>
    <w:pPr>
      <w:numPr>
        <w:numId w:val="11"/>
      </w:numPr>
      <w:tabs>
        <w:tab w:val="clear" w:pos="1060"/>
      </w:tabs>
    </w:pPr>
  </w:style>
  <w:style w:type="paragraph" w:customStyle="1" w:styleId="MarginNote">
    <w:name w:val="Margin Note"/>
    <w:basedOn w:val="BodyText"/>
    <w:rsid w:val="001B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22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2208"/>
    <w:rPr>
      <w:sz w:val="32"/>
    </w:rPr>
  </w:style>
  <w:style w:type="paragraph" w:customStyle="1" w:styleId="HeadingProcedure">
    <w:name w:val="Heading Procedure"/>
    <w:basedOn w:val="HeadingBase"/>
    <w:next w:val="Normal"/>
    <w:rsid w:val="001B2208"/>
    <w:pPr>
      <w:tabs>
        <w:tab w:val="left" w:pos="0"/>
      </w:tabs>
      <w:spacing w:before="120" w:after="60"/>
    </w:pPr>
    <w:rPr>
      <w:i/>
      <w:color w:val="918585"/>
      <w:sz w:val="22"/>
    </w:rPr>
  </w:style>
  <w:style w:type="paragraph" w:customStyle="1" w:styleId="TableBodyText">
    <w:name w:val="Table Body Text"/>
    <w:basedOn w:val="BodyText"/>
    <w:rsid w:val="001B2208"/>
    <w:pPr>
      <w:spacing w:before="60" w:after="60"/>
    </w:pPr>
  </w:style>
  <w:style w:type="paragraph" w:styleId="ListContinue">
    <w:name w:val="List Continue"/>
    <w:basedOn w:val="List"/>
    <w:rsid w:val="001B2208"/>
    <w:pPr>
      <w:ind w:firstLine="0"/>
    </w:pPr>
  </w:style>
  <w:style w:type="paragraph" w:customStyle="1" w:styleId="ListNote">
    <w:name w:val="List Note"/>
    <w:basedOn w:val="List"/>
    <w:rsid w:val="001B2208"/>
    <w:pPr>
      <w:pBdr>
        <w:top w:val="single" w:sz="6" w:space="2" w:color="918585"/>
        <w:bottom w:val="single" w:sz="6" w:space="2" w:color="918585"/>
      </w:pBdr>
      <w:tabs>
        <w:tab w:val="left" w:pos="1021"/>
      </w:tabs>
      <w:ind w:firstLine="0"/>
    </w:pPr>
  </w:style>
  <w:style w:type="paragraph" w:customStyle="1" w:styleId="Warning">
    <w:name w:val="Warning"/>
    <w:basedOn w:val="BodyText"/>
    <w:rsid w:val="001B2208"/>
    <w:pPr>
      <w:shd w:val="clear" w:color="auto" w:fill="D9D9D9"/>
      <w:tabs>
        <w:tab w:val="left" w:pos="992"/>
      </w:tabs>
      <w:ind w:left="119" w:right="119"/>
    </w:pPr>
    <w:rPr>
      <w:sz w:val="20"/>
    </w:rPr>
  </w:style>
  <w:style w:type="paragraph" w:customStyle="1" w:styleId="MarginIcons">
    <w:name w:val="Margin Icons"/>
    <w:basedOn w:val="BodyText"/>
    <w:rsid w:val="001B22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2208"/>
    <w:rPr>
      <w:rFonts w:ascii="Courier New" w:hAnsi="Courier New"/>
    </w:rPr>
  </w:style>
  <w:style w:type="paragraph" w:customStyle="1" w:styleId="NoteBullet">
    <w:name w:val="Note Bullet"/>
    <w:basedOn w:val="Note"/>
    <w:rsid w:val="001B2208"/>
    <w:pPr>
      <w:tabs>
        <w:tab w:val="clear" w:pos="680"/>
      </w:tabs>
      <w:spacing w:before="60" w:after="60"/>
    </w:pPr>
  </w:style>
  <w:style w:type="paragraph" w:customStyle="1" w:styleId="SubHeading2">
    <w:name w:val="SubHeading2"/>
    <w:basedOn w:val="HeadingBase"/>
    <w:rsid w:val="001B2208"/>
    <w:pPr>
      <w:spacing w:before="240" w:after="60"/>
    </w:pPr>
    <w:rPr>
      <w:sz w:val="20"/>
    </w:rPr>
  </w:style>
  <w:style w:type="paragraph" w:customStyle="1" w:styleId="SubHeading1">
    <w:name w:val="SubHeading1"/>
    <w:basedOn w:val="HeadingBase"/>
    <w:rsid w:val="001B2208"/>
    <w:pPr>
      <w:spacing w:before="240" w:after="60"/>
    </w:pPr>
    <w:rPr>
      <w:color w:val="918585"/>
      <w:sz w:val="22"/>
    </w:rPr>
  </w:style>
  <w:style w:type="paragraph" w:customStyle="1" w:styleId="SideHeading">
    <w:name w:val="Side Heading"/>
    <w:basedOn w:val="HeadingBase"/>
    <w:rsid w:val="001B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208"/>
    <w:pPr>
      <w:numPr>
        <w:numId w:val="13"/>
      </w:numPr>
    </w:pPr>
  </w:style>
  <w:style w:type="paragraph" w:styleId="PlainText">
    <w:name w:val="Plain Text"/>
    <w:basedOn w:val="Normal"/>
    <w:link w:val="PlainTextChar"/>
    <w:rsid w:val="001B2208"/>
    <w:rPr>
      <w:sz w:val="20"/>
    </w:rPr>
  </w:style>
  <w:style w:type="character" w:customStyle="1" w:styleId="PlainTextChar">
    <w:name w:val="Plain Text Char"/>
    <w:basedOn w:val="DefaultParagraphFont"/>
    <w:link w:val="PlainText"/>
    <w:rsid w:val="001B2208"/>
    <w:rPr>
      <w:rFonts w:ascii="Courier New" w:eastAsia="Times New Roman" w:hAnsi="Courier New" w:cs="Times New Roman"/>
      <w:sz w:val="20"/>
      <w:szCs w:val="20"/>
      <w:lang w:val="en-US" w:eastAsia="en-US"/>
    </w:rPr>
  </w:style>
  <w:style w:type="character" w:customStyle="1" w:styleId="MenuOption">
    <w:name w:val="Menu Option"/>
    <w:rsid w:val="001B2208"/>
    <w:rPr>
      <w:b/>
      <w:smallCaps/>
    </w:rPr>
  </w:style>
  <w:style w:type="paragraph" w:customStyle="1" w:styleId="TableListNumber">
    <w:name w:val="Table List Number"/>
    <w:basedOn w:val="ListNumber"/>
    <w:rsid w:val="001B2208"/>
    <w:pPr>
      <w:numPr>
        <w:numId w:val="0"/>
      </w:numPr>
    </w:pPr>
  </w:style>
  <w:style w:type="paragraph" w:styleId="TOC4">
    <w:name w:val="toc 4"/>
    <w:basedOn w:val="TOCBase"/>
    <w:next w:val="Normal"/>
    <w:semiHidden/>
    <w:rsid w:val="001B2208"/>
    <w:pPr>
      <w:tabs>
        <w:tab w:val="right" w:leader="dot" w:pos="9071"/>
      </w:tabs>
      <w:ind w:left="1701"/>
    </w:pPr>
  </w:style>
  <w:style w:type="paragraph" w:customStyle="1" w:styleId="ListAlpha">
    <w:name w:val="List Alpha"/>
    <w:basedOn w:val="List"/>
    <w:rsid w:val="001B2208"/>
    <w:pPr>
      <w:numPr>
        <w:numId w:val="10"/>
      </w:numPr>
    </w:pPr>
  </w:style>
  <w:style w:type="paragraph" w:customStyle="1" w:styleId="ListAlpha2">
    <w:name w:val="List Alpha 2"/>
    <w:basedOn w:val="List2"/>
    <w:rsid w:val="001B2208"/>
    <w:pPr>
      <w:numPr>
        <w:numId w:val="9"/>
      </w:numPr>
    </w:pPr>
  </w:style>
  <w:style w:type="paragraph" w:styleId="List2">
    <w:name w:val="List 2"/>
    <w:basedOn w:val="BodyText"/>
    <w:rsid w:val="001B2208"/>
    <w:pPr>
      <w:tabs>
        <w:tab w:val="left" w:pos="680"/>
      </w:tabs>
      <w:spacing w:before="60" w:after="60"/>
      <w:ind w:left="680" w:hanging="340"/>
    </w:pPr>
  </w:style>
  <w:style w:type="paragraph" w:styleId="List3">
    <w:name w:val="List 3"/>
    <w:basedOn w:val="BodyText"/>
    <w:rsid w:val="001B2208"/>
    <w:pPr>
      <w:tabs>
        <w:tab w:val="left" w:pos="1021"/>
      </w:tabs>
      <w:spacing w:before="60" w:after="60"/>
      <w:ind w:left="1020" w:hanging="340"/>
    </w:pPr>
  </w:style>
  <w:style w:type="paragraph" w:styleId="List4">
    <w:name w:val="List 4"/>
    <w:basedOn w:val="BodyText"/>
    <w:rsid w:val="001B2208"/>
    <w:pPr>
      <w:tabs>
        <w:tab w:val="left" w:pos="1361"/>
      </w:tabs>
      <w:spacing w:before="60" w:after="60"/>
      <w:ind w:left="1361" w:hanging="340"/>
    </w:pPr>
  </w:style>
  <w:style w:type="paragraph" w:styleId="List5">
    <w:name w:val="List 5"/>
    <w:basedOn w:val="BodyText"/>
    <w:rsid w:val="001B2208"/>
    <w:pPr>
      <w:tabs>
        <w:tab w:val="left" w:pos="1701"/>
      </w:tabs>
      <w:spacing w:before="60" w:after="60"/>
      <w:ind w:left="1701" w:hanging="340"/>
    </w:pPr>
  </w:style>
  <w:style w:type="paragraph" w:styleId="ListBullet4">
    <w:name w:val="List Bullet 4"/>
    <w:basedOn w:val="List4"/>
    <w:rsid w:val="001B2208"/>
    <w:pPr>
      <w:numPr>
        <w:numId w:val="4"/>
      </w:numPr>
    </w:pPr>
  </w:style>
  <w:style w:type="paragraph" w:styleId="ListBullet5">
    <w:name w:val="List Bullet 5"/>
    <w:basedOn w:val="List5"/>
    <w:rsid w:val="001B2208"/>
    <w:pPr>
      <w:numPr>
        <w:numId w:val="5"/>
      </w:numPr>
    </w:pPr>
  </w:style>
  <w:style w:type="paragraph" w:styleId="ListContinue2">
    <w:name w:val="List Continue 2"/>
    <w:basedOn w:val="List2"/>
    <w:rsid w:val="001B2208"/>
    <w:pPr>
      <w:ind w:firstLine="0"/>
    </w:pPr>
  </w:style>
  <w:style w:type="paragraph" w:styleId="ListContinue3">
    <w:name w:val="List Continue 3"/>
    <w:basedOn w:val="List3"/>
    <w:rsid w:val="001B2208"/>
    <w:pPr>
      <w:ind w:left="1021" w:firstLine="0"/>
    </w:pPr>
  </w:style>
  <w:style w:type="paragraph" w:styleId="ListContinue4">
    <w:name w:val="List Continue 4"/>
    <w:basedOn w:val="List4"/>
    <w:rsid w:val="001B2208"/>
    <w:pPr>
      <w:ind w:firstLine="0"/>
    </w:pPr>
  </w:style>
  <w:style w:type="paragraph" w:styleId="ListContinue5">
    <w:name w:val="List Continue 5"/>
    <w:basedOn w:val="List5"/>
    <w:rsid w:val="001B2208"/>
    <w:pPr>
      <w:ind w:firstLine="0"/>
    </w:pPr>
  </w:style>
  <w:style w:type="paragraph" w:styleId="ListNumber3">
    <w:name w:val="List Number 3"/>
    <w:basedOn w:val="List3"/>
    <w:rsid w:val="001B2208"/>
    <w:pPr>
      <w:numPr>
        <w:numId w:val="6"/>
      </w:numPr>
    </w:pPr>
  </w:style>
  <w:style w:type="paragraph" w:styleId="ListNumber4">
    <w:name w:val="List Number 4"/>
    <w:basedOn w:val="List4"/>
    <w:rsid w:val="001B2208"/>
    <w:pPr>
      <w:numPr>
        <w:numId w:val="7"/>
      </w:numPr>
    </w:pPr>
  </w:style>
  <w:style w:type="paragraph" w:styleId="ListNumber5">
    <w:name w:val="List Number 5"/>
    <w:basedOn w:val="List5"/>
    <w:rsid w:val="001B2208"/>
    <w:pPr>
      <w:numPr>
        <w:numId w:val="8"/>
      </w:numPr>
    </w:pPr>
  </w:style>
  <w:style w:type="paragraph" w:styleId="BlockText">
    <w:name w:val="Block Text"/>
    <w:basedOn w:val="Normal"/>
    <w:rsid w:val="001B2208"/>
    <w:pPr>
      <w:spacing w:after="120"/>
      <w:ind w:left="1440" w:right="1440"/>
    </w:pPr>
  </w:style>
  <w:style w:type="character" w:customStyle="1" w:styleId="Subscript">
    <w:name w:val="Subscript"/>
    <w:rsid w:val="001B2208"/>
    <w:rPr>
      <w:sz w:val="16"/>
      <w:vertAlign w:val="subscript"/>
    </w:rPr>
  </w:style>
  <w:style w:type="character" w:customStyle="1" w:styleId="Superscript">
    <w:name w:val="Superscript"/>
    <w:rsid w:val="001B2208"/>
    <w:rPr>
      <w:sz w:val="16"/>
      <w:vertAlign w:val="superscript"/>
    </w:rPr>
  </w:style>
  <w:style w:type="character" w:customStyle="1" w:styleId="Symbols">
    <w:name w:val="Symbols"/>
    <w:rsid w:val="001B2208"/>
    <w:rPr>
      <w:rFonts w:ascii="Symbol" w:hAnsi="Symbol"/>
    </w:rPr>
  </w:style>
  <w:style w:type="character" w:customStyle="1" w:styleId="MenuOptions">
    <w:name w:val="Menu Options"/>
    <w:rsid w:val="001B2208"/>
    <w:rPr>
      <w:rFonts w:ascii="Arial Narrow" w:hAnsi="Arial Narrow"/>
      <w:smallCaps/>
    </w:rPr>
  </w:style>
  <w:style w:type="character" w:customStyle="1" w:styleId="Buttons">
    <w:name w:val="Buttons"/>
    <w:rsid w:val="001B2208"/>
    <w:rPr>
      <w:b/>
    </w:rPr>
  </w:style>
  <w:style w:type="character" w:customStyle="1" w:styleId="Underlined">
    <w:name w:val="Underlined"/>
    <w:rsid w:val="001B2208"/>
    <w:rPr>
      <w:u w:val="single"/>
    </w:rPr>
  </w:style>
  <w:style w:type="paragraph" w:customStyle="1" w:styleId="TableBodyTextRight">
    <w:name w:val="Table Body Text Right"/>
    <w:basedOn w:val="TableBodyText"/>
    <w:rsid w:val="001B2208"/>
    <w:pPr>
      <w:widowControl w:val="0"/>
      <w:autoSpaceDE w:val="0"/>
      <w:autoSpaceDN w:val="0"/>
      <w:adjustRightInd w:val="0"/>
      <w:jc w:val="right"/>
    </w:pPr>
    <w:rPr>
      <w:rFonts w:cs="Arial"/>
      <w:szCs w:val="18"/>
    </w:rPr>
  </w:style>
  <w:style w:type="paragraph" w:customStyle="1" w:styleId="CopyrightText">
    <w:name w:val="Copyright Text"/>
    <w:basedOn w:val="BodyText"/>
    <w:rsid w:val="001B2208"/>
    <w:rPr>
      <w:sz w:val="18"/>
    </w:rPr>
  </w:style>
  <w:style w:type="paragraph" w:customStyle="1" w:styleId="BodySmallRight">
    <w:name w:val="Body Small Right"/>
    <w:basedOn w:val="BodyTextRight"/>
    <w:rsid w:val="001B2208"/>
    <w:rPr>
      <w:sz w:val="18"/>
      <w:szCs w:val="18"/>
    </w:rPr>
  </w:style>
  <w:style w:type="paragraph" w:customStyle="1" w:styleId="MarginEdition">
    <w:name w:val="Margin Edition"/>
    <w:basedOn w:val="MarginNote"/>
    <w:rsid w:val="001B2208"/>
    <w:pPr>
      <w:spacing w:before="0" w:after="0"/>
    </w:pPr>
    <w:rPr>
      <w:rFonts w:ascii="Times New Roman" w:hAnsi="Times New Roman"/>
      <w:color w:val="999999"/>
    </w:rPr>
  </w:style>
  <w:style w:type="paragraph" w:customStyle="1" w:styleId="Spacer">
    <w:name w:val="Spacer"/>
    <w:basedOn w:val="Normal"/>
    <w:rsid w:val="001B2208"/>
    <w:rPr>
      <w:sz w:val="2"/>
      <w:szCs w:val="2"/>
    </w:rPr>
  </w:style>
  <w:style w:type="character" w:customStyle="1" w:styleId="Small">
    <w:name w:val="Small"/>
    <w:rsid w:val="001B2208"/>
    <w:rPr>
      <w:sz w:val="16"/>
    </w:rPr>
  </w:style>
  <w:style w:type="paragraph" w:customStyle="1" w:styleId="WideTable">
    <w:name w:val="Wide Table"/>
    <w:basedOn w:val="Normal"/>
    <w:rsid w:val="001B2208"/>
    <w:pPr>
      <w:ind w:left="-1418"/>
    </w:pPr>
    <w:rPr>
      <w:sz w:val="2"/>
      <w:szCs w:val="2"/>
    </w:rPr>
  </w:style>
  <w:style w:type="character" w:styleId="PageNumber">
    <w:name w:val="page number"/>
    <w:rsid w:val="001B2208"/>
  </w:style>
  <w:style w:type="paragraph" w:styleId="Quote">
    <w:name w:val="Quote"/>
    <w:basedOn w:val="Heading1"/>
    <w:link w:val="QuoteChar"/>
    <w:qFormat/>
    <w:rsid w:val="001B2208"/>
    <w:rPr>
      <w:b w:val="0"/>
      <w:sz w:val="72"/>
      <w:szCs w:val="72"/>
      <w:lang w:val="en-NZ"/>
    </w:rPr>
  </w:style>
  <w:style w:type="character" w:customStyle="1" w:styleId="QuoteChar">
    <w:name w:val="Quote Char"/>
    <w:link w:val="Quote"/>
    <w:rsid w:val="001B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208"/>
    <w:pPr>
      <w:pageBreakBefore/>
    </w:pPr>
  </w:style>
  <w:style w:type="paragraph" w:customStyle="1" w:styleId="Border">
    <w:name w:val="Border"/>
    <w:basedOn w:val="Normal"/>
    <w:qFormat/>
    <w:rsid w:val="001B2208"/>
    <w:pPr>
      <w:pBdr>
        <w:top w:val="single" w:sz="18" w:space="1" w:color="auto"/>
      </w:pBdr>
    </w:pPr>
    <w:rPr>
      <w:rFonts w:ascii="Times New Roman" w:hAnsi="Times New Roman"/>
      <w:color w:val="FFFFFF"/>
      <w:sz w:val="2"/>
    </w:rPr>
  </w:style>
  <w:style w:type="character" w:styleId="IntenseEmphasis">
    <w:name w:val="Intense Emphasis"/>
    <w:uiPriority w:val="21"/>
    <w:qFormat/>
    <w:rsid w:val="001B2208"/>
    <w:rPr>
      <w:b/>
      <w:bCs/>
      <w:i/>
      <w:iCs/>
      <w:color w:val="auto"/>
    </w:rPr>
  </w:style>
  <w:style w:type="paragraph" w:styleId="IntenseQuote">
    <w:name w:val="Intense Quote"/>
    <w:basedOn w:val="Normal"/>
    <w:next w:val="Normal"/>
    <w:link w:val="IntenseQuoteChar"/>
    <w:uiPriority w:val="30"/>
    <w:qFormat/>
    <w:rsid w:val="001B22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2208"/>
    <w:rPr>
      <w:rFonts w:ascii="Courier New" w:eastAsia="Times New Roman" w:hAnsi="Courier New" w:cs="Times New Roman"/>
      <w:b/>
      <w:bCs/>
      <w:i/>
      <w:iCs/>
      <w:szCs w:val="20"/>
      <w:lang w:val="en-US" w:eastAsia="en-US"/>
    </w:rPr>
  </w:style>
  <w:style w:type="character" w:styleId="SubtleReference">
    <w:name w:val="Subtle Reference"/>
    <w:uiPriority w:val="31"/>
    <w:qFormat/>
    <w:rsid w:val="001B2208"/>
    <w:rPr>
      <w:smallCaps/>
      <w:color w:val="auto"/>
      <w:u w:val="single"/>
    </w:rPr>
  </w:style>
  <w:style w:type="character" w:styleId="IntenseReference">
    <w:name w:val="Intense Reference"/>
    <w:uiPriority w:val="32"/>
    <w:qFormat/>
    <w:rsid w:val="001B2208"/>
    <w:rPr>
      <w:b/>
      <w:bCs/>
      <w:smallCaps/>
      <w:color w:val="auto"/>
      <w:spacing w:val="5"/>
      <w:u w:val="single"/>
    </w:rPr>
  </w:style>
  <w:style w:type="paragraph" w:customStyle="1" w:styleId="2ColumnHeading">
    <w:name w:val="2Column Heading"/>
    <w:basedOn w:val="BodyText"/>
    <w:qFormat/>
    <w:rsid w:val="001B2208"/>
    <w:pPr>
      <w:spacing w:after="60"/>
      <w:ind w:left="-2268"/>
    </w:pPr>
    <w:rPr>
      <w:b/>
    </w:rPr>
  </w:style>
  <w:style w:type="paragraph" w:customStyle="1" w:styleId="Heading1TOC">
    <w:name w:val="Heading1 TOC"/>
    <w:basedOn w:val="Normal"/>
    <w:qFormat/>
    <w:rsid w:val="001B2208"/>
    <w:pPr>
      <w:spacing w:before="240" w:after="120"/>
    </w:pPr>
    <w:rPr>
      <w:rFonts w:ascii="Times New Roman" w:hAnsi="Times New Roman"/>
      <w:b/>
      <w:sz w:val="32"/>
    </w:rPr>
  </w:style>
  <w:style w:type="paragraph" w:customStyle="1" w:styleId="Heading2TOC">
    <w:name w:val="Heading2 TOC"/>
    <w:basedOn w:val="Normal"/>
    <w:qFormat/>
    <w:rsid w:val="001B2208"/>
    <w:pPr>
      <w:spacing w:before="240" w:after="60"/>
    </w:pPr>
    <w:rPr>
      <w:rFonts w:ascii="Times New Roman" w:hAnsi="Times New Roman"/>
      <w:b/>
      <w:sz w:val="28"/>
    </w:rPr>
  </w:style>
  <w:style w:type="character" w:customStyle="1" w:styleId="Underline">
    <w:name w:val="Underline"/>
    <w:qFormat/>
    <w:rsid w:val="001B2208"/>
    <w:rPr>
      <w:u w:val="single"/>
    </w:rPr>
  </w:style>
  <w:style w:type="character" w:customStyle="1" w:styleId="BoldandItalics">
    <w:name w:val="Bold and Italics"/>
    <w:qFormat/>
    <w:rsid w:val="001B2208"/>
    <w:rPr>
      <w:b/>
      <w:i/>
      <w:u w:val="none"/>
    </w:rPr>
  </w:style>
  <w:style w:type="paragraph" w:styleId="BalloonText">
    <w:name w:val="Balloon Text"/>
    <w:basedOn w:val="Normal"/>
    <w:link w:val="BalloonTextChar"/>
    <w:rsid w:val="001B2208"/>
    <w:rPr>
      <w:rFonts w:ascii="Tahoma" w:hAnsi="Tahoma" w:cs="Tahoma"/>
      <w:sz w:val="16"/>
      <w:szCs w:val="16"/>
    </w:rPr>
  </w:style>
  <w:style w:type="character" w:customStyle="1" w:styleId="BalloonTextChar">
    <w:name w:val="Balloon Text Char"/>
    <w:link w:val="BalloonText"/>
    <w:rsid w:val="001B22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22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22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2487</Words>
  <Characters>15540</Characters>
  <Application>Microsoft Office Word</Application>
  <DocSecurity>0</DocSecurity>
  <Lines>655</Lines>
  <Paragraphs>266</Paragraphs>
  <ScaleCrop>false</ScaleCrop>
  <Company>Author-it Software Corporation Ltd.</Company>
  <LinksUpToDate>false</LinksUpToDate>
  <CharactersWithSpaces>17817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UETTDRDP12A Maintain overhead energised low voltage conductors and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2012-05-26T12:04:00Z</dcterms:created>
  <dcterms:modified xsi:type="dcterms:W3CDTF">2012-05-26T12:04:00Z</dcterms:modified>
</cp:coreProperties>
</file>