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61C" w:rsidP="008F461C">
      <w:pPr>
        <w:pStyle w:val="Title"/>
      </w:pPr>
      <w:r>
        <w:fldChar w:fldCharType="begin"/>
      </w:r>
      <w:r>
        <w:instrText xml:space="preserve"> TITLE   \* MERGEFORMAT </w:instrText>
      </w:r>
      <w:r>
        <w:fldChar w:fldCharType="separate"/>
      </w:r>
      <w:r>
        <w:t>UETTDRDP11A Inspect overhead poles-structures and electrical apparatus</w:t>
      </w:r>
      <w:r>
        <w:fldChar w:fldCharType="end"/>
      </w:r>
    </w:p>
    <w:p w:rsidR="008F461C" w:rsidP="008F461C">
      <w:pPr>
        <w:pStyle w:val="Version"/>
        <w:sectPr w:rsidSect="002B5B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5B91" w:rsidP="002B5B91">
      <w:pPr>
        <w:pStyle w:val="SuperHeading"/>
      </w:pPr>
      <w:r w:rsidRPr="002B5B91">
        <w:t>UETTDRDP11A Inspect overhead poles-structures and electrical apparatus</w:t>
      </w:r>
    </w:p>
    <w:p w:rsidR="00000000" w:rsidRPr="002B5B91" w:rsidP="002B5B91">
      <w:pPr>
        <w:pStyle w:val="Heading1"/>
      </w:pPr>
      <w:bookmarkStart w:id="1" w:name="O_465500"/>
      <w:bookmarkEnd w:id="1"/>
      <w:r w:rsidRPr="002B5B91">
        <w:t>Modification History</w:t>
      </w:r>
    </w:p>
    <w:p w:rsidR="00000000" w:rsidRPr="002B5B91" w:rsidP="002B5B91">
      <w:pPr>
        <w:pStyle w:val="BodyText"/>
      </w:pPr>
      <w:r w:rsidRPr="002B5B91">
        <w:t>Not applicable.</w:t>
      </w:r>
    </w:p>
    <w:p w:rsidR="00000000" w:rsidRPr="002B5B91" w:rsidP="002B5B91">
      <w:pPr>
        <w:pStyle w:val="AllowPageBreak"/>
      </w:pPr>
    </w:p>
    <w:p w:rsidR="00000000" w:rsidRPr="002B5B91" w:rsidP="002B5B91">
      <w:pPr>
        <w:pStyle w:val="Heading1"/>
      </w:pPr>
      <w:bookmarkStart w:id="2" w:name="O_465498"/>
      <w:bookmarkEnd w:id="2"/>
      <w:r w:rsidRPr="002B5B91">
        <w:t>Unit Descriptor</w:t>
      </w:r>
    </w:p>
    <w:tbl>
      <w:tblPr>
        <w:tblW w:w="0" w:type="auto"/>
        <w:tblLayout w:type="fixed"/>
        <w:tblCellMar>
          <w:left w:w="62" w:type="dxa"/>
          <w:right w:w="62" w:type="dxa"/>
        </w:tblCellMar>
        <w:tblLook w:val="0000"/>
      </w:tblPr>
      <w:tblGrid>
        <w:gridCol w:w="2700"/>
        <w:gridCol w:w="5760"/>
      </w:tblGrid>
      <w:tr w:rsidTr="008F46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rPr>
                <w:rStyle w:val="SpecialBold"/>
              </w:rPr>
              <w:t>1)</w:t>
            </w:r>
            <w:r w:rsidRPr="002B5B91">
              <w:t xml:space="preserve"> </w:t>
            </w:r>
            <w:r w:rsidRPr="002B5B91">
              <w:rPr>
                <w:rStyle w:val="SpecialBold"/>
              </w:rPr>
              <w:t>Scope:</w:t>
            </w:r>
          </w:p>
        </w:tc>
      </w:tr>
      <w:tr w:rsidTr="008F4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B5B9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rPr>
                <w:rStyle w:val="SpecialBold"/>
              </w:rPr>
              <w:t>1.1) Descriptor</w:t>
            </w:r>
          </w:p>
        </w:tc>
      </w:tr>
      <w:tr w:rsidTr="008F4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t>This Competency Standard Unit covers the inspection as per requirements of overhead structures such as poles and/or other structures other than towers. It also includes inspection of electrical apparatus such as, overhead conductors and or cables, undergro</w:t>
            </w:r>
            <w:r w:rsidRPr="002B5B91">
              <w:t>und and overhead transition points, electrical equipment, such as pole-mounted transformers, switchgear, hardware and or earthing systems. It encompasses the completion of inspection reports and other relevant documentation in accordance with requirements.</w:t>
            </w:r>
          </w:p>
        </w:tc>
      </w:tr>
    </w:tbl>
    <w:p w:rsidR="00000000" w:rsidRPr="002B5B91" w:rsidP="002B5B91">
      <w:pPr>
        <w:pStyle w:val="BodyText"/>
      </w:pPr>
    </w:p>
    <w:p w:rsidR="00000000" w:rsidRPr="002B5B91" w:rsidP="002B5B91">
      <w:pPr>
        <w:pStyle w:val="AllowPageBreak"/>
      </w:pPr>
    </w:p>
    <w:p w:rsidR="00000000" w:rsidRPr="002B5B91" w:rsidP="002B5B91">
      <w:pPr>
        <w:pStyle w:val="Heading1"/>
      </w:pPr>
      <w:bookmarkStart w:id="3" w:name="O_465487"/>
      <w:bookmarkEnd w:id="3"/>
      <w:r w:rsidRPr="002B5B91">
        <w:t>Application of the Unit</w:t>
      </w:r>
    </w:p>
    <w:tbl>
      <w:tblPr>
        <w:tblW w:w="0" w:type="auto"/>
        <w:tblLayout w:type="fixed"/>
        <w:tblCellMar>
          <w:left w:w="62" w:type="dxa"/>
          <w:right w:w="62" w:type="dxa"/>
        </w:tblCellMar>
        <w:tblLook w:val="0000"/>
      </w:tblPr>
      <w:tblGrid>
        <w:gridCol w:w="2672"/>
        <w:gridCol w:w="5699"/>
      </w:tblGrid>
      <w:tr w:rsidTr="008F461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rPr>
                <w:rStyle w:val="SpecialBold"/>
              </w:rPr>
              <w:t>2)</w:t>
            </w:r>
          </w:p>
        </w:tc>
      </w:tr>
      <w:tr w:rsidTr="008F461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t>This Competency Standard Unit is intended to augment formally acquired competencies. It is suitable for employment-based programs under an approved contract of training.</w:t>
            </w:r>
          </w:p>
        </w:tc>
      </w:tr>
    </w:tbl>
    <w:p w:rsidR="00000000" w:rsidRPr="002B5B91" w:rsidP="002B5B91">
      <w:pPr>
        <w:pStyle w:val="BodyText"/>
      </w:pPr>
    </w:p>
    <w:p w:rsidR="00000000" w:rsidRPr="002B5B91" w:rsidP="002B5B91">
      <w:pPr>
        <w:pStyle w:val="AllowPageBreak"/>
      </w:pPr>
    </w:p>
    <w:p w:rsidR="00000000" w:rsidRPr="002B5B91" w:rsidP="002B5B91">
      <w:pPr>
        <w:pStyle w:val="Heading1"/>
      </w:pPr>
      <w:bookmarkStart w:id="4" w:name="O_465494"/>
      <w:bookmarkEnd w:id="4"/>
      <w:r w:rsidRPr="002B5B91">
        <w:t>Licensing/Regulatory Information</w:t>
      </w:r>
    </w:p>
    <w:tbl>
      <w:tblPr>
        <w:tblW w:w="0" w:type="auto"/>
        <w:tblLayout w:type="fixed"/>
        <w:tblCellMar>
          <w:left w:w="62" w:type="dxa"/>
          <w:right w:w="62" w:type="dxa"/>
        </w:tblCellMar>
        <w:tblLook w:val="0000"/>
      </w:tblPr>
      <w:tblGrid>
        <w:gridCol w:w="2700"/>
        <w:gridCol w:w="5760"/>
      </w:tblGrid>
      <w:tr w:rsidTr="008F46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rPr>
                <w:rStyle w:val="SpecialBold"/>
              </w:rPr>
              <w:t xml:space="preserve">3) </w:t>
            </w:r>
          </w:p>
        </w:tc>
      </w:tr>
      <w:tr w:rsidTr="008F4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t>The skills and knowledge described in this unit may require a licence/registration to practice in the work place subject to regulations for undertaking of electrical work. Practice in workp</w:t>
            </w:r>
            <w:r w:rsidRPr="002B5B91">
              <w:t xml:space="preserve">lace and during training is also subject to </w:t>
            </w:r>
            <w:r w:rsidRPr="002B5B91">
              <w:t>regulations directly related to Occupational Health and Safety, electricity/telecommunications/gas/water industry safety and compliance, industrial relations, environmental protection, anti discrimination and tra</w:t>
            </w:r>
            <w:r w:rsidRPr="002B5B91">
              <w:t>ining. Commonwealth, State/Territory or Local Government legislation and regulations may exist that limits the age of operating certain equipment.</w:t>
            </w:r>
          </w:p>
        </w:tc>
      </w:tr>
    </w:tbl>
    <w:p w:rsidR="00000000" w:rsidRPr="002B5B91" w:rsidP="002B5B91">
      <w:pPr>
        <w:pStyle w:val="BodyText"/>
      </w:pPr>
    </w:p>
    <w:p w:rsidR="00000000" w:rsidRPr="002B5B91" w:rsidP="002B5B91">
      <w:pPr>
        <w:pStyle w:val="AllowPageBreak"/>
      </w:pPr>
    </w:p>
    <w:p w:rsidR="00000000" w:rsidRPr="002B5B91" w:rsidP="002B5B91">
      <w:pPr>
        <w:pStyle w:val="Heading1"/>
      </w:pPr>
      <w:bookmarkStart w:id="5" w:name="O_465495"/>
      <w:bookmarkEnd w:id="5"/>
      <w:r w:rsidRPr="002B5B91">
        <w:t>Pre-Requisites</w:t>
      </w:r>
    </w:p>
    <w:tbl>
      <w:tblPr>
        <w:tblW w:w="0" w:type="auto"/>
        <w:tblLayout w:type="fixed"/>
        <w:tblCellMar>
          <w:left w:w="62" w:type="dxa"/>
          <w:right w:w="62" w:type="dxa"/>
        </w:tblCellMar>
        <w:tblLook w:val="0000"/>
      </w:tblPr>
      <w:tblGrid>
        <w:gridCol w:w="2700"/>
        <w:gridCol w:w="1800"/>
        <w:gridCol w:w="3960"/>
      </w:tblGrid>
      <w:tr w:rsidTr="008F461C">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rPr>
                <w:rStyle w:val="SpecialBold"/>
              </w:rPr>
              <w:t xml:space="preserve">4) </w:t>
            </w:r>
          </w:p>
        </w:tc>
      </w:tr>
      <w:tr w:rsidTr="008F4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rPr>
                <w:rStyle w:val="SpecialBold"/>
              </w:rPr>
              <w:t>4.1)</w:t>
            </w:r>
          </w:p>
        </w:tc>
      </w:tr>
      <w:tr w:rsidTr="008F4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t>Granting of competency in this unit shall be made only after competency in the following unit(s) has/have been confirmed.</w:t>
            </w:r>
          </w:p>
          <w:p w:rsidR="00000000" w:rsidRPr="002B5B91" w:rsidP="002B5B91">
            <w:pPr>
              <w:pStyle w:val="BodyText"/>
            </w:pPr>
            <w:r w:rsidRPr="002B5B91">
              <w:t>Where pre-requisite pathways have been identified. All competencies in the Common Unit Group must be have been completed.</w:t>
            </w:r>
          </w:p>
          <w:p w:rsidR="00000000" w:rsidP="002B5B91">
            <w:pPr>
              <w:pStyle w:val="BodyText"/>
              <w:rPr>
                <w:lang w:val="en-NZ"/>
              </w:rPr>
            </w:pPr>
            <w:r w:rsidRPr="002B5B91">
              <w:t xml:space="preserve">Common Unit </w:t>
            </w:r>
            <w:r w:rsidRPr="002B5B91">
              <w:t>Group</w:t>
            </w:r>
          </w:p>
        </w:tc>
      </w:tr>
      <w:tr w:rsidTr="008F4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Unit Code</w:t>
            </w:r>
            <w:r w:rsidRPr="002B5B91">
              <w:tab/>
            </w:r>
          </w:p>
        </w:tc>
        <w:tc>
          <w:tcPr>
            <w:tcW w:w="3960" w:type="dxa"/>
            <w:tcBorders>
              <w:top w:val="nil"/>
              <w:left w:val="nil"/>
              <w:bottom w:val="nil"/>
              <w:right w:val="nil"/>
            </w:tcBorders>
            <w:tcMar>
              <w:top w:w="0" w:type="dxa"/>
              <w:left w:w="62" w:type="dxa"/>
              <w:bottom w:w="0" w:type="dxa"/>
              <w:right w:w="62" w:type="dxa"/>
            </w:tcMar>
            <w:vAlign w:val="bottom"/>
          </w:tcPr>
          <w:p w:rsidR="00000000" w:rsidP="002B5B91">
            <w:pPr>
              <w:pStyle w:val="BodyText"/>
              <w:rPr>
                <w:lang w:val="en-NZ"/>
              </w:rPr>
            </w:pPr>
            <w:r w:rsidRPr="002B5B91">
              <w:t>Unit Title</w:t>
            </w:r>
          </w:p>
        </w:tc>
      </w:tr>
      <w:tr w:rsidTr="008F4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2B5B91">
            <w:pPr>
              <w:pStyle w:val="BodyText"/>
              <w:rPr>
                <w:lang w:val="en-NZ"/>
              </w:rPr>
            </w:pPr>
            <w:r w:rsidRPr="002B5B91">
              <w:t>Apply Occupational Health and Safety regulations, codes and practices in the workplace</w:t>
            </w:r>
          </w:p>
        </w:tc>
      </w:tr>
      <w:tr w:rsidTr="008F4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2B5B91">
            <w:pPr>
              <w:pStyle w:val="BodyText"/>
              <w:rPr>
                <w:lang w:val="en-NZ"/>
              </w:rPr>
            </w:pPr>
            <w:r w:rsidRPr="002B5B91">
              <w:t>Use drawings, diagrams, schedules, standards, codes and specifications</w:t>
            </w:r>
          </w:p>
        </w:tc>
      </w:tr>
      <w:tr w:rsidTr="008F4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UETTDREL11A</w:t>
            </w:r>
          </w:p>
        </w:tc>
        <w:tc>
          <w:tcPr>
            <w:tcW w:w="3960" w:type="dxa"/>
            <w:tcBorders>
              <w:top w:val="nil"/>
              <w:left w:val="nil"/>
              <w:bottom w:val="nil"/>
              <w:right w:val="nil"/>
            </w:tcBorders>
            <w:tcMar>
              <w:top w:w="0" w:type="dxa"/>
              <w:left w:w="62" w:type="dxa"/>
              <w:bottom w:w="0" w:type="dxa"/>
              <w:right w:w="62" w:type="dxa"/>
            </w:tcMar>
            <w:vAlign w:val="bottom"/>
          </w:tcPr>
          <w:p w:rsidR="00000000" w:rsidP="002B5B91">
            <w:pPr>
              <w:pStyle w:val="BodyText"/>
              <w:rPr>
                <w:lang w:val="en-NZ"/>
              </w:rPr>
            </w:pPr>
            <w:r w:rsidRPr="002B5B91">
              <w:t xml:space="preserve">Apply sustainable energy and environmental procedures </w:t>
            </w:r>
          </w:p>
        </w:tc>
      </w:tr>
      <w:tr w:rsidTr="008F4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UETTDREL16A</w:t>
            </w:r>
          </w:p>
        </w:tc>
        <w:tc>
          <w:tcPr>
            <w:tcW w:w="3960" w:type="dxa"/>
            <w:tcBorders>
              <w:top w:val="nil"/>
              <w:left w:val="nil"/>
              <w:bottom w:val="nil"/>
              <w:right w:val="nil"/>
            </w:tcBorders>
            <w:tcMar>
              <w:top w:w="0" w:type="dxa"/>
              <w:left w:w="62" w:type="dxa"/>
              <w:bottom w:w="0" w:type="dxa"/>
              <w:right w:w="62" w:type="dxa"/>
            </w:tcMar>
            <w:vAlign w:val="bottom"/>
          </w:tcPr>
          <w:p w:rsidR="00000000" w:rsidRPr="002B5B91" w:rsidP="002B5B91">
            <w:pPr>
              <w:pStyle w:val="BodyText"/>
            </w:pPr>
            <w:r w:rsidRPr="002B5B91">
              <w:t xml:space="preserve">Working safely near live electrical apparatus </w:t>
            </w:r>
          </w:p>
        </w:tc>
      </w:tr>
    </w:tbl>
    <w:p w:rsidR="00000000" w:rsidRPr="002B5B91" w:rsidP="002B5B9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F461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rPr>
                <w:rStyle w:val="SpecialBold"/>
              </w:rPr>
              <w:t xml:space="preserve">4.2) </w:t>
            </w:r>
          </w:p>
        </w:tc>
      </w:tr>
      <w:tr w:rsidTr="008F4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Participants are best equipped to achieve this unit if they have reading, writing and</w:t>
            </w:r>
            <w:r w:rsidRPr="002B5B91">
              <w:t xml:space="preserve"> numeracy skills indicated by the </w:t>
            </w:r>
            <w:r w:rsidRPr="002B5B91">
              <w:t>following scales. Description of each scale is given in Volume 2, Part 3 “Literacy and Numeracy”</w:t>
            </w:r>
          </w:p>
        </w:tc>
      </w:tr>
      <w:tr w:rsidTr="008F4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Reading</w:t>
            </w:r>
          </w:p>
        </w:tc>
        <w:tc>
          <w:tcPr>
            <w:tcW w:w="81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3</w:t>
            </w:r>
          </w:p>
        </w:tc>
        <w:tc>
          <w:tcPr>
            <w:tcW w:w="9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Writing</w:t>
            </w:r>
          </w:p>
        </w:tc>
        <w:tc>
          <w:tcPr>
            <w:tcW w:w="90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3</w:t>
            </w:r>
          </w:p>
        </w:tc>
        <w:tc>
          <w:tcPr>
            <w:tcW w:w="126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Numeracy</w:t>
            </w:r>
          </w:p>
        </w:tc>
        <w:tc>
          <w:tcPr>
            <w:tcW w:w="72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t>3</w:t>
            </w:r>
          </w:p>
        </w:tc>
      </w:tr>
    </w:tbl>
    <w:p w:rsidR="00000000" w:rsidRPr="002B5B91" w:rsidP="002B5B91">
      <w:pPr>
        <w:pStyle w:val="BodyText"/>
      </w:pPr>
    </w:p>
    <w:p w:rsidR="00000000" w:rsidRPr="002B5B91" w:rsidP="002B5B91">
      <w:pPr>
        <w:pStyle w:val="AllowPageBreak"/>
      </w:pPr>
    </w:p>
    <w:p w:rsidR="00000000" w:rsidRPr="002B5B91" w:rsidP="002B5B91">
      <w:pPr>
        <w:pStyle w:val="Heading1"/>
      </w:pPr>
      <w:bookmarkStart w:id="6" w:name="O_465491"/>
      <w:bookmarkEnd w:id="6"/>
      <w:r w:rsidRPr="002B5B91">
        <w:t>Employability Skills Information</w:t>
      </w:r>
    </w:p>
    <w:tbl>
      <w:tblPr>
        <w:tblW w:w="0" w:type="auto"/>
        <w:tblLayout w:type="fixed"/>
        <w:tblCellMar>
          <w:left w:w="62" w:type="dxa"/>
          <w:right w:w="62" w:type="dxa"/>
        </w:tblCellMar>
        <w:tblLook w:val="0000"/>
      </w:tblPr>
      <w:tblGrid>
        <w:gridCol w:w="2700"/>
        <w:gridCol w:w="5760"/>
      </w:tblGrid>
      <w:tr w:rsidTr="008F46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rPr>
                <w:rStyle w:val="SpecialBold"/>
              </w:rPr>
              <w:t xml:space="preserve">5) </w:t>
            </w:r>
          </w:p>
        </w:tc>
      </w:tr>
      <w:tr w:rsidTr="008F4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B5B91">
              <w:t>requirements.</w:t>
            </w:r>
          </w:p>
        </w:tc>
      </w:tr>
    </w:tbl>
    <w:p w:rsidR="00000000" w:rsidRPr="002B5B91" w:rsidP="002B5B91">
      <w:pPr>
        <w:pStyle w:val="BodyText"/>
      </w:pPr>
    </w:p>
    <w:p w:rsidR="00000000" w:rsidRPr="002B5B91" w:rsidP="002B5B91">
      <w:pPr>
        <w:pStyle w:val="AllowPageBreak"/>
      </w:pPr>
    </w:p>
    <w:p w:rsidR="00000000" w:rsidRPr="002B5B91" w:rsidP="002B5B91">
      <w:pPr>
        <w:pStyle w:val="Heading1"/>
      </w:pPr>
      <w:bookmarkStart w:id="7" w:name="O_465490"/>
      <w:bookmarkEnd w:id="7"/>
      <w:r w:rsidRPr="002B5B91">
        <w:t>Elements and Performance Criteria Pre-Content</w:t>
      </w:r>
    </w:p>
    <w:tbl>
      <w:tblPr>
        <w:tblW w:w="0" w:type="auto"/>
        <w:tblLayout w:type="fixed"/>
        <w:tblCellMar>
          <w:left w:w="62" w:type="dxa"/>
          <w:right w:w="62" w:type="dxa"/>
        </w:tblCellMar>
        <w:tblLook w:val="0000"/>
      </w:tblPr>
      <w:tblGrid>
        <w:gridCol w:w="2700"/>
        <w:gridCol w:w="5760"/>
      </w:tblGrid>
      <w:tr w:rsidTr="008F4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rPr>
                <w:rStyle w:val="SpecialBold"/>
              </w:rPr>
              <w:t>6)</w:t>
            </w:r>
            <w:r w:rsidRPr="002B5B9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t>Performance Criteria describe the required performance needed to demonstrate achievement of the element. Assessment of performance is to be consistent with the Evidence Guide.</w:t>
            </w:r>
          </w:p>
        </w:tc>
      </w:tr>
    </w:tbl>
    <w:p w:rsidR="00000000" w:rsidRPr="002B5B91" w:rsidP="002B5B91">
      <w:pPr>
        <w:pStyle w:val="BodyText"/>
      </w:pPr>
    </w:p>
    <w:p w:rsidR="00000000" w:rsidRPr="002B5B91" w:rsidP="002B5B91">
      <w:pPr>
        <w:pStyle w:val="AllowPageBreak"/>
      </w:pPr>
    </w:p>
    <w:p w:rsidR="00000000" w:rsidRPr="002B5B91" w:rsidP="002B5B91">
      <w:pPr>
        <w:pStyle w:val="Heading1"/>
      </w:pPr>
      <w:bookmarkStart w:id="8" w:name="O_465489"/>
      <w:bookmarkEnd w:id="8"/>
      <w:r w:rsidRPr="002B5B91">
        <w:t>Elements and Performance Criteria</w:t>
      </w:r>
    </w:p>
    <w:tbl>
      <w:tblPr>
        <w:tblW w:w="0" w:type="auto"/>
        <w:tblLayout w:type="fixed"/>
        <w:tblCellMar>
          <w:left w:w="62" w:type="dxa"/>
          <w:right w:w="62" w:type="dxa"/>
        </w:tblCellMar>
        <w:tblLook w:val="0000"/>
      </w:tblPr>
      <w:tblGrid>
        <w:gridCol w:w="411"/>
        <w:gridCol w:w="2289"/>
        <w:gridCol w:w="870"/>
        <w:gridCol w:w="4890"/>
      </w:tblGrid>
      <w:tr w:rsidTr="008F461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rPr>
                <w:rStyle w:val="SpecialBold"/>
              </w:rPr>
              <w:t>PERFORMANCE CRITER</w:t>
            </w:r>
            <w:r w:rsidRPr="002B5B91">
              <w:rPr>
                <w:rStyle w:val="SpecialBold"/>
              </w:rPr>
              <w:t>IA</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1</w:t>
            </w:r>
          </w:p>
        </w:tc>
        <w:tc>
          <w:tcPr>
            <w:tcW w:w="2289" w:type="dxa"/>
            <w:vMerge w:val="restart"/>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Prepare for the inspection of overhead structures and electrical apparatus used on poles and/or structures</w:t>
            </w: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1.1</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Works schedule(s), including drawings, plans, requirements, established procedures, and material lists, are received, analysed and confirmed, if necessary, by site inspection.</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1.2</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Relevant requirements and established procedures for the work are communi</w:t>
            </w:r>
            <w:r w:rsidRPr="002B5B91">
              <w:t>cated to all personnel and identified for all work sites.</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1.3</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 xml:space="preserve">OHS policies and procedures related to requirements and established procedures for the inspection of overhead structures and electrical apparatus </w:t>
            </w:r>
            <w:r w:rsidRPr="002B5B91">
              <w:t xml:space="preserve">used on poles and/or structures are obtained and confirmed for the purposes of the </w:t>
            </w:r>
            <w:r w:rsidRPr="002B5B91">
              <w:t>work to be performed and communicated.</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1.4</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Work is prioritised and sequenced following consultation with others for completion within acceptable timeframes and in accorda</w:t>
            </w:r>
            <w:r w:rsidRPr="002B5B91">
              <w:t>nce with established procedures.</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1.5</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Hazards are identified, OHS risks assessed and control measures are prioritised, implemented and monitored including emergency exits kept clear according to established procedures.</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1.6</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Relevant work permits are obtained to access and perform work according to requirements and/or established procedures.</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1.7</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 xml:space="preserve">Resources including personnel, equipment, tools and personal protective equipment required for the job are obtained and confirmed </w:t>
            </w:r>
            <w:r w:rsidRPr="002B5B91">
              <w:t>in working order.</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1.8</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Relevant personnel at worksite are confirmed current in First Aid, Pole Top Rescue and other related work procedures according to requirements.</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1.9</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Liaison and communication issues with other/authorised personnel, authorities, c</w:t>
            </w:r>
            <w:r w:rsidRPr="002B5B91">
              <w:t>lients and land owners are resolved to carry out work where necessary.</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1.10</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Site is prepared according to the work schedule and to minimise risk and damage to property, commerce, and individuals in accordance with established procedures.</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1.11</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Personnel participating in the work, including plant operators and contractors, are fully briefed and respective responsibilities confirmed where applicable in accordance with established procedures.</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1.12</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Traffic management plan is identified and implem</w:t>
            </w:r>
            <w:r w:rsidRPr="002B5B91">
              <w:t>ented.</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2</w:t>
            </w:r>
          </w:p>
        </w:tc>
        <w:tc>
          <w:tcPr>
            <w:tcW w:w="2289" w:type="dxa"/>
            <w:vMerge w:val="restart"/>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Carry out inspection of overhead structures and electrical apparatus used on poles and/or structures</w:t>
            </w: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2.1</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 xml:space="preserve">OHS, sustainable energy and environmental principles and practices to reduce the incidents of accidents and minimise waste are monitored and </w:t>
            </w:r>
            <w:r w:rsidRPr="002B5B91">
              <w:t>followed in accordance with requirements and/or established procedures.</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2.2</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Lifting, climbing, working aloft, and use of power tools/equipment, techniques and practices are safely followed and, currency according to requirements confirmed.</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2.3</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Essential knowledge and associated skills are applied in the safe inspection of overhead structures and electrical apparatus used on poles and/or structures to ensure completion in an agreed timeframe and, to quality standards with a minimum of waste accor</w:t>
            </w:r>
            <w:r w:rsidRPr="002B5B91">
              <w:t>ding to requirements.</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2.4</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Inspection of overhead structures and electrical apparatus used on poles and/or structures is carried out, in accordance with the work schedule and requirements/established procedures.</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2.5</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Hazard warnings and sa</w:t>
            </w:r>
            <w:r w:rsidRPr="002B5B91">
              <w:t>fety signs are recognised and hazards and assessed OHS risks are reported to the immediate authorised persons for directions according to established procedures.</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2.6</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 xml:space="preserve">Unplanned events during the inspection of overhead structures and electrical apparatus </w:t>
            </w:r>
            <w:r w:rsidRPr="002B5B91">
              <w:t>used on poles and/or structures are undertaken within the scope of established procedures.</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2.7</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Known solutions to a variety of problems are applied using acquired essential knowledge and associated skills.</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2.8</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Ongoing checks of quality of the work are undertaken in accordance with instructions and established procedures.</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3</w:t>
            </w:r>
          </w:p>
        </w:tc>
        <w:tc>
          <w:tcPr>
            <w:tcW w:w="2289" w:type="dxa"/>
            <w:vMerge w:val="restart"/>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Complete the inspection of overhead structures and electrical apparatus used on poles and/or structures</w:t>
            </w: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3.1</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Work undertaken is checked again</w:t>
            </w:r>
            <w:r w:rsidRPr="002B5B91">
              <w:t>st works schedule for conformance with requirements and anomalies reported in accordance with established procedures.</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3.2</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Accidents and/or injuries are reported in accordance with requirements/established procedures, where applicable.</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3.3</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Work site is rehabilitated, cleaned up and made safe in accordance with established procedures.</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3.4</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Tools, equipment and any surplus resources and materials are, where appropriate, cleaned, checked and returned to storage or disposed of in accordance wi</w:t>
            </w:r>
            <w:r w:rsidRPr="002B5B91">
              <w:t>th established procedures.</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3.5</w:t>
            </w:r>
          </w:p>
        </w:tc>
        <w:tc>
          <w:tcPr>
            <w:tcW w:w="489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Relevant work permit(s) are signed off and, overhead structures and electrical apparatus used on poles and/or structures are returned to service in accordance with requirements.</w:t>
            </w:r>
          </w:p>
        </w:tc>
      </w:tr>
      <w:tr w:rsidTr="008F461C">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t>3.6</w:t>
            </w:r>
          </w:p>
        </w:tc>
        <w:tc>
          <w:tcPr>
            <w:tcW w:w="489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t>Works completion records, reports, as installed /modified drawing and/or documentation and information are finalised and processed and appropriate personnel notified.</w:t>
            </w:r>
          </w:p>
        </w:tc>
      </w:tr>
    </w:tbl>
    <w:p w:rsidR="00000000" w:rsidRPr="002B5B91" w:rsidP="002B5B91">
      <w:pPr>
        <w:pStyle w:val="BodyText"/>
      </w:pPr>
    </w:p>
    <w:p w:rsidR="00000000" w:rsidRPr="002B5B91" w:rsidP="002B5B91">
      <w:pPr>
        <w:pStyle w:val="AllowPageBreak"/>
      </w:pPr>
    </w:p>
    <w:p w:rsidR="00000000" w:rsidRPr="002B5B91" w:rsidP="002B5B91">
      <w:pPr>
        <w:pStyle w:val="Heading1"/>
      </w:pPr>
      <w:bookmarkStart w:id="9" w:name="O_465497"/>
      <w:bookmarkEnd w:id="9"/>
      <w:r w:rsidRPr="002B5B91">
        <w:t>Required Skills and Knowledge</w:t>
      </w:r>
    </w:p>
    <w:tbl>
      <w:tblPr>
        <w:tblW w:w="0" w:type="auto"/>
        <w:tblLayout w:type="fixed"/>
        <w:tblCellMar>
          <w:left w:w="62" w:type="dxa"/>
          <w:right w:w="62" w:type="dxa"/>
        </w:tblCellMar>
        <w:tblLook w:val="0000"/>
      </w:tblPr>
      <w:tblGrid>
        <w:gridCol w:w="8460"/>
      </w:tblGrid>
      <w:tr w:rsidTr="008F461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rPr>
                <w:rStyle w:val="SpecialBold"/>
              </w:rPr>
              <w:t>REQUIRED SKILLS AND KNOWLEDGE</w:t>
            </w:r>
          </w:p>
        </w:tc>
      </w:tr>
      <w:tr w:rsidTr="008F461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rPr>
                <w:rStyle w:val="SpecialBold"/>
              </w:rPr>
              <w:t>8)</w:t>
            </w:r>
            <w:r w:rsidRPr="002B5B91">
              <w:t xml:space="preserve"> Essent</w:t>
            </w:r>
            <w:r w:rsidRPr="002B5B91">
              <w:t>ial Knowledge and Associated Skills (EKAS): This describes the essential skills and knowledge and their level, required for this unit.</w:t>
            </w:r>
          </w:p>
          <w:p w:rsidR="00000000" w:rsidRPr="002B5B91" w:rsidP="002B5B91">
            <w:pPr>
              <w:pStyle w:val="BodyText"/>
            </w:pPr>
            <w:r w:rsidRPr="002B5B91">
              <w:t>Evidence shall show that knowledge has been acquired of inspecting overhead structures and electrical apparatus (poles /s</w:t>
            </w:r>
            <w:r w:rsidRPr="002B5B91">
              <w:t>tructures).</w:t>
            </w:r>
          </w:p>
          <w:p w:rsidR="00000000" w:rsidRPr="002B5B91" w:rsidP="002B5B91">
            <w:pPr>
              <w:pStyle w:val="BodyText"/>
            </w:pPr>
            <w:r w:rsidRPr="002B5B91">
              <w:t>All knowledge and skills detailed in this unit should be contextualised to current industry practices and technologies.</w:t>
            </w:r>
          </w:p>
          <w:p w:rsidR="00000000" w:rsidRPr="002B5B91" w:rsidP="002B5B91">
            <w:pPr>
              <w:pStyle w:val="BodyText"/>
            </w:pPr>
            <w:r w:rsidRPr="002B5B91">
              <w:t xml:space="preserve">KS01-TDP11A </w:t>
            </w:r>
            <w:r w:rsidRPr="002B5B91">
              <w:tab/>
              <w:t>Inspection of distribution assets</w:t>
            </w:r>
          </w:p>
          <w:p w:rsidR="00000000" w:rsidRPr="002B5B91" w:rsidP="002B5B91">
            <w:pPr>
              <w:pStyle w:val="BodyText"/>
            </w:pPr>
            <w:r w:rsidRPr="002B5B91">
              <w:t xml:space="preserve">Evidence shall show an understanding of the inspection of poles and overhead </w:t>
            </w:r>
            <w:r w:rsidRPr="002B5B91">
              <w:t>lines to an extent indicated by the following aspects:</w:t>
            </w:r>
          </w:p>
          <w:p w:rsidR="00000000" w:rsidRPr="002B5B91" w:rsidP="002B5B91">
            <w:pPr>
              <w:pStyle w:val="BodyText"/>
            </w:pPr>
            <w:r w:rsidRPr="002B5B91">
              <w:t>T1</w:t>
            </w:r>
            <w:r w:rsidRPr="002B5B91">
              <w:tab/>
              <w:t xml:space="preserve">Standards, codes, legislation, supply authority regulations and or enterprise requirements </w:t>
            </w:r>
          </w:p>
          <w:p w:rsidR="00000000" w:rsidRPr="002B5B91" w:rsidP="002B5B91">
            <w:pPr>
              <w:pStyle w:val="BodyText"/>
            </w:pPr>
            <w:r w:rsidRPr="002B5B91">
              <w:t>T2</w:t>
            </w:r>
            <w:r w:rsidRPr="002B5B91">
              <w:tab/>
              <w:t>Characteristics of wood used for structures within the electrical distribution system encompassing:</w:t>
            </w:r>
          </w:p>
          <w:p w:rsidR="00000000" w:rsidRPr="002B5B91" w:rsidP="002B5B91">
            <w:pPr>
              <w:pStyle w:val="ListBullet"/>
            </w:pPr>
            <w:r w:rsidRPr="002B5B91">
              <w:t>Relationship between timber and water</w:t>
            </w:r>
          </w:p>
          <w:p w:rsidR="00000000" w:rsidRPr="002B5B91" w:rsidP="002B5B91">
            <w:pPr>
              <w:pStyle w:val="ListBullet"/>
            </w:pPr>
            <w:r w:rsidRPr="002B5B91">
              <w:t>Faults that occur that influence the integrity of the structure</w:t>
            </w:r>
          </w:p>
          <w:p w:rsidR="00000000" w:rsidRPr="002B5B91" w:rsidP="002B5B91">
            <w:pPr>
              <w:pStyle w:val="ListBullet"/>
            </w:pPr>
            <w:r w:rsidRPr="002B5B91">
              <w:t>Affects of fungal activity</w:t>
            </w:r>
          </w:p>
          <w:p w:rsidR="00000000" w:rsidRPr="002B5B91" w:rsidP="002B5B91">
            <w:pPr>
              <w:pStyle w:val="ListBullet"/>
            </w:pPr>
            <w:r w:rsidRPr="002B5B91">
              <w:t>Affects of termite and borer activity</w:t>
            </w:r>
          </w:p>
          <w:p w:rsidR="00000000" w:rsidRPr="002B5B91" w:rsidP="002B5B91">
            <w:pPr>
              <w:pStyle w:val="ListBullet"/>
            </w:pPr>
            <w:r w:rsidRPr="002B5B91">
              <w:t>Affects of dry rot</w:t>
            </w:r>
          </w:p>
          <w:p w:rsidR="00000000" w:rsidRPr="002B5B91" w:rsidP="002B5B91">
            <w:pPr>
              <w:pStyle w:val="BodyText"/>
            </w:pPr>
            <w:r w:rsidRPr="002B5B91">
              <w:t>T3</w:t>
            </w:r>
            <w:r w:rsidRPr="002B5B91">
              <w:tab/>
              <w:t>Deterioration of assets encompassing:</w:t>
            </w:r>
          </w:p>
          <w:p w:rsidR="00000000" w:rsidRPr="002B5B91" w:rsidP="002B5B91">
            <w:pPr>
              <w:pStyle w:val="ListBullet"/>
            </w:pPr>
            <w:r w:rsidRPr="002B5B91">
              <w:t xml:space="preserve">Relationship between steel, </w:t>
            </w:r>
            <w:r w:rsidRPr="002B5B91">
              <w:t>concrete and wood</w:t>
            </w:r>
          </w:p>
          <w:p w:rsidR="00000000" w:rsidRPr="002B5B91" w:rsidP="002B5B91">
            <w:pPr>
              <w:pStyle w:val="ListBullet"/>
            </w:pPr>
            <w:r w:rsidRPr="002B5B91">
              <w:t xml:space="preserve">Deterioration in steel and concrete </w:t>
            </w:r>
          </w:p>
          <w:p w:rsidR="00000000" w:rsidRPr="002B5B91" w:rsidP="002B5B91">
            <w:pPr>
              <w:pStyle w:val="ListBullet"/>
            </w:pPr>
            <w:r w:rsidRPr="002B5B91">
              <w:t>Inspection procedures for deterioration</w:t>
            </w:r>
          </w:p>
          <w:p w:rsidR="00000000" w:rsidRPr="002B5B91" w:rsidP="002B5B91">
            <w:pPr>
              <w:pStyle w:val="BodyText"/>
            </w:pPr>
            <w:r w:rsidRPr="002B5B91">
              <w:t>T4</w:t>
            </w:r>
            <w:r w:rsidRPr="002B5B91">
              <w:tab/>
              <w:t xml:space="preserve">Overhead line inspection procedures of electrical distribution structures encompassing: </w:t>
            </w:r>
          </w:p>
          <w:p w:rsidR="00000000" w:rsidRPr="002B5B91" w:rsidP="002B5B91">
            <w:pPr>
              <w:pStyle w:val="ListBullet"/>
            </w:pPr>
            <w:r w:rsidRPr="002B5B91">
              <w:t xml:space="preserve">Methods and requirements for overhead line inspection on electrical </w:t>
            </w:r>
            <w:r w:rsidRPr="002B5B91">
              <w:t xml:space="preserve">distribution structures </w:t>
            </w:r>
          </w:p>
          <w:p w:rsidR="00000000" w:rsidRPr="002B5B91" w:rsidP="002B5B91">
            <w:pPr>
              <w:pStyle w:val="ListBullet"/>
            </w:pPr>
            <w:r w:rsidRPr="002B5B91">
              <w:t xml:space="preserve">Clearances for overhead conductors, cables and structures </w:t>
            </w:r>
          </w:p>
          <w:p w:rsidR="00000000" w:rsidRPr="002B5B91" w:rsidP="002B5B91">
            <w:pPr>
              <w:pStyle w:val="ListBullet"/>
            </w:pPr>
            <w:r w:rsidRPr="002B5B91">
              <w:t xml:space="preserve">Use of specific equipment during inspection </w:t>
            </w:r>
          </w:p>
          <w:p w:rsidR="00000000" w:rsidRPr="002B5B91" w:rsidP="002B5B91">
            <w:pPr>
              <w:pStyle w:val="ListBullet"/>
            </w:pPr>
            <w:r w:rsidRPr="002B5B91">
              <w:t xml:space="preserve">Methods of recording data </w:t>
            </w:r>
          </w:p>
          <w:p w:rsidR="00000000" w:rsidRPr="002B5B91" w:rsidP="002B5B91">
            <w:pPr>
              <w:pStyle w:val="BodyText"/>
            </w:pPr>
            <w:r w:rsidRPr="002B5B91">
              <w:t>T5</w:t>
            </w:r>
            <w:r w:rsidRPr="002B5B91">
              <w:tab/>
              <w:t xml:space="preserve">Underground cable inspection procedures in the electrical distribution system encompassing: </w:t>
            </w:r>
          </w:p>
          <w:p w:rsidR="00000000" w:rsidRPr="002B5B91" w:rsidP="002B5B91">
            <w:pPr>
              <w:pStyle w:val="ListBullet"/>
            </w:pPr>
            <w:r w:rsidRPr="002B5B91">
              <w:t>Sta</w:t>
            </w:r>
            <w:r w:rsidRPr="002B5B91">
              <w:t xml:space="preserve">te industry policy and regulations </w:t>
            </w:r>
          </w:p>
          <w:p w:rsidR="00000000" w:rsidRPr="002B5B91" w:rsidP="002B5B91">
            <w:pPr>
              <w:pStyle w:val="ListBullet"/>
            </w:pPr>
            <w:r w:rsidRPr="002B5B91">
              <w:t>Methods and requirements for inspection on underground cable terminations</w:t>
            </w:r>
          </w:p>
        </w:tc>
      </w:tr>
    </w:tbl>
    <w:p w:rsidR="00000000" w:rsidRPr="002B5B91" w:rsidP="002B5B91">
      <w:pPr>
        <w:pStyle w:val="BodyText"/>
      </w:pPr>
    </w:p>
    <w:p w:rsidR="00000000" w:rsidRPr="002B5B91" w:rsidP="002B5B91">
      <w:pPr>
        <w:pStyle w:val="AllowPageBreak"/>
      </w:pPr>
    </w:p>
    <w:p w:rsidR="00000000" w:rsidRPr="002B5B91" w:rsidP="002B5B91">
      <w:pPr>
        <w:pStyle w:val="Heading1"/>
      </w:pPr>
      <w:bookmarkStart w:id="10" w:name="O_465492"/>
      <w:bookmarkEnd w:id="10"/>
      <w:r w:rsidRPr="002B5B91">
        <w:t>Evidence Guide</w:t>
      </w:r>
    </w:p>
    <w:tbl>
      <w:tblPr>
        <w:tblW w:w="0" w:type="auto"/>
        <w:tblLayout w:type="fixed"/>
        <w:tblCellMar>
          <w:left w:w="62" w:type="dxa"/>
          <w:right w:w="62" w:type="dxa"/>
        </w:tblCellMar>
        <w:tblLook w:val="0000"/>
      </w:tblPr>
      <w:tblGrid>
        <w:gridCol w:w="8460"/>
      </w:tblGrid>
      <w:tr w:rsidTr="008F461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rPr>
                <w:rStyle w:val="SpecialBold"/>
              </w:rPr>
              <w:t>EVIDENCE GUIDE</w:t>
            </w:r>
          </w:p>
        </w:tc>
      </w:tr>
      <w:tr w:rsidTr="008F46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rPr>
                <w:rStyle w:val="SpecialBold"/>
              </w:rPr>
              <w:t>9)</w:t>
            </w:r>
            <w:r w:rsidRPr="002B5B91">
              <w:t xml:space="preserve"> This provides essential advice for assessment of the unit of compet</w:t>
            </w:r>
            <w:r w:rsidRPr="002B5B91">
              <w:t>ency and must be read in conjunction with the performance criteria and the range statement of the unit of competency and the Training Package Assessment Guidelines.</w:t>
            </w:r>
          </w:p>
          <w:p w:rsidR="00000000" w:rsidRPr="002B5B91" w:rsidP="002B5B91">
            <w:pPr>
              <w:pStyle w:val="BodyText"/>
            </w:pPr>
            <w:r w:rsidRPr="002B5B91">
              <w:t>The Evidence Guide forms an integral part of this Competency Standard Unit and shall be use</w:t>
            </w:r>
            <w:r w:rsidRPr="002B5B91">
              <w:t>d in conjunction with all component parts of this unit and, performed in accordance with the Assessment Guidelines of this Training Package.</w:t>
            </w:r>
          </w:p>
        </w:tc>
      </w:tr>
    </w:tbl>
    <w:p w:rsidR="00000000" w:rsidRPr="002B5B91" w:rsidP="002B5B91">
      <w:pPr>
        <w:pStyle w:val="BodyText"/>
      </w:pPr>
    </w:p>
    <w:tbl>
      <w:tblPr>
        <w:tblW w:w="0" w:type="auto"/>
        <w:tblLayout w:type="fixed"/>
        <w:tblCellMar>
          <w:left w:w="62" w:type="dxa"/>
          <w:right w:w="62" w:type="dxa"/>
        </w:tblCellMar>
        <w:tblLook w:val="0000"/>
      </w:tblPr>
      <w:tblGrid>
        <w:gridCol w:w="1890"/>
        <w:gridCol w:w="6570"/>
      </w:tblGrid>
      <w:tr w:rsidTr="008F4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rPr>
                <w:rStyle w:val="SpecialBold"/>
              </w:rPr>
              <w:t>9.1)</w:t>
            </w:r>
          </w:p>
        </w:tc>
      </w:tr>
      <w:tr w:rsidTr="008F4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t>Longitudinal competency development approaches to assessment, such as Profiling, require data to be reliably gathered in a form that can be consistently interpreted over time. This approach is best utilised in Apprenticeship programs and reduces assessment</w:t>
            </w:r>
            <w:r w:rsidRPr="002B5B9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B5B91">
              <w:t>tency in a realistically simulated work environment. It is recognised that, in some circumstances, assessment in part or full can occur outside the workplace. However, it must be in accord with Industry and, Regulatory policy in this regard.</w:t>
            </w:r>
          </w:p>
          <w:p w:rsidR="00000000" w:rsidRPr="002B5B91" w:rsidP="002B5B91">
            <w:pPr>
              <w:pStyle w:val="BodyText"/>
            </w:pPr>
            <w:r w:rsidRPr="002B5B91">
              <w:t>Methods chosen</w:t>
            </w:r>
            <w:r w:rsidRPr="002B5B91">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2B5B91">
              <w:t>equired and the critical nature of the competencies being assessed.</w:t>
            </w:r>
          </w:p>
          <w:p w:rsidR="00000000" w:rsidRPr="002B5B91" w:rsidP="002B5B91">
            <w:pPr>
              <w:pStyle w:val="BodyText"/>
            </w:pPr>
            <w:r w:rsidRPr="002B5B91">
              <w:t>The critical safety nature of working with electricity, electrical equipment, gas or any other hazardous substance/material carries risk in deeming a person competent. Hence, sources of ev</w:t>
            </w:r>
            <w:r w:rsidRPr="002B5B91">
              <w:t>idence need to be ‘rich’ in nature so as to minimise error in judgment.</w:t>
            </w:r>
          </w:p>
          <w:p w:rsidR="00000000" w:rsidRPr="002B5B91" w:rsidP="002B5B91">
            <w:pPr>
              <w:pStyle w:val="BodyText"/>
            </w:pPr>
            <w:r w:rsidRPr="002B5B91">
              <w:t>Activities associated with normal every day work have a bearing on the decision as to how much and how detailed the data gathered will contribute to its ‘richness’. Some skills are mor</w:t>
            </w:r>
            <w:r w:rsidRPr="002B5B91">
              <w:t>e critical to safety and operational requirements while the same skills may be more or less frequently practiced. These points are raised for the assessors to consider when choosing an assessment method and developing assessment instruments. Sample assessm</w:t>
            </w:r>
            <w:r w:rsidRPr="002B5B91">
              <w:t>ent instruments are included for Assessors in the Assessment Guidelines of this Training Package.</w:t>
            </w:r>
          </w:p>
        </w:tc>
      </w:tr>
    </w:tbl>
    <w:p w:rsidR="00000000" w:rsidRPr="002B5B91" w:rsidP="002B5B91">
      <w:pPr>
        <w:pStyle w:val="BodyText"/>
      </w:pPr>
    </w:p>
    <w:tbl>
      <w:tblPr>
        <w:tblW w:w="0" w:type="auto"/>
        <w:tblLayout w:type="fixed"/>
        <w:tblCellMar>
          <w:left w:w="62" w:type="dxa"/>
          <w:right w:w="62" w:type="dxa"/>
        </w:tblCellMar>
        <w:tblLook w:val="0000"/>
      </w:tblPr>
      <w:tblGrid>
        <w:gridCol w:w="1890"/>
        <w:gridCol w:w="720"/>
        <w:gridCol w:w="1155"/>
        <w:gridCol w:w="2265"/>
        <w:gridCol w:w="2430"/>
      </w:tblGrid>
      <w:tr w:rsidTr="008F4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rPr>
                <w:rStyle w:val="SpecialBold"/>
              </w:rPr>
              <w:t>9.2)</w:t>
            </w:r>
          </w:p>
        </w:tc>
      </w:tr>
      <w:tr w:rsidTr="008F4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t>Before the critical aspects of evidence are considered all prerequisi</w:t>
            </w:r>
            <w:r w:rsidRPr="002B5B91">
              <w:t>tes shall be met.</w:t>
            </w:r>
          </w:p>
          <w:p w:rsidR="00000000" w:rsidRPr="002B5B91" w:rsidP="002B5B91">
            <w:pPr>
              <w:pStyle w:val="BodyText"/>
            </w:pPr>
            <w:r w:rsidRPr="002B5B91">
              <w:t xml:space="preserve">Evidence for competence in this unit shall be considered holistically. Each element and associated performance criteria shall be demonstrated on at least two occasions in accordance with the “Assessment Guidelines – UET12”. Evidence </w:t>
            </w:r>
            <w:r w:rsidRPr="002B5B91">
              <w:t>shall also comprise:</w:t>
            </w:r>
          </w:p>
          <w:p w:rsidR="00000000" w:rsidRPr="002B5B91" w:rsidP="002B5B91">
            <w:pPr>
              <w:pStyle w:val="ListBullet"/>
            </w:pPr>
            <w:r w:rsidRPr="002B5B91">
              <w:t>A representative body of performance criteria demonstrated within the timeframes typically expected of the discipline, work function and industrial environment. In particular this shall incorporate evidence that shows a candidate is a</w:t>
            </w:r>
            <w:r w:rsidRPr="002B5B91">
              <w:t>ble to:</w:t>
            </w:r>
          </w:p>
          <w:p w:rsidR="00000000" w:rsidRPr="002B5B91" w:rsidP="002B5B91">
            <w:pPr>
              <w:pStyle w:val="ListBullet2"/>
            </w:pPr>
            <w:r w:rsidRPr="002B5B91">
              <w:t>Implement Occupational Health and Safety workplace procedures and practices including the use of risk control measures as specified in the performance criteria and range; and</w:t>
            </w:r>
          </w:p>
          <w:p w:rsidR="00000000" w:rsidRPr="002B5B91" w:rsidP="002B5B91">
            <w:pPr>
              <w:pStyle w:val="ListBullet2"/>
            </w:pPr>
            <w:r w:rsidRPr="002B5B91">
              <w:t>Apply sustainable energy principles and practices as specified in the pe</w:t>
            </w:r>
            <w:r w:rsidRPr="002B5B91">
              <w:t>rformance criteria and range; and</w:t>
            </w:r>
          </w:p>
          <w:p w:rsidR="00000000" w:rsidRPr="002B5B91" w:rsidP="002B5B91">
            <w:pPr>
              <w:pStyle w:val="ListBullet2"/>
            </w:pPr>
            <w:r w:rsidRPr="002B5B91">
              <w:t>Demonstrate an understanding of the essential knowledge and associated skills as described in this unit to such an extent that the learner’s performance outcome is reported in accordance with the preferred approach; namely</w:t>
            </w:r>
            <w:r w:rsidRPr="002B5B91">
              <w:t xml:space="preserve"> a percentile graded result, where required by the regulated environment; and</w:t>
            </w:r>
          </w:p>
          <w:p w:rsidR="00000000" w:rsidRPr="002B5B91" w:rsidP="002B5B91">
            <w:pPr>
              <w:pStyle w:val="ListBullet2"/>
            </w:pPr>
            <w:r w:rsidRPr="002B5B91">
              <w:t>Demonstrate an appropriate level of employability skills; and</w:t>
            </w:r>
          </w:p>
          <w:p w:rsidR="00000000" w:rsidRPr="002B5B91" w:rsidP="002B5B91">
            <w:pPr>
              <w:pStyle w:val="ListBullet"/>
            </w:pPr>
            <w:r w:rsidRPr="002B5B91">
              <w:t>Conduct work observing the relevant Anti Discrimination legislation, regulations, policies and workplace procedures</w:t>
            </w:r>
            <w:r w:rsidRPr="002B5B91">
              <w:t>; and</w:t>
            </w:r>
          </w:p>
          <w:p w:rsidR="00000000" w:rsidP="002B5B91">
            <w:pPr>
              <w:pStyle w:val="ListBullet2"/>
              <w:rPr>
                <w:lang w:val="en-NZ"/>
              </w:rPr>
            </w:pPr>
            <w:r w:rsidRPr="002B5B91">
              <w:t>Demonstrated performance across a representative range of contexts from the prescribed items below:</w:t>
            </w:r>
          </w:p>
        </w:tc>
      </w:tr>
      <w:tr w:rsidTr="008F4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B5B91">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B91">
            <w:pPr>
              <w:pStyle w:val="BodyText"/>
              <w:rPr>
                <w:lang w:val="en-NZ"/>
              </w:rPr>
            </w:pPr>
            <w:r w:rsidRPr="002B5B91">
              <w:rPr>
                <w:rStyle w:val="SpecialBold"/>
              </w:rPr>
              <w:t>Range of tools/equipment/materials/procedures/workplaces/other variables</w:t>
            </w:r>
          </w:p>
        </w:tc>
      </w:tr>
      <w:tr w:rsidTr="008F4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B5B91">
            <w:pPr>
              <w:pStyle w:val="BodyText"/>
              <w:keepNext w:val="0"/>
              <w:keepLines w:val="0"/>
              <w:contextualSpacing w:val="0"/>
            </w:pPr>
          </w:p>
        </w:tc>
        <w:tc>
          <w:tcPr>
            <w:tcW w:w="1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B91" w:rsidP="002B5B91">
            <w:pPr>
              <w:pStyle w:val="BodyText"/>
            </w:pPr>
            <w:r w:rsidRPr="002B5B91">
              <w:rPr>
                <w:rStyle w:val="SpecialBold"/>
              </w:rPr>
              <w:t>Group No</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B91" w:rsidP="002B5B91">
            <w:pPr>
              <w:pStyle w:val="BodyText"/>
            </w:pPr>
            <w:r w:rsidRPr="002B5B91">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B91">
            <w:pPr>
              <w:pStyle w:val="BodyText"/>
              <w:rPr>
                <w:lang w:val="en-NZ"/>
              </w:rPr>
            </w:pPr>
            <w:r w:rsidRPr="002B5B91">
              <w:rPr>
                <w:rStyle w:val="SpecialBold"/>
              </w:rPr>
              <w:t>Item List</w:t>
            </w:r>
          </w:p>
        </w:tc>
      </w:tr>
      <w:tr w:rsidTr="008F4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B91">
            <w:pPr>
              <w:pStyle w:val="BodyText"/>
              <w:rPr>
                <w:lang w:val="en-NZ"/>
              </w:rPr>
            </w:pPr>
            <w:r w:rsidRPr="002B5B91">
              <w:t>A</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B91">
            <w:pPr>
              <w:pStyle w:val="BodyText"/>
              <w:rPr>
                <w:lang w:val="en-NZ"/>
              </w:rPr>
            </w:pPr>
            <w:r w:rsidRPr="002B5B91">
              <w:t>Any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B91" w:rsidP="002B5B91">
            <w:pPr>
              <w:pStyle w:val="BodyText"/>
            </w:pPr>
            <w:r w:rsidRPr="002B5B91">
              <w:t>Poles and structures</w:t>
            </w:r>
          </w:p>
          <w:p w:rsidR="00000000" w:rsidRPr="002B5B91" w:rsidP="002B5B91">
            <w:pPr>
              <w:pStyle w:val="BodyText"/>
            </w:pPr>
            <w:r w:rsidRPr="002B5B91">
              <w:t>Overhead conductors/cables</w:t>
            </w:r>
          </w:p>
          <w:p w:rsidR="00000000" w:rsidRPr="002B5B91" w:rsidP="002B5B91">
            <w:pPr>
              <w:pStyle w:val="BodyText"/>
            </w:pPr>
            <w:r w:rsidRPr="002B5B91">
              <w:t>Underground/overhead transition points</w:t>
            </w:r>
          </w:p>
          <w:p w:rsidR="00000000" w:rsidRPr="002B5B91" w:rsidP="002B5B91">
            <w:pPr>
              <w:pStyle w:val="BodyText"/>
            </w:pPr>
            <w:r w:rsidRPr="002B5B91">
              <w:t>Electrical equipment</w:t>
            </w:r>
          </w:p>
          <w:p w:rsidR="00000000" w:rsidRPr="002B5B91" w:rsidP="002B5B91">
            <w:pPr>
              <w:pStyle w:val="BodyText"/>
            </w:pPr>
            <w:r w:rsidRPr="002B5B91">
              <w:t>Hardware</w:t>
            </w:r>
          </w:p>
          <w:p w:rsidR="00000000" w:rsidP="002B5B91">
            <w:pPr>
              <w:pStyle w:val="BodyText"/>
              <w:rPr>
                <w:lang w:val="en-NZ"/>
              </w:rPr>
            </w:pPr>
            <w:r w:rsidRPr="002B5B91">
              <w:t>Earthing systems</w:t>
            </w:r>
          </w:p>
        </w:tc>
      </w:tr>
      <w:tr w:rsidTr="008F4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B91">
            <w:pPr>
              <w:pStyle w:val="BodyText"/>
              <w:rPr>
                <w:lang w:val="en-NZ"/>
              </w:rPr>
            </w:pPr>
            <w:r w:rsidRPr="002B5B91">
              <w:t>B</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B91">
            <w:pPr>
              <w:pStyle w:val="BodyText"/>
              <w:rPr>
                <w:lang w:val="en-NZ"/>
              </w:rPr>
            </w:pPr>
            <w:r w:rsidRPr="002B5B91">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B91" w:rsidP="002B5B91">
            <w:pPr>
              <w:pStyle w:val="BodyText"/>
            </w:pPr>
            <w:r w:rsidRPr="002B5B91">
              <w:t>Ground</w:t>
            </w:r>
          </w:p>
          <w:p w:rsidR="00000000" w:rsidRPr="002B5B91" w:rsidP="002B5B91">
            <w:pPr>
              <w:pStyle w:val="BodyText"/>
            </w:pPr>
            <w:r w:rsidRPr="002B5B91">
              <w:t>Vehicle</w:t>
            </w:r>
          </w:p>
          <w:p w:rsidR="00000000" w:rsidRPr="002B5B91" w:rsidP="002B5B91">
            <w:pPr>
              <w:pStyle w:val="BodyText"/>
            </w:pPr>
            <w:r w:rsidRPr="002B5B91">
              <w:t>Helicopter</w:t>
            </w:r>
          </w:p>
          <w:p w:rsidR="00000000" w:rsidP="002B5B91">
            <w:pPr>
              <w:pStyle w:val="BodyText"/>
              <w:rPr>
                <w:lang w:val="en-NZ"/>
              </w:rPr>
            </w:pPr>
            <w:r w:rsidRPr="002B5B91">
              <w:t>Fixed wing</w:t>
            </w:r>
          </w:p>
        </w:tc>
      </w:tr>
      <w:tr w:rsidTr="008F4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B91">
            <w:pPr>
              <w:pStyle w:val="BodyText"/>
              <w:rPr>
                <w:lang w:val="en-NZ"/>
              </w:rPr>
            </w:pPr>
            <w:r w:rsidRPr="002B5B91">
              <w:t>C</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B91">
            <w:pPr>
              <w:pStyle w:val="BodyText"/>
              <w:rPr>
                <w:lang w:val="en-NZ"/>
              </w:rPr>
            </w:pPr>
            <w:r w:rsidRPr="002B5B91">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B91" w:rsidP="002B5B91">
            <w:pPr>
              <w:pStyle w:val="BodyText"/>
            </w:pPr>
            <w:r w:rsidRPr="002B5B91">
              <w:t>Visual*</w:t>
            </w:r>
          </w:p>
          <w:p w:rsidR="00000000" w:rsidRPr="002B5B91" w:rsidP="002B5B91">
            <w:pPr>
              <w:pStyle w:val="BodyText"/>
            </w:pPr>
            <w:r w:rsidRPr="002B5B91">
              <w:t>Infra-red camera</w:t>
            </w:r>
          </w:p>
          <w:p w:rsidR="00000000" w:rsidRPr="002B5B91" w:rsidP="002B5B91">
            <w:pPr>
              <w:pStyle w:val="BodyText"/>
            </w:pPr>
            <w:r w:rsidRPr="002B5B91">
              <w:t>X-ray</w:t>
            </w:r>
          </w:p>
          <w:p w:rsidR="00000000" w:rsidRPr="002B5B91" w:rsidP="002B5B91">
            <w:pPr>
              <w:pStyle w:val="BodyText"/>
            </w:pPr>
            <w:r w:rsidRPr="002B5B91">
              <w:t xml:space="preserve">Camera </w:t>
            </w:r>
          </w:p>
          <w:p w:rsidR="00000000" w:rsidP="002B5B91">
            <w:pPr>
              <w:pStyle w:val="BodyText"/>
              <w:rPr>
                <w:lang w:val="en-NZ"/>
              </w:rPr>
            </w:pPr>
            <w:r w:rsidRPr="002B5B91">
              <w:t>(*must Do)</w:t>
            </w:r>
          </w:p>
        </w:tc>
      </w:tr>
      <w:tr w:rsidTr="008F4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B91">
            <w:pPr>
              <w:pStyle w:val="BodyText"/>
              <w:rPr>
                <w:lang w:val="en-NZ"/>
              </w:rPr>
            </w:pPr>
            <w:r w:rsidRPr="002B5B91">
              <w:t>D</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B91">
            <w:pPr>
              <w:pStyle w:val="BodyText"/>
              <w:rPr>
                <w:lang w:val="en-NZ"/>
              </w:rPr>
            </w:pPr>
            <w:r w:rsidRPr="002B5B91">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B91" w:rsidP="002B5B91">
            <w:pPr>
              <w:pStyle w:val="BodyText"/>
            </w:pPr>
            <w:r w:rsidRPr="002B5B91">
              <w:t>Dealing with an unplanned event by drawing on essential knowledge and associated skills to provide appropriate solutions incorporated in the holistic assessment with the above listed items.</w:t>
            </w:r>
          </w:p>
        </w:tc>
      </w:tr>
    </w:tbl>
    <w:p w:rsidR="00000000" w:rsidRPr="002B5B91" w:rsidP="002B5B91">
      <w:pPr>
        <w:pStyle w:val="BodyText"/>
      </w:pPr>
    </w:p>
    <w:tbl>
      <w:tblPr>
        <w:tblW w:w="0" w:type="auto"/>
        <w:tblLayout w:type="fixed"/>
        <w:tblCellMar>
          <w:left w:w="62" w:type="dxa"/>
          <w:right w:w="62" w:type="dxa"/>
        </w:tblCellMar>
        <w:tblLook w:val="0000"/>
      </w:tblPr>
      <w:tblGrid>
        <w:gridCol w:w="1890"/>
        <w:gridCol w:w="6570"/>
      </w:tblGrid>
      <w:tr w:rsidTr="008F461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rPr>
                <w:rStyle w:val="SpecialBold"/>
              </w:rPr>
              <w:t>9.3)</w:t>
            </w:r>
          </w:p>
        </w:tc>
      </w:tr>
      <w:tr w:rsidTr="008F461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t>This unit should be assessed as it relates to normal work practice using procedures, information and resources typical of a workplace. This should include:</w:t>
            </w:r>
          </w:p>
          <w:p w:rsidR="00000000" w:rsidRPr="002B5B91" w:rsidP="002B5B91">
            <w:pPr>
              <w:pStyle w:val="ListBullet"/>
            </w:pPr>
            <w:r w:rsidRPr="002B5B91">
              <w:t>OHS policy and work procedures and instructions.</w:t>
            </w:r>
          </w:p>
          <w:p w:rsidR="00000000" w:rsidRPr="002B5B91" w:rsidP="002B5B91">
            <w:pPr>
              <w:pStyle w:val="ListBullet"/>
            </w:pPr>
            <w:r w:rsidRPr="002B5B91">
              <w:t>Suitable work environment, facilities, equipment a</w:t>
            </w:r>
            <w:r w:rsidRPr="002B5B91">
              <w:t>nd materials to undertake actual inspection of overhead structures and electrical apparatus.</w:t>
            </w:r>
          </w:p>
          <w:p w:rsidR="00000000" w:rsidRPr="002B5B91" w:rsidP="002B5B91">
            <w:pPr>
              <w:pStyle w:val="BodyText"/>
            </w:pPr>
            <w:r w:rsidRPr="002B5B91">
              <w:t xml:space="preserve">In addition to the resources listed above in, context of and specific resources for assessment, evidence should show demonstrated competency working below ground, </w:t>
            </w:r>
            <w:r w:rsidRPr="002B5B91">
              <w:t>in limited spaces, with different structural/construction types and method and in a variety of environments.</w:t>
            </w:r>
          </w:p>
        </w:tc>
      </w:tr>
    </w:tbl>
    <w:p w:rsidR="00000000" w:rsidRPr="002B5B91" w:rsidP="002B5B91">
      <w:pPr>
        <w:pStyle w:val="BodyText"/>
      </w:pPr>
    </w:p>
    <w:tbl>
      <w:tblPr>
        <w:tblW w:w="0" w:type="auto"/>
        <w:tblLayout w:type="fixed"/>
        <w:tblCellMar>
          <w:left w:w="62" w:type="dxa"/>
          <w:right w:w="62" w:type="dxa"/>
        </w:tblCellMar>
        <w:tblLook w:val="0000"/>
      </w:tblPr>
      <w:tblGrid>
        <w:gridCol w:w="1890"/>
        <w:gridCol w:w="6570"/>
      </w:tblGrid>
      <w:tr w:rsidTr="008F4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rPr>
                <w:rStyle w:val="SpecialBold"/>
              </w:rPr>
              <w:t>9.4)</w:t>
            </w:r>
          </w:p>
        </w:tc>
      </w:tr>
      <w:tr w:rsidTr="008F4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t>This Competency Standard Unit shall be assessed by methods given in Volume 1, Part 3 “Assessment Guidelines”.</w:t>
            </w:r>
          </w:p>
          <w:p w:rsidR="00000000" w:rsidRPr="002B5B91" w:rsidP="002B5B91">
            <w:pPr>
              <w:pStyle w:val="BodyText"/>
            </w:pPr>
            <w:r w:rsidRPr="002B5B91">
              <w:t>Note:</w:t>
            </w:r>
          </w:p>
          <w:p w:rsidR="00000000" w:rsidRPr="002B5B91" w:rsidP="002B5B91">
            <w:pPr>
              <w:pStyle w:val="BodyText"/>
            </w:pPr>
            <w:r w:rsidRPr="002B5B91">
              <w:t>Competent performance with inherent safe working practices is expected in the Industry to which this Competency Standard Unit applies. This requires that the specified essential knowledge and associated skills are assessed in a structured environment which</w:t>
            </w:r>
            <w:r w:rsidRPr="002B5B91">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2B5B91" w:rsidP="002B5B91">
      <w:pPr>
        <w:pStyle w:val="BodyText"/>
      </w:pPr>
    </w:p>
    <w:tbl>
      <w:tblPr>
        <w:tblW w:w="0" w:type="auto"/>
        <w:tblLayout w:type="fixed"/>
        <w:tblCellMar>
          <w:left w:w="62" w:type="dxa"/>
          <w:right w:w="62" w:type="dxa"/>
        </w:tblCellMar>
        <w:tblLook w:val="0000"/>
      </w:tblPr>
      <w:tblGrid>
        <w:gridCol w:w="1890"/>
        <w:gridCol w:w="6570"/>
      </w:tblGrid>
      <w:tr w:rsidTr="008F4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rPr>
                <w:rStyle w:val="SpecialBold"/>
              </w:rPr>
              <w:t>Concurrent assessment and relationship wi</w:t>
            </w:r>
            <w:r w:rsidRPr="002B5B91">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rPr>
                <w:rStyle w:val="SpecialBold"/>
              </w:rPr>
              <w:t>9.5)</w:t>
            </w:r>
          </w:p>
        </w:tc>
      </w:tr>
      <w:tr w:rsidTr="008F46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t>There are no recommended concurrencies for this unit.</w:t>
            </w:r>
          </w:p>
        </w:tc>
      </w:tr>
    </w:tbl>
    <w:p w:rsidR="00000000" w:rsidRPr="002B5B91" w:rsidP="002B5B91">
      <w:pPr>
        <w:pStyle w:val="BodyText"/>
      </w:pPr>
    </w:p>
    <w:p w:rsidR="00000000" w:rsidRPr="002B5B91" w:rsidP="002B5B91">
      <w:pPr>
        <w:pStyle w:val="AllowPageBreak"/>
      </w:pPr>
    </w:p>
    <w:p w:rsidR="00000000" w:rsidRPr="002B5B91" w:rsidP="002B5B91">
      <w:pPr>
        <w:pStyle w:val="Heading1"/>
      </w:pPr>
      <w:bookmarkStart w:id="11" w:name="O_465496"/>
      <w:bookmarkEnd w:id="11"/>
      <w:r w:rsidRPr="002B5B91">
        <w:t>Range Statement</w:t>
      </w:r>
    </w:p>
    <w:tbl>
      <w:tblPr>
        <w:tblW w:w="0" w:type="auto"/>
        <w:tblLayout w:type="fixed"/>
        <w:tblCellMar>
          <w:left w:w="62" w:type="dxa"/>
          <w:right w:w="62" w:type="dxa"/>
        </w:tblCellMar>
        <w:tblLook w:val="0000"/>
      </w:tblPr>
      <w:tblGrid>
        <w:gridCol w:w="8460"/>
      </w:tblGrid>
      <w:tr w:rsidTr="008F461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rPr>
                <w:rStyle w:val="SpecialBold"/>
              </w:rPr>
              <w:t>RANGE STATEMENT</w:t>
            </w:r>
          </w:p>
        </w:tc>
      </w:tr>
      <w:tr w:rsidTr="008F46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rPr>
                <w:rStyle w:val="SpecialBold"/>
              </w:rPr>
              <w:t>10)</w:t>
            </w:r>
            <w:r w:rsidRPr="002B5B91">
              <w:t xml:space="preserve"> This relates to the unit of competency as a whole providing the range of contexts and conditions to which the performance </w:t>
            </w:r>
            <w:r w:rsidRPr="002B5B91">
              <w:t>criteria apply. It allows for different work environments and situations that will affect performance.</w:t>
            </w:r>
          </w:p>
          <w:p w:rsidR="00000000" w:rsidRPr="002B5B91" w:rsidP="002B5B91">
            <w:pPr>
              <w:pStyle w:val="BodyText"/>
            </w:pPr>
            <w:r w:rsidRPr="002B5B91">
              <w:t>This Competency Standard Unit shall be demonstrated in relation to the inspection of overhead structures such as poles and/or other structures other than</w:t>
            </w:r>
            <w:r w:rsidRPr="002B5B91">
              <w:t xml:space="preserve"> towers and electrical apparatus and equipment.</w:t>
            </w:r>
          </w:p>
          <w:p w:rsidR="00000000" w:rsidRPr="002B5B91" w:rsidP="002B5B91">
            <w:pPr>
              <w:pStyle w:val="BodyText"/>
            </w:pPr>
            <w:r w:rsidRPr="002B5B91">
              <w:t>Inspection may be carried out on foot, and/or by conventional ground-based vehicle, or from the air. Aircraft may be helicopters or fixed-wing types.</w:t>
            </w:r>
          </w:p>
          <w:p w:rsidR="00000000" w:rsidRPr="002B5B91" w:rsidP="002B5B91">
            <w:pPr>
              <w:pStyle w:val="BodyText"/>
            </w:pPr>
            <w:r w:rsidRPr="002B5B91">
              <w:t>Inspection techniques include use of X-ray and infrared ca</w:t>
            </w:r>
            <w:r w:rsidRPr="002B5B91">
              <w:t>mera.</w:t>
            </w:r>
          </w:p>
          <w:p w:rsidR="00000000" w:rsidRPr="002B5B91" w:rsidP="002B5B91">
            <w:pPr>
              <w:pStyle w:val="BodyText"/>
            </w:pPr>
            <w:r w:rsidRPr="002B5B91">
              <w:t>Items to be inspected may include overhead poles and or structures, but not towers.</w:t>
            </w:r>
          </w:p>
          <w:p w:rsidR="00000000" w:rsidRPr="002B5B91" w:rsidP="002B5B91">
            <w:pPr>
              <w:pStyle w:val="BodyText"/>
            </w:pPr>
            <w:r w:rsidRPr="002B5B91">
              <w:t>Types of electrical apparatus to be inspected include overhead conductors and cables, underground cables and overhead transition points and, electrical equipment such</w:t>
            </w:r>
            <w:r w:rsidRPr="002B5B91">
              <w:t xml:space="preserve"> as pole-mounted transformers and air-break switches, hardware, such as insulators, surge arrestors and cross-arms and or earthing systems.</w:t>
            </w:r>
          </w:p>
          <w:p w:rsidR="00000000" w:rsidRPr="002B5B91" w:rsidP="002B5B91">
            <w:pPr>
              <w:pStyle w:val="BodyText"/>
            </w:pPr>
            <w:r w:rsidRPr="002B5B91">
              <w:t xml:space="preserve">The following constants and variables included in the element/performance criteria in this unit are fully described </w:t>
            </w:r>
            <w:r w:rsidRPr="002B5B91">
              <w:t>in the Definitions Section 1 of this volume and form an integral part of the Rang Statement of this unit:</w:t>
            </w:r>
          </w:p>
          <w:p w:rsidR="00000000" w:rsidRPr="002B5B91" w:rsidP="002B5B91">
            <w:pPr>
              <w:pStyle w:val="ListBullet3"/>
            </w:pPr>
            <w:r w:rsidRPr="002B5B91">
              <w:t>Appropriate and relevant persons (see Personnel)</w:t>
            </w:r>
          </w:p>
          <w:p w:rsidR="00000000" w:rsidRPr="002B5B91" w:rsidP="002B5B91">
            <w:pPr>
              <w:pStyle w:val="ListBullet3"/>
            </w:pPr>
            <w:r w:rsidRPr="002B5B91">
              <w:t xml:space="preserve">Appropriate authorities </w:t>
            </w:r>
          </w:p>
          <w:p w:rsidR="00000000" w:rsidRPr="002B5B91" w:rsidP="002B5B91">
            <w:pPr>
              <w:pStyle w:val="ListBullet3"/>
            </w:pPr>
            <w:r w:rsidRPr="002B5B91">
              <w:t>Appropriate work platform</w:t>
            </w:r>
          </w:p>
          <w:p w:rsidR="00000000" w:rsidRPr="002B5B91" w:rsidP="002B5B91">
            <w:pPr>
              <w:pStyle w:val="ListBullet3"/>
            </w:pPr>
            <w:r w:rsidRPr="002B5B91">
              <w:t>Assessing risk</w:t>
            </w:r>
          </w:p>
          <w:p w:rsidR="00000000" w:rsidRPr="002B5B91" w:rsidP="002B5B91">
            <w:pPr>
              <w:pStyle w:val="ListBullet3"/>
            </w:pPr>
            <w:r w:rsidRPr="002B5B91">
              <w:t>Assessment</w:t>
            </w:r>
          </w:p>
          <w:p w:rsidR="00000000" w:rsidRPr="002B5B91" w:rsidP="002B5B91">
            <w:pPr>
              <w:pStyle w:val="ListBullet3"/>
            </w:pPr>
            <w:r w:rsidRPr="002B5B91">
              <w:t>Authorisation</w:t>
            </w:r>
          </w:p>
          <w:p w:rsidR="00000000" w:rsidRPr="002B5B91" w:rsidP="002B5B91">
            <w:pPr>
              <w:pStyle w:val="ListBullet3"/>
            </w:pPr>
            <w:r w:rsidRPr="002B5B91">
              <w:t>Diagnosti</w:t>
            </w:r>
            <w:r w:rsidRPr="002B5B91">
              <w:t>c, testing and restoration</w:t>
            </w:r>
          </w:p>
          <w:p w:rsidR="00000000" w:rsidRPr="002B5B91" w:rsidP="002B5B91">
            <w:pPr>
              <w:pStyle w:val="ListBullet3"/>
            </w:pPr>
            <w:r w:rsidRPr="002B5B91">
              <w:t>Documenting detail work events, record keeping and or storage of information</w:t>
            </w:r>
          </w:p>
          <w:p w:rsidR="00000000" w:rsidRPr="002B5B91" w:rsidP="002B5B91">
            <w:pPr>
              <w:pStyle w:val="ListBullet3"/>
            </w:pPr>
            <w:r w:rsidRPr="002B5B91">
              <w:t>Drawings and specifications</w:t>
            </w:r>
          </w:p>
          <w:p w:rsidR="00000000" w:rsidRPr="002B5B91" w:rsidP="002B5B91">
            <w:pPr>
              <w:pStyle w:val="ListBullet3"/>
            </w:pPr>
            <w:r w:rsidRPr="002B5B91">
              <w:t>Emergency</w:t>
            </w:r>
          </w:p>
          <w:p w:rsidR="00000000" w:rsidRPr="002B5B91" w:rsidP="002B5B91">
            <w:pPr>
              <w:pStyle w:val="ListBullet3"/>
            </w:pPr>
            <w:r w:rsidRPr="002B5B91">
              <w:t>Environmental and sustainable energy procedures</w:t>
            </w:r>
          </w:p>
          <w:p w:rsidR="00000000" w:rsidRPr="002B5B91" w:rsidP="002B5B91">
            <w:pPr>
              <w:pStyle w:val="ListBullet3"/>
            </w:pPr>
            <w:r w:rsidRPr="002B5B91">
              <w:t>Environmental legislation</w:t>
            </w:r>
          </w:p>
          <w:p w:rsidR="00000000" w:rsidRPr="002B5B91" w:rsidP="002B5B91">
            <w:pPr>
              <w:pStyle w:val="ListBullet3"/>
            </w:pPr>
            <w:r w:rsidRPr="002B5B91">
              <w:t>Environmental management documentation</w:t>
            </w:r>
          </w:p>
          <w:p w:rsidR="00000000" w:rsidRPr="002B5B91" w:rsidP="002B5B91">
            <w:pPr>
              <w:pStyle w:val="ListBullet3"/>
            </w:pPr>
            <w:r w:rsidRPr="002B5B91">
              <w:t>Established procedures</w:t>
            </w:r>
          </w:p>
          <w:p w:rsidR="00000000" w:rsidRPr="002B5B91" w:rsidP="002B5B91">
            <w:pPr>
              <w:pStyle w:val="ListBullet3"/>
            </w:pPr>
            <w:r w:rsidRPr="002B5B91">
              <w:t>Fall prevention</w:t>
            </w:r>
          </w:p>
          <w:p w:rsidR="00000000" w:rsidRPr="002B5B91" w:rsidP="002B5B91">
            <w:pPr>
              <w:pStyle w:val="ListBullet3"/>
            </w:pPr>
            <w:r w:rsidRPr="002B5B91">
              <w:t>Hazards</w:t>
            </w:r>
          </w:p>
          <w:p w:rsidR="00000000" w:rsidRPr="002B5B91" w:rsidP="002B5B91">
            <w:pPr>
              <w:pStyle w:val="ListBullet3"/>
            </w:pPr>
            <w:r w:rsidRPr="002B5B91">
              <w:t>Identifying hazards</w:t>
            </w:r>
          </w:p>
          <w:p w:rsidR="00000000" w:rsidRPr="002B5B91" w:rsidP="002B5B91">
            <w:pPr>
              <w:pStyle w:val="ListBullet3"/>
            </w:pPr>
            <w:r w:rsidRPr="002B5B91">
              <w:t>Inspect</w:t>
            </w:r>
          </w:p>
          <w:p w:rsidR="00000000" w:rsidRPr="002B5B91" w:rsidP="002B5B91">
            <w:pPr>
              <w:pStyle w:val="ListBullet3"/>
            </w:pPr>
            <w:r w:rsidRPr="002B5B91">
              <w:t>Legislation</w:t>
            </w:r>
          </w:p>
          <w:p w:rsidR="00000000" w:rsidRPr="002B5B91" w:rsidP="002B5B91">
            <w:pPr>
              <w:pStyle w:val="ListBullet3"/>
            </w:pPr>
            <w:r w:rsidRPr="002B5B91">
              <w:t>MSDS</w:t>
            </w:r>
          </w:p>
          <w:p w:rsidR="00000000" w:rsidRPr="002B5B91" w:rsidP="002B5B91">
            <w:pPr>
              <w:pStyle w:val="ListBullet3"/>
            </w:pPr>
            <w:r w:rsidRPr="002B5B91">
              <w:t>Notification</w:t>
            </w:r>
          </w:p>
          <w:p w:rsidR="00000000" w:rsidRPr="002B5B91" w:rsidP="002B5B91">
            <w:pPr>
              <w:pStyle w:val="ListBullet3"/>
            </w:pPr>
            <w:r w:rsidRPr="002B5B91">
              <w:t>OHS practices</w:t>
            </w:r>
          </w:p>
          <w:p w:rsidR="00000000" w:rsidRPr="002B5B91" w:rsidP="002B5B91">
            <w:pPr>
              <w:pStyle w:val="ListBullet3"/>
            </w:pPr>
            <w:r w:rsidRPr="002B5B91">
              <w:t>OHS issues</w:t>
            </w:r>
          </w:p>
          <w:p w:rsidR="00000000" w:rsidRPr="002B5B91" w:rsidP="002B5B91">
            <w:pPr>
              <w:pStyle w:val="ListBullet3"/>
            </w:pPr>
            <w:r w:rsidRPr="002B5B91">
              <w:t>Permits and/or permits to work</w:t>
            </w:r>
          </w:p>
          <w:p w:rsidR="00000000" w:rsidRPr="002B5B91" w:rsidP="002B5B91">
            <w:pPr>
              <w:pStyle w:val="ListBullet3"/>
            </w:pPr>
            <w:r w:rsidRPr="002B5B91">
              <w:t>Personnel.</w:t>
            </w:r>
          </w:p>
          <w:p w:rsidR="00000000" w:rsidRPr="002B5B91" w:rsidP="002B5B91">
            <w:pPr>
              <w:pStyle w:val="ListBullet3"/>
            </w:pPr>
            <w:r w:rsidRPr="002B5B91">
              <w:t>Quality assurance systems</w:t>
            </w:r>
          </w:p>
          <w:p w:rsidR="00000000" w:rsidRPr="002B5B91" w:rsidP="002B5B91">
            <w:pPr>
              <w:pStyle w:val="ListBullet3"/>
            </w:pPr>
            <w:r w:rsidRPr="002B5B91">
              <w:t>Requirements</w:t>
            </w:r>
          </w:p>
          <w:p w:rsidR="00000000" w:rsidRPr="002B5B91" w:rsidP="002B5B91">
            <w:pPr>
              <w:pStyle w:val="ListBullet3"/>
            </w:pPr>
            <w:r w:rsidRPr="002B5B91">
              <w:t>Testing procedures</w:t>
            </w:r>
          </w:p>
          <w:p w:rsidR="00000000" w:rsidRPr="002B5B91" w:rsidP="002B5B91">
            <w:pPr>
              <w:pStyle w:val="ListBullet3"/>
            </w:pPr>
            <w:r w:rsidRPr="002B5B91">
              <w:t>Work clearance systems</w:t>
            </w:r>
          </w:p>
        </w:tc>
      </w:tr>
    </w:tbl>
    <w:p w:rsidR="00000000" w:rsidRPr="002B5B91" w:rsidP="002B5B91">
      <w:pPr>
        <w:pStyle w:val="BodyText"/>
      </w:pPr>
    </w:p>
    <w:p w:rsidR="00000000" w:rsidRPr="002B5B91" w:rsidP="002B5B91">
      <w:pPr>
        <w:pStyle w:val="AllowPageBreak"/>
      </w:pPr>
    </w:p>
    <w:p w:rsidR="00000000" w:rsidRPr="002B5B91" w:rsidP="002B5B91">
      <w:pPr>
        <w:pStyle w:val="Heading1"/>
      </w:pPr>
      <w:bookmarkStart w:id="12" w:name="O_465499"/>
      <w:bookmarkEnd w:id="12"/>
      <w:r w:rsidRPr="002B5B91">
        <w:t>Unit Sector(s)</w:t>
      </w:r>
    </w:p>
    <w:p w:rsidR="00000000" w:rsidRPr="002B5B91" w:rsidP="002B5B91">
      <w:pPr>
        <w:pStyle w:val="BodyText"/>
      </w:pPr>
      <w:r w:rsidRPr="002B5B91">
        <w:t>Not applicable.</w:t>
      </w:r>
    </w:p>
    <w:p w:rsidR="00000000" w:rsidRPr="002B5B91" w:rsidP="002B5B91">
      <w:pPr>
        <w:pStyle w:val="AllowPageBreak"/>
      </w:pPr>
    </w:p>
    <w:p w:rsidR="00000000" w:rsidRPr="002B5B91" w:rsidP="002B5B91">
      <w:pPr>
        <w:pStyle w:val="Heading1"/>
      </w:pPr>
      <w:bookmarkStart w:id="13" w:name="O_465488"/>
      <w:bookmarkEnd w:id="13"/>
      <w:r w:rsidRPr="002B5B91">
        <w:t>Competency Field</w:t>
      </w:r>
    </w:p>
    <w:tbl>
      <w:tblPr>
        <w:tblW w:w="0" w:type="auto"/>
        <w:tblLayout w:type="fixed"/>
        <w:tblCellMar>
          <w:left w:w="62" w:type="dxa"/>
          <w:right w:w="62" w:type="dxa"/>
        </w:tblCellMar>
        <w:tblLook w:val="0000"/>
      </w:tblPr>
      <w:tblGrid>
        <w:gridCol w:w="2700"/>
        <w:gridCol w:w="5760"/>
      </w:tblGrid>
      <w:tr w:rsidTr="008F46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B5B91">
            <w:pPr>
              <w:pStyle w:val="BodyText"/>
              <w:rPr>
                <w:lang w:val="en-NZ"/>
              </w:rPr>
            </w:pPr>
            <w:r w:rsidRPr="002B5B91">
              <w:rPr>
                <w:rStyle w:val="SpecialBold"/>
              </w:rPr>
              <w:t xml:space="preserve">11) </w:t>
            </w:r>
          </w:p>
        </w:tc>
      </w:tr>
      <w:tr w:rsidTr="008F46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5B91" w:rsidP="002B5B91">
            <w:pPr>
              <w:pStyle w:val="BodyText"/>
            </w:pPr>
            <w:r w:rsidRPr="002B5B91">
              <w:t xml:space="preserve">Distribution </w:t>
            </w:r>
          </w:p>
        </w:tc>
      </w:tr>
    </w:tbl>
    <w:p w:rsidR="00000000" w:rsidRPr="002B5B91" w:rsidP="002B5B91">
      <w:pPr>
        <w:pStyle w:val="BodyText"/>
      </w:pPr>
    </w:p>
    <w:p w:rsidR="00000000" w:rsidRPr="002B5B91" w:rsidP="002B5B91"/>
    <w:sectPr w:rsidSect="002B5B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B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61C" w:rsidP="008F46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B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1C" w:rsidP="002B5B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F461C" w:rsidP="002B5B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F461C" w:rsidP="002B5B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B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61C" w:rsidP="008F46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B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1C" w:rsidP="002B5B91">
    <w:pPr>
      <w:pStyle w:val="Header"/>
      <w:framePr w:wrap="around"/>
    </w:pPr>
    <w:r>
      <w:fldChar w:fldCharType="begin"/>
    </w:r>
    <w:r>
      <w:instrText xml:space="preserve"> TITLE   \* MERGEFORMAT </w:instrText>
    </w:r>
    <w:r>
      <w:fldChar w:fldCharType="separate"/>
    </w:r>
    <w:r>
      <w:t>UETTDRDP11A Inspect overhead poles-structures and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F461C" w:rsidP="002B5B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1C74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324A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16D6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B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5B91"/>
    <w:pPr>
      <w:spacing w:before="360" w:after="60"/>
      <w:outlineLvl w:val="0"/>
    </w:pPr>
    <w:rPr>
      <w:sz w:val="32"/>
    </w:rPr>
  </w:style>
  <w:style w:type="paragraph" w:styleId="Heading2">
    <w:name w:val="heading 2"/>
    <w:basedOn w:val="HeadingBase"/>
    <w:next w:val="BodyText"/>
    <w:link w:val="Heading2Char"/>
    <w:qFormat/>
    <w:rsid w:val="002B5B91"/>
    <w:pPr>
      <w:keepLines/>
      <w:spacing w:before="240" w:after="120"/>
      <w:outlineLvl w:val="1"/>
    </w:pPr>
    <w:rPr>
      <w:sz w:val="28"/>
      <w:szCs w:val="40"/>
    </w:rPr>
  </w:style>
  <w:style w:type="paragraph" w:styleId="Heading3">
    <w:name w:val="heading 3"/>
    <w:basedOn w:val="HeadingBase"/>
    <w:next w:val="BodyText"/>
    <w:link w:val="Heading3Char"/>
    <w:qFormat/>
    <w:rsid w:val="002B5B91"/>
    <w:pPr>
      <w:spacing w:before="180" w:after="120"/>
      <w:outlineLvl w:val="2"/>
    </w:pPr>
    <w:rPr>
      <w:spacing w:val="-10"/>
      <w:kern w:val="32"/>
    </w:rPr>
  </w:style>
  <w:style w:type="paragraph" w:styleId="Heading4">
    <w:name w:val="heading 4"/>
    <w:basedOn w:val="HeadingBase"/>
    <w:next w:val="BodyText"/>
    <w:link w:val="Heading4Char"/>
    <w:qFormat/>
    <w:rsid w:val="002B5B91"/>
    <w:pPr>
      <w:spacing w:before="160" w:after="120"/>
      <w:outlineLvl w:val="3"/>
    </w:pPr>
    <w:rPr>
      <w:sz w:val="22"/>
    </w:rPr>
  </w:style>
  <w:style w:type="paragraph" w:styleId="Heading5">
    <w:name w:val="heading 5"/>
    <w:basedOn w:val="HeadingBase"/>
    <w:next w:val="Normal"/>
    <w:link w:val="Heading5Char"/>
    <w:qFormat/>
    <w:rsid w:val="002B5B91"/>
    <w:pPr>
      <w:spacing w:before="80"/>
      <w:outlineLvl w:val="4"/>
    </w:pPr>
    <w:rPr>
      <w:color w:val="918585"/>
      <w:sz w:val="20"/>
    </w:rPr>
  </w:style>
  <w:style w:type="paragraph" w:styleId="Heading6">
    <w:name w:val="heading 6"/>
    <w:basedOn w:val="HeadingBase"/>
    <w:next w:val="Normal"/>
    <w:link w:val="Heading6Char"/>
    <w:qFormat/>
    <w:rsid w:val="002B5B91"/>
    <w:pPr>
      <w:spacing w:before="60"/>
      <w:outlineLvl w:val="5"/>
    </w:pPr>
    <w:rPr>
      <w:color w:val="918585"/>
      <w:sz w:val="20"/>
    </w:rPr>
  </w:style>
  <w:style w:type="paragraph" w:styleId="Heading7">
    <w:name w:val="heading 7"/>
    <w:basedOn w:val="Normal"/>
    <w:next w:val="Normal"/>
    <w:link w:val="Heading7Char"/>
    <w:qFormat/>
    <w:rsid w:val="002B5B91"/>
    <w:pPr>
      <w:ind w:left="720"/>
      <w:outlineLvl w:val="6"/>
    </w:pPr>
    <w:rPr>
      <w:i/>
    </w:rPr>
  </w:style>
  <w:style w:type="paragraph" w:styleId="Heading8">
    <w:name w:val="heading 8"/>
    <w:basedOn w:val="Normal"/>
    <w:next w:val="Normal"/>
    <w:link w:val="Heading8Char"/>
    <w:qFormat/>
    <w:rsid w:val="002B5B91"/>
    <w:pPr>
      <w:ind w:left="720"/>
      <w:outlineLvl w:val="7"/>
    </w:pPr>
    <w:rPr>
      <w:i/>
    </w:rPr>
  </w:style>
  <w:style w:type="paragraph" w:styleId="Heading9">
    <w:name w:val="heading 9"/>
    <w:basedOn w:val="Normal"/>
    <w:next w:val="Normal"/>
    <w:link w:val="Heading9Char"/>
    <w:qFormat/>
    <w:rsid w:val="002B5B91"/>
    <w:pPr>
      <w:ind w:left="720"/>
      <w:outlineLvl w:val="8"/>
    </w:pPr>
    <w:rPr>
      <w:i/>
    </w:rPr>
  </w:style>
  <w:style w:type="character" w:default="1" w:styleId="DefaultParagraphFont">
    <w:name w:val="Default Paragraph Font"/>
    <w:uiPriority w:val="1"/>
    <w:unhideWhenUsed/>
    <w:rsid w:val="002B5B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B91"/>
  </w:style>
  <w:style w:type="character" w:customStyle="1" w:styleId="Heading1Char">
    <w:name w:val="Heading 1 Char"/>
    <w:basedOn w:val="DefaultParagraphFont"/>
    <w:link w:val="Heading1"/>
    <w:rsid w:val="002B5B91"/>
    <w:rPr>
      <w:rFonts w:ascii="Times New Roman" w:eastAsia="Times New Roman" w:hAnsi="Times New Roman" w:cs="Times New Roman"/>
      <w:b/>
      <w:sz w:val="32"/>
      <w:szCs w:val="20"/>
      <w:lang w:eastAsia="en-US"/>
    </w:rPr>
  </w:style>
  <w:style w:type="paragraph" w:styleId="BodyText">
    <w:name w:val="Body Text"/>
    <w:basedOn w:val="Normal"/>
    <w:link w:val="BodyTextChar"/>
    <w:rsid w:val="002B5B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5B91"/>
    <w:rPr>
      <w:rFonts w:ascii="Times New Roman" w:eastAsia="Times New Roman" w:hAnsi="Times New Roman" w:cs="Times New Roman"/>
      <w:sz w:val="24"/>
      <w:lang w:val="en-US" w:eastAsia="en-US"/>
    </w:rPr>
  </w:style>
  <w:style w:type="paragraph" w:styleId="Footer">
    <w:name w:val="footer"/>
    <w:basedOn w:val="Normal"/>
    <w:link w:val="FooterChar"/>
    <w:rsid w:val="002B5B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B91"/>
    <w:rPr>
      <w:rFonts w:ascii="Times New Roman" w:eastAsia="Times New Roman" w:hAnsi="Times New Roman" w:cs="Times New Roman"/>
      <w:sz w:val="16"/>
      <w:lang w:val="en-US" w:eastAsia="en-US"/>
    </w:rPr>
  </w:style>
  <w:style w:type="paragraph" w:styleId="ListBullet">
    <w:name w:val="List Bullet"/>
    <w:basedOn w:val="List"/>
    <w:rsid w:val="002B5B91"/>
    <w:pPr>
      <w:numPr>
        <w:numId w:val="14"/>
      </w:numPr>
      <w:tabs>
        <w:tab w:val="clear" w:pos="340"/>
      </w:tabs>
      <w:spacing w:before="40" w:after="40"/>
    </w:pPr>
  </w:style>
  <w:style w:type="character" w:customStyle="1" w:styleId="SpecialBold">
    <w:name w:val="Special Bold"/>
    <w:basedOn w:val="DefaultParagraphFont"/>
    <w:rsid w:val="002B5B91"/>
    <w:rPr>
      <w:b/>
      <w:spacing w:val="0"/>
    </w:rPr>
  </w:style>
  <w:style w:type="paragraph" w:styleId="ListBullet2">
    <w:name w:val="List Bullet 2"/>
    <w:basedOn w:val="List2"/>
    <w:rsid w:val="002B5B91"/>
    <w:pPr>
      <w:numPr>
        <w:numId w:val="15"/>
      </w:numPr>
      <w:tabs>
        <w:tab w:val="clear" w:pos="680"/>
      </w:tabs>
    </w:pPr>
  </w:style>
  <w:style w:type="paragraph" w:styleId="Header">
    <w:name w:val="header"/>
    <w:basedOn w:val="Normal"/>
    <w:link w:val="HeaderChar"/>
    <w:rsid w:val="002B5B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B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5B91"/>
    <w:pPr>
      <w:spacing w:before="240" w:after="120"/>
      <w:outlineLvl w:val="0"/>
    </w:pPr>
    <w:rPr>
      <w:rFonts w:ascii="Times New Roman" w:hAnsi="Times New Roman"/>
      <w:b/>
      <w:sz w:val="28"/>
    </w:rPr>
  </w:style>
  <w:style w:type="paragraph" w:customStyle="1" w:styleId="AllowPageBreak">
    <w:name w:val="AllowPageBreak"/>
    <w:rsid w:val="002B5B9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5B91"/>
    <w:pPr>
      <w:numPr>
        <w:numId w:val="3"/>
      </w:numPr>
      <w:tabs>
        <w:tab w:val="clear" w:pos="1021"/>
      </w:tabs>
      <w:ind w:left="1037" w:hanging="357"/>
    </w:pPr>
  </w:style>
  <w:style w:type="character" w:customStyle="1" w:styleId="Heading2Char">
    <w:name w:val="Heading 2 Char"/>
    <w:basedOn w:val="DefaultParagraphFont"/>
    <w:link w:val="Heading2"/>
    <w:rsid w:val="002B5B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B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B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B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B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B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5B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5B91"/>
    <w:rPr>
      <w:rFonts w:ascii="Courier New" w:eastAsia="Times New Roman" w:hAnsi="Courier New" w:cs="Times New Roman"/>
      <w:i/>
      <w:szCs w:val="20"/>
      <w:lang w:val="en-US" w:eastAsia="en-US"/>
    </w:rPr>
  </w:style>
  <w:style w:type="paragraph" w:customStyle="1" w:styleId="HeadingBase">
    <w:name w:val="Heading Base"/>
    <w:rsid w:val="002B5B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B91"/>
    <w:pPr>
      <w:tabs>
        <w:tab w:val="right" w:leader="dot" w:pos="9072"/>
      </w:tabs>
      <w:ind w:left="567"/>
    </w:pPr>
    <w:rPr>
      <w:szCs w:val="22"/>
    </w:rPr>
  </w:style>
  <w:style w:type="paragraph" w:customStyle="1" w:styleId="TOCBase">
    <w:name w:val="TOC Base"/>
    <w:rsid w:val="002B5B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B91"/>
    <w:pPr>
      <w:tabs>
        <w:tab w:val="right" w:leader="dot" w:pos="9072"/>
      </w:tabs>
      <w:spacing w:before="40" w:after="40"/>
      <w:ind w:left="284"/>
    </w:pPr>
    <w:rPr>
      <w:rFonts w:ascii="Times New Roman" w:hAnsi="Times New Roman"/>
    </w:rPr>
  </w:style>
  <w:style w:type="paragraph" w:styleId="TOC1">
    <w:name w:val="toc 1"/>
    <w:basedOn w:val="TOCBase"/>
    <w:next w:val="Normal"/>
    <w:rsid w:val="002B5B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5B91"/>
    <w:pPr>
      <w:spacing w:before="5040"/>
      <w:jc w:val="center"/>
    </w:pPr>
    <w:rPr>
      <w:sz w:val="48"/>
      <w:szCs w:val="72"/>
      <w:lang w:val="en-US"/>
    </w:rPr>
  </w:style>
  <w:style w:type="character" w:customStyle="1" w:styleId="TitleChar">
    <w:name w:val="Title Char"/>
    <w:basedOn w:val="DefaultParagraphFont"/>
    <w:link w:val="Title"/>
    <w:rsid w:val="002B5B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B91"/>
    <w:pPr>
      <w:tabs>
        <w:tab w:val="left" w:pos="3600"/>
        <w:tab w:val="left" w:pos="3958"/>
      </w:tabs>
    </w:pPr>
  </w:style>
  <w:style w:type="paragraph" w:styleId="List">
    <w:name w:val="List"/>
    <w:basedOn w:val="BodyText"/>
    <w:next w:val="BodyText"/>
    <w:rsid w:val="002B5B91"/>
    <w:pPr>
      <w:tabs>
        <w:tab w:val="left" w:pos="340"/>
      </w:tabs>
      <w:spacing w:before="60" w:after="60"/>
      <w:ind w:left="340" w:hanging="340"/>
    </w:pPr>
  </w:style>
  <w:style w:type="paragraph" w:customStyle="1" w:styleId="Note">
    <w:name w:val="Note"/>
    <w:basedOn w:val="BodyText"/>
    <w:rsid w:val="002B5B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5B91"/>
    <w:pPr>
      <w:framePr w:wrap="auto" w:hAnchor="text" w:y="6049"/>
    </w:pPr>
    <w:rPr>
      <w:color w:val="000000"/>
      <w:sz w:val="40"/>
    </w:rPr>
  </w:style>
  <w:style w:type="paragraph" w:customStyle="1" w:styleId="TOCTitle">
    <w:name w:val="TOCTitle"/>
    <w:basedOn w:val="Heading1"/>
    <w:rsid w:val="002B5B91"/>
    <w:pPr>
      <w:spacing w:after="240"/>
      <w:jc w:val="center"/>
      <w:outlineLvl w:val="9"/>
    </w:pPr>
    <w:rPr>
      <w:caps/>
    </w:rPr>
  </w:style>
  <w:style w:type="paragraph" w:customStyle="1" w:styleId="Version">
    <w:name w:val="Version"/>
    <w:rsid w:val="002B5B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5B91"/>
    <w:pPr>
      <w:keepNext w:val="0"/>
      <w:tabs>
        <w:tab w:val="right" w:pos="4176"/>
      </w:tabs>
      <w:ind w:left="198" w:hanging="198"/>
    </w:pPr>
    <w:rPr>
      <w:rFonts w:ascii="Garamond" w:hAnsi="Garamond"/>
    </w:rPr>
  </w:style>
  <w:style w:type="paragraph" w:styleId="IndexHeading">
    <w:name w:val="index heading"/>
    <w:basedOn w:val="Normal"/>
    <w:next w:val="Index1"/>
    <w:semiHidden/>
    <w:rsid w:val="002B5B91"/>
    <w:pPr>
      <w:spacing w:before="120" w:after="120"/>
    </w:pPr>
    <w:rPr>
      <w:rFonts w:ascii="Arial" w:hAnsi="Arial"/>
      <w:b/>
      <w:color w:val="918585"/>
      <w:sz w:val="24"/>
    </w:rPr>
  </w:style>
  <w:style w:type="paragraph" w:customStyle="1" w:styleId="Chapter">
    <w:name w:val="Chapter"/>
    <w:basedOn w:val="Normal"/>
    <w:rsid w:val="002B5B91"/>
    <w:pPr>
      <w:spacing w:before="240"/>
    </w:pPr>
    <w:rPr>
      <w:rFonts w:ascii="Times New Roman" w:hAnsi="Times New Roman"/>
      <w:smallCaps/>
      <w:spacing w:val="80"/>
      <w:sz w:val="28"/>
    </w:rPr>
  </w:style>
  <w:style w:type="paragraph" w:customStyle="1" w:styleId="InChapter">
    <w:name w:val="InChapter"/>
    <w:basedOn w:val="Heading3"/>
    <w:rsid w:val="002B5B91"/>
    <w:pPr>
      <w:spacing w:after="240"/>
      <w:outlineLvl w:val="9"/>
    </w:pPr>
    <w:rPr>
      <w:noProof/>
    </w:rPr>
  </w:style>
  <w:style w:type="paragraph" w:styleId="Index2">
    <w:name w:val="index 2"/>
    <w:basedOn w:val="Normal"/>
    <w:next w:val="Normal"/>
    <w:semiHidden/>
    <w:rsid w:val="002B5B91"/>
    <w:pPr>
      <w:tabs>
        <w:tab w:val="right" w:pos="4176"/>
      </w:tabs>
      <w:ind w:left="568" w:hanging="284"/>
    </w:pPr>
    <w:rPr>
      <w:rFonts w:ascii="Garamond" w:hAnsi="Garamond"/>
    </w:rPr>
  </w:style>
  <w:style w:type="paragraph" w:customStyle="1" w:styleId="Byline">
    <w:name w:val="Byline"/>
    <w:rsid w:val="002B5B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B91"/>
    <w:pPr>
      <w:tabs>
        <w:tab w:val="clear" w:pos="3600"/>
        <w:tab w:val="clear" w:pos="3958"/>
      </w:tabs>
      <w:jc w:val="right"/>
    </w:pPr>
  </w:style>
  <w:style w:type="character" w:styleId="Emphasis">
    <w:name w:val="Emphasis"/>
    <w:basedOn w:val="DefaultParagraphFont"/>
    <w:qFormat/>
    <w:rsid w:val="002B5B91"/>
    <w:rPr>
      <w:i/>
    </w:rPr>
  </w:style>
  <w:style w:type="paragraph" w:styleId="Caption">
    <w:name w:val="caption"/>
    <w:basedOn w:val="BodyText"/>
    <w:next w:val="Normal"/>
    <w:qFormat/>
    <w:rsid w:val="002B5B91"/>
    <w:pPr>
      <w:framePr w:w="2268" w:hSpace="181" w:vSpace="181" w:wrap="around" w:vAnchor="text" w:hAnchor="page" w:x="1135" w:y="285" w:anchorLock="1"/>
    </w:pPr>
    <w:rPr>
      <w:i/>
    </w:rPr>
  </w:style>
  <w:style w:type="paragraph" w:customStyle="1" w:styleId="MiniTOCTitle">
    <w:name w:val="MiniTOCTitle"/>
    <w:basedOn w:val="Heading4"/>
    <w:rsid w:val="002B5B91"/>
    <w:pPr>
      <w:spacing w:before="240"/>
      <w:outlineLvl w:val="9"/>
    </w:pPr>
    <w:rPr>
      <w:noProof/>
      <w:sz w:val="24"/>
    </w:rPr>
  </w:style>
  <w:style w:type="paragraph" w:customStyle="1" w:styleId="MiniTOCItem">
    <w:name w:val="MiniTOCItem"/>
    <w:basedOn w:val="ListBullet"/>
    <w:rsid w:val="002B5B91"/>
    <w:pPr>
      <w:numPr>
        <w:numId w:val="0"/>
      </w:numPr>
      <w:tabs>
        <w:tab w:val="right" w:leader="dot" w:pos="6521"/>
      </w:tabs>
      <w:spacing w:before="0" w:after="0"/>
    </w:pPr>
  </w:style>
  <w:style w:type="paragraph" w:customStyle="1" w:styleId="TOFTitle">
    <w:name w:val="TOFTitle"/>
    <w:basedOn w:val="TOCTitle"/>
    <w:rsid w:val="002B5B91"/>
  </w:style>
  <w:style w:type="paragraph" w:styleId="TableofFigures">
    <w:name w:val="table of figures"/>
    <w:basedOn w:val="Normal"/>
    <w:next w:val="Normal"/>
    <w:semiHidden/>
    <w:rsid w:val="002B5B91"/>
    <w:pPr>
      <w:tabs>
        <w:tab w:val="right" w:leader="dot" w:pos="9072"/>
      </w:tabs>
      <w:ind w:left="970" w:hanging="403"/>
    </w:pPr>
    <w:rPr>
      <w:rFonts w:ascii="Times New Roman" w:hAnsi="Times New Roman"/>
      <w:b/>
    </w:rPr>
  </w:style>
  <w:style w:type="paragraph" w:styleId="ListNumber">
    <w:name w:val="List Number"/>
    <w:basedOn w:val="List"/>
    <w:rsid w:val="002B5B91"/>
    <w:pPr>
      <w:numPr>
        <w:numId w:val="12"/>
      </w:numPr>
    </w:pPr>
  </w:style>
  <w:style w:type="character" w:customStyle="1" w:styleId="WingdingSymbols">
    <w:name w:val="Wingding Symbols"/>
    <w:rsid w:val="002B5B91"/>
    <w:rPr>
      <w:rFonts w:ascii="Wingdings" w:hAnsi="Wingdings"/>
    </w:rPr>
  </w:style>
  <w:style w:type="paragraph" w:customStyle="1" w:styleId="TableHeading">
    <w:name w:val="Table Heading"/>
    <w:basedOn w:val="HeadingBase"/>
    <w:rsid w:val="002B5B91"/>
    <w:pPr>
      <w:keepLines/>
      <w:pBdr>
        <w:bottom w:val="single" w:sz="6" w:space="1" w:color="918585"/>
      </w:pBdr>
      <w:spacing w:before="240"/>
    </w:pPr>
  </w:style>
  <w:style w:type="character" w:customStyle="1" w:styleId="HotSpot">
    <w:name w:val="HotSpot"/>
    <w:rsid w:val="002B5B91"/>
    <w:rPr>
      <w:color w:val="0033CC"/>
      <w:u w:val="none"/>
    </w:rPr>
  </w:style>
  <w:style w:type="paragraph" w:customStyle="1" w:styleId="BodyTextRight">
    <w:name w:val="Body Text Right"/>
    <w:basedOn w:val="BodyText"/>
    <w:rsid w:val="002B5B91"/>
    <w:pPr>
      <w:spacing w:before="0" w:after="0"/>
      <w:jc w:val="right"/>
    </w:pPr>
  </w:style>
  <w:style w:type="paragraph" w:styleId="Index3">
    <w:name w:val="index 3"/>
    <w:basedOn w:val="ListNumber2"/>
    <w:next w:val="Normal"/>
    <w:semiHidden/>
    <w:rsid w:val="002B5B91"/>
    <w:pPr>
      <w:numPr>
        <w:numId w:val="0"/>
      </w:numPr>
      <w:tabs>
        <w:tab w:val="right" w:leader="dot" w:pos="4176"/>
      </w:tabs>
    </w:pPr>
  </w:style>
  <w:style w:type="paragraph" w:styleId="ListNumber2">
    <w:name w:val="List Number 2"/>
    <w:basedOn w:val="List2"/>
    <w:rsid w:val="002B5B91"/>
    <w:pPr>
      <w:numPr>
        <w:numId w:val="11"/>
      </w:numPr>
      <w:tabs>
        <w:tab w:val="clear" w:pos="1060"/>
      </w:tabs>
    </w:pPr>
  </w:style>
  <w:style w:type="paragraph" w:customStyle="1" w:styleId="MarginNote">
    <w:name w:val="Margin Note"/>
    <w:basedOn w:val="BodyText"/>
    <w:rsid w:val="002B5B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B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B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5B91"/>
    <w:rPr>
      <w:sz w:val="32"/>
    </w:rPr>
  </w:style>
  <w:style w:type="paragraph" w:customStyle="1" w:styleId="HeadingProcedure">
    <w:name w:val="Heading Procedure"/>
    <w:basedOn w:val="HeadingBase"/>
    <w:next w:val="Normal"/>
    <w:rsid w:val="002B5B91"/>
    <w:pPr>
      <w:tabs>
        <w:tab w:val="left" w:pos="0"/>
      </w:tabs>
      <w:spacing w:before="120" w:after="60"/>
    </w:pPr>
    <w:rPr>
      <w:i/>
      <w:color w:val="918585"/>
      <w:sz w:val="22"/>
    </w:rPr>
  </w:style>
  <w:style w:type="paragraph" w:customStyle="1" w:styleId="TableBodyText">
    <w:name w:val="Table Body Text"/>
    <w:basedOn w:val="BodyText"/>
    <w:rsid w:val="002B5B91"/>
    <w:pPr>
      <w:spacing w:before="60" w:after="60"/>
    </w:pPr>
  </w:style>
  <w:style w:type="paragraph" w:styleId="ListContinue">
    <w:name w:val="List Continue"/>
    <w:basedOn w:val="List"/>
    <w:rsid w:val="002B5B91"/>
    <w:pPr>
      <w:ind w:firstLine="0"/>
    </w:pPr>
  </w:style>
  <w:style w:type="paragraph" w:customStyle="1" w:styleId="ListNote">
    <w:name w:val="List Note"/>
    <w:basedOn w:val="List"/>
    <w:rsid w:val="002B5B91"/>
    <w:pPr>
      <w:pBdr>
        <w:top w:val="single" w:sz="6" w:space="2" w:color="918585"/>
        <w:bottom w:val="single" w:sz="6" w:space="2" w:color="918585"/>
      </w:pBdr>
      <w:tabs>
        <w:tab w:val="left" w:pos="1021"/>
      </w:tabs>
      <w:ind w:firstLine="0"/>
    </w:pPr>
  </w:style>
  <w:style w:type="paragraph" w:customStyle="1" w:styleId="Warning">
    <w:name w:val="Warning"/>
    <w:basedOn w:val="BodyText"/>
    <w:rsid w:val="002B5B91"/>
    <w:pPr>
      <w:shd w:val="clear" w:color="auto" w:fill="D9D9D9"/>
      <w:tabs>
        <w:tab w:val="left" w:pos="992"/>
      </w:tabs>
      <w:ind w:left="119" w:right="119"/>
    </w:pPr>
    <w:rPr>
      <w:sz w:val="20"/>
    </w:rPr>
  </w:style>
  <w:style w:type="paragraph" w:customStyle="1" w:styleId="MarginIcons">
    <w:name w:val="Margin Icons"/>
    <w:basedOn w:val="BodyText"/>
    <w:rsid w:val="002B5B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B91"/>
    <w:rPr>
      <w:rFonts w:ascii="Courier New" w:hAnsi="Courier New"/>
    </w:rPr>
  </w:style>
  <w:style w:type="paragraph" w:customStyle="1" w:styleId="NoteBullet">
    <w:name w:val="Note Bullet"/>
    <w:basedOn w:val="Note"/>
    <w:rsid w:val="002B5B91"/>
    <w:pPr>
      <w:tabs>
        <w:tab w:val="clear" w:pos="680"/>
      </w:tabs>
      <w:spacing w:before="60" w:after="60"/>
    </w:pPr>
  </w:style>
  <w:style w:type="paragraph" w:customStyle="1" w:styleId="SubHeading2">
    <w:name w:val="SubHeading2"/>
    <w:basedOn w:val="HeadingBase"/>
    <w:rsid w:val="002B5B91"/>
    <w:pPr>
      <w:spacing w:before="240" w:after="60"/>
    </w:pPr>
    <w:rPr>
      <w:sz w:val="20"/>
    </w:rPr>
  </w:style>
  <w:style w:type="paragraph" w:customStyle="1" w:styleId="SubHeading1">
    <w:name w:val="SubHeading1"/>
    <w:basedOn w:val="HeadingBase"/>
    <w:rsid w:val="002B5B91"/>
    <w:pPr>
      <w:spacing w:before="240" w:after="60"/>
    </w:pPr>
    <w:rPr>
      <w:color w:val="918585"/>
      <w:sz w:val="22"/>
    </w:rPr>
  </w:style>
  <w:style w:type="paragraph" w:customStyle="1" w:styleId="SideHeading">
    <w:name w:val="Side Heading"/>
    <w:basedOn w:val="HeadingBase"/>
    <w:rsid w:val="002B5B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B91"/>
    <w:pPr>
      <w:numPr>
        <w:numId w:val="13"/>
      </w:numPr>
    </w:pPr>
  </w:style>
  <w:style w:type="paragraph" w:styleId="PlainText">
    <w:name w:val="Plain Text"/>
    <w:basedOn w:val="Normal"/>
    <w:link w:val="PlainTextChar"/>
    <w:rsid w:val="002B5B91"/>
    <w:rPr>
      <w:sz w:val="20"/>
    </w:rPr>
  </w:style>
  <w:style w:type="character" w:customStyle="1" w:styleId="PlainTextChar">
    <w:name w:val="Plain Text Char"/>
    <w:basedOn w:val="DefaultParagraphFont"/>
    <w:link w:val="PlainText"/>
    <w:rsid w:val="002B5B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5B91"/>
    <w:rPr>
      <w:b/>
      <w:smallCaps/>
    </w:rPr>
  </w:style>
  <w:style w:type="paragraph" w:customStyle="1" w:styleId="TableListNumber">
    <w:name w:val="Table List Number"/>
    <w:basedOn w:val="ListNumber"/>
    <w:rsid w:val="002B5B91"/>
    <w:pPr>
      <w:numPr>
        <w:numId w:val="0"/>
      </w:numPr>
    </w:pPr>
  </w:style>
  <w:style w:type="paragraph" w:styleId="TOC4">
    <w:name w:val="toc 4"/>
    <w:basedOn w:val="TOCBase"/>
    <w:next w:val="Normal"/>
    <w:semiHidden/>
    <w:rsid w:val="002B5B91"/>
    <w:pPr>
      <w:tabs>
        <w:tab w:val="right" w:leader="dot" w:pos="9071"/>
      </w:tabs>
      <w:ind w:left="1701"/>
    </w:pPr>
  </w:style>
  <w:style w:type="paragraph" w:customStyle="1" w:styleId="ListAlpha">
    <w:name w:val="List Alpha"/>
    <w:basedOn w:val="List"/>
    <w:rsid w:val="002B5B91"/>
    <w:pPr>
      <w:numPr>
        <w:numId w:val="10"/>
      </w:numPr>
    </w:pPr>
  </w:style>
  <w:style w:type="paragraph" w:customStyle="1" w:styleId="ListAlpha2">
    <w:name w:val="List Alpha 2"/>
    <w:basedOn w:val="List2"/>
    <w:rsid w:val="002B5B91"/>
    <w:pPr>
      <w:numPr>
        <w:numId w:val="9"/>
      </w:numPr>
    </w:pPr>
  </w:style>
  <w:style w:type="paragraph" w:styleId="List2">
    <w:name w:val="List 2"/>
    <w:basedOn w:val="BodyText"/>
    <w:rsid w:val="002B5B91"/>
    <w:pPr>
      <w:tabs>
        <w:tab w:val="left" w:pos="680"/>
      </w:tabs>
      <w:spacing w:before="60" w:after="60"/>
      <w:ind w:left="680" w:hanging="340"/>
    </w:pPr>
  </w:style>
  <w:style w:type="paragraph" w:styleId="List3">
    <w:name w:val="List 3"/>
    <w:basedOn w:val="BodyText"/>
    <w:rsid w:val="002B5B91"/>
    <w:pPr>
      <w:tabs>
        <w:tab w:val="left" w:pos="1021"/>
      </w:tabs>
      <w:spacing w:before="60" w:after="60"/>
      <w:ind w:left="1020" w:hanging="340"/>
    </w:pPr>
  </w:style>
  <w:style w:type="paragraph" w:styleId="List4">
    <w:name w:val="List 4"/>
    <w:basedOn w:val="BodyText"/>
    <w:rsid w:val="002B5B91"/>
    <w:pPr>
      <w:tabs>
        <w:tab w:val="left" w:pos="1361"/>
      </w:tabs>
      <w:spacing w:before="60" w:after="60"/>
      <w:ind w:left="1361" w:hanging="340"/>
    </w:pPr>
  </w:style>
  <w:style w:type="paragraph" w:styleId="List5">
    <w:name w:val="List 5"/>
    <w:basedOn w:val="BodyText"/>
    <w:rsid w:val="002B5B91"/>
    <w:pPr>
      <w:tabs>
        <w:tab w:val="left" w:pos="1701"/>
      </w:tabs>
      <w:spacing w:before="60" w:after="60"/>
      <w:ind w:left="1701" w:hanging="340"/>
    </w:pPr>
  </w:style>
  <w:style w:type="paragraph" w:styleId="ListBullet4">
    <w:name w:val="List Bullet 4"/>
    <w:basedOn w:val="List4"/>
    <w:rsid w:val="002B5B91"/>
    <w:pPr>
      <w:numPr>
        <w:numId w:val="4"/>
      </w:numPr>
    </w:pPr>
  </w:style>
  <w:style w:type="paragraph" w:styleId="ListBullet5">
    <w:name w:val="List Bullet 5"/>
    <w:basedOn w:val="List5"/>
    <w:rsid w:val="002B5B91"/>
    <w:pPr>
      <w:numPr>
        <w:numId w:val="5"/>
      </w:numPr>
    </w:pPr>
  </w:style>
  <w:style w:type="paragraph" w:styleId="ListContinue2">
    <w:name w:val="List Continue 2"/>
    <w:basedOn w:val="List2"/>
    <w:rsid w:val="002B5B91"/>
    <w:pPr>
      <w:ind w:firstLine="0"/>
    </w:pPr>
  </w:style>
  <w:style w:type="paragraph" w:styleId="ListContinue3">
    <w:name w:val="List Continue 3"/>
    <w:basedOn w:val="List3"/>
    <w:rsid w:val="002B5B91"/>
    <w:pPr>
      <w:ind w:left="1021" w:firstLine="0"/>
    </w:pPr>
  </w:style>
  <w:style w:type="paragraph" w:styleId="ListContinue4">
    <w:name w:val="List Continue 4"/>
    <w:basedOn w:val="List4"/>
    <w:rsid w:val="002B5B91"/>
    <w:pPr>
      <w:ind w:firstLine="0"/>
    </w:pPr>
  </w:style>
  <w:style w:type="paragraph" w:styleId="ListContinue5">
    <w:name w:val="List Continue 5"/>
    <w:basedOn w:val="List5"/>
    <w:rsid w:val="002B5B91"/>
    <w:pPr>
      <w:ind w:firstLine="0"/>
    </w:pPr>
  </w:style>
  <w:style w:type="paragraph" w:styleId="ListNumber3">
    <w:name w:val="List Number 3"/>
    <w:basedOn w:val="List3"/>
    <w:rsid w:val="002B5B91"/>
    <w:pPr>
      <w:numPr>
        <w:numId w:val="6"/>
      </w:numPr>
    </w:pPr>
  </w:style>
  <w:style w:type="paragraph" w:styleId="ListNumber4">
    <w:name w:val="List Number 4"/>
    <w:basedOn w:val="List4"/>
    <w:rsid w:val="002B5B91"/>
    <w:pPr>
      <w:numPr>
        <w:numId w:val="7"/>
      </w:numPr>
    </w:pPr>
  </w:style>
  <w:style w:type="paragraph" w:styleId="ListNumber5">
    <w:name w:val="List Number 5"/>
    <w:basedOn w:val="List5"/>
    <w:rsid w:val="002B5B91"/>
    <w:pPr>
      <w:numPr>
        <w:numId w:val="8"/>
      </w:numPr>
    </w:pPr>
  </w:style>
  <w:style w:type="paragraph" w:styleId="BlockText">
    <w:name w:val="Block Text"/>
    <w:basedOn w:val="Normal"/>
    <w:rsid w:val="002B5B91"/>
    <w:pPr>
      <w:spacing w:after="120"/>
      <w:ind w:left="1440" w:right="1440"/>
    </w:pPr>
  </w:style>
  <w:style w:type="character" w:customStyle="1" w:styleId="Subscript">
    <w:name w:val="Subscript"/>
    <w:basedOn w:val="DefaultParagraphFont"/>
    <w:rsid w:val="002B5B91"/>
    <w:rPr>
      <w:sz w:val="16"/>
      <w:vertAlign w:val="subscript"/>
    </w:rPr>
  </w:style>
  <w:style w:type="character" w:customStyle="1" w:styleId="Superscript">
    <w:name w:val="Superscript"/>
    <w:basedOn w:val="DefaultParagraphFont"/>
    <w:rsid w:val="002B5B91"/>
    <w:rPr>
      <w:sz w:val="16"/>
      <w:vertAlign w:val="superscript"/>
    </w:rPr>
  </w:style>
  <w:style w:type="character" w:customStyle="1" w:styleId="Symbols">
    <w:name w:val="Symbols"/>
    <w:basedOn w:val="DefaultParagraphFont"/>
    <w:rsid w:val="002B5B91"/>
    <w:rPr>
      <w:rFonts w:ascii="Symbol" w:hAnsi="Symbol"/>
    </w:rPr>
  </w:style>
  <w:style w:type="character" w:customStyle="1" w:styleId="MenuOptions">
    <w:name w:val="Menu Options"/>
    <w:basedOn w:val="DefaultParagraphFont"/>
    <w:rsid w:val="002B5B91"/>
    <w:rPr>
      <w:rFonts w:ascii="Arial Narrow" w:hAnsi="Arial Narrow"/>
      <w:smallCaps/>
    </w:rPr>
  </w:style>
  <w:style w:type="character" w:customStyle="1" w:styleId="Buttons">
    <w:name w:val="Buttons"/>
    <w:basedOn w:val="DefaultParagraphFont"/>
    <w:rsid w:val="002B5B91"/>
    <w:rPr>
      <w:b/>
    </w:rPr>
  </w:style>
  <w:style w:type="character" w:customStyle="1" w:styleId="Underlined">
    <w:name w:val="Underlined"/>
    <w:basedOn w:val="DefaultParagraphFont"/>
    <w:rsid w:val="002B5B91"/>
    <w:rPr>
      <w:u w:val="single"/>
    </w:rPr>
  </w:style>
  <w:style w:type="paragraph" w:customStyle="1" w:styleId="TableBodyTextRight">
    <w:name w:val="Table Body Text Right"/>
    <w:basedOn w:val="TableBodyText"/>
    <w:rsid w:val="002B5B91"/>
    <w:pPr>
      <w:widowControl w:val="0"/>
      <w:autoSpaceDE w:val="0"/>
      <w:autoSpaceDN w:val="0"/>
      <w:adjustRightInd w:val="0"/>
      <w:jc w:val="right"/>
    </w:pPr>
    <w:rPr>
      <w:rFonts w:cs="Arial"/>
      <w:szCs w:val="18"/>
    </w:rPr>
  </w:style>
  <w:style w:type="paragraph" w:customStyle="1" w:styleId="CopyrightText">
    <w:name w:val="Copyright Text"/>
    <w:basedOn w:val="BodyText"/>
    <w:rsid w:val="002B5B91"/>
    <w:rPr>
      <w:sz w:val="18"/>
    </w:rPr>
  </w:style>
  <w:style w:type="paragraph" w:customStyle="1" w:styleId="BodySmallRight">
    <w:name w:val="Body Small Right"/>
    <w:basedOn w:val="BodyTextRight"/>
    <w:rsid w:val="002B5B91"/>
    <w:rPr>
      <w:sz w:val="18"/>
      <w:szCs w:val="18"/>
    </w:rPr>
  </w:style>
  <w:style w:type="paragraph" w:customStyle="1" w:styleId="MarginEdition">
    <w:name w:val="Margin Edition"/>
    <w:basedOn w:val="MarginNote"/>
    <w:rsid w:val="002B5B91"/>
    <w:pPr>
      <w:spacing w:before="0" w:after="0"/>
    </w:pPr>
    <w:rPr>
      <w:rFonts w:ascii="Times New Roman" w:hAnsi="Times New Roman"/>
      <w:color w:val="999999"/>
    </w:rPr>
  </w:style>
  <w:style w:type="paragraph" w:customStyle="1" w:styleId="Spacer">
    <w:name w:val="Spacer"/>
    <w:basedOn w:val="Normal"/>
    <w:rsid w:val="002B5B91"/>
    <w:rPr>
      <w:sz w:val="2"/>
      <w:szCs w:val="2"/>
    </w:rPr>
  </w:style>
  <w:style w:type="character" w:customStyle="1" w:styleId="Small">
    <w:name w:val="Small"/>
    <w:basedOn w:val="DefaultParagraphFont"/>
    <w:rsid w:val="002B5B91"/>
    <w:rPr>
      <w:sz w:val="16"/>
    </w:rPr>
  </w:style>
  <w:style w:type="paragraph" w:customStyle="1" w:styleId="WideTable">
    <w:name w:val="Wide Table"/>
    <w:basedOn w:val="Normal"/>
    <w:rsid w:val="002B5B91"/>
    <w:pPr>
      <w:ind w:left="-1418"/>
    </w:pPr>
    <w:rPr>
      <w:sz w:val="2"/>
      <w:szCs w:val="2"/>
    </w:rPr>
  </w:style>
  <w:style w:type="character" w:styleId="PageNumber">
    <w:name w:val="page number"/>
    <w:basedOn w:val="DefaultParagraphFont"/>
    <w:rsid w:val="002B5B91"/>
  </w:style>
  <w:style w:type="paragraph" w:styleId="Quote">
    <w:name w:val="Quote"/>
    <w:basedOn w:val="Heading1"/>
    <w:link w:val="QuoteChar"/>
    <w:qFormat/>
    <w:rsid w:val="002B5B91"/>
    <w:rPr>
      <w:b w:val="0"/>
      <w:sz w:val="72"/>
      <w:szCs w:val="72"/>
      <w:lang w:val="en-NZ"/>
    </w:rPr>
  </w:style>
  <w:style w:type="character" w:customStyle="1" w:styleId="QuoteChar">
    <w:name w:val="Quote Char"/>
    <w:basedOn w:val="DefaultParagraphFont"/>
    <w:link w:val="Quote"/>
    <w:rsid w:val="002B5B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B91"/>
    <w:pPr>
      <w:pageBreakBefore/>
    </w:pPr>
  </w:style>
  <w:style w:type="paragraph" w:customStyle="1" w:styleId="Border">
    <w:name w:val="Border"/>
    <w:basedOn w:val="Normal"/>
    <w:qFormat/>
    <w:rsid w:val="002B5B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B91"/>
    <w:rPr>
      <w:b/>
      <w:bCs/>
      <w:i/>
      <w:iCs/>
      <w:color w:val="auto"/>
    </w:rPr>
  </w:style>
  <w:style w:type="paragraph" w:styleId="IntenseQuote">
    <w:name w:val="Intense Quote"/>
    <w:basedOn w:val="Normal"/>
    <w:next w:val="Normal"/>
    <w:link w:val="IntenseQuoteChar"/>
    <w:uiPriority w:val="30"/>
    <w:qFormat/>
    <w:rsid w:val="002B5B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B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5B91"/>
    <w:rPr>
      <w:smallCaps/>
      <w:color w:val="auto"/>
      <w:u w:val="single"/>
    </w:rPr>
  </w:style>
  <w:style w:type="character" w:styleId="IntenseReference">
    <w:name w:val="Intense Reference"/>
    <w:basedOn w:val="DefaultParagraphFont"/>
    <w:uiPriority w:val="32"/>
    <w:qFormat/>
    <w:rsid w:val="002B5B91"/>
    <w:rPr>
      <w:b/>
      <w:bCs/>
      <w:smallCaps/>
      <w:color w:val="auto"/>
      <w:spacing w:val="5"/>
      <w:u w:val="single"/>
    </w:rPr>
  </w:style>
  <w:style w:type="paragraph" w:customStyle="1" w:styleId="2ColumnHeading">
    <w:name w:val="2Column Heading"/>
    <w:basedOn w:val="BodyText"/>
    <w:qFormat/>
    <w:rsid w:val="002B5B91"/>
    <w:pPr>
      <w:spacing w:after="60"/>
      <w:ind w:left="-2268"/>
    </w:pPr>
    <w:rPr>
      <w:b/>
    </w:rPr>
  </w:style>
  <w:style w:type="paragraph" w:customStyle="1" w:styleId="Heading1TOC">
    <w:name w:val="Heading1 TOC"/>
    <w:basedOn w:val="Normal"/>
    <w:qFormat/>
    <w:rsid w:val="002B5B91"/>
    <w:pPr>
      <w:spacing w:before="240" w:after="120"/>
    </w:pPr>
    <w:rPr>
      <w:rFonts w:ascii="Times New Roman" w:hAnsi="Times New Roman"/>
      <w:b/>
      <w:sz w:val="32"/>
    </w:rPr>
  </w:style>
  <w:style w:type="paragraph" w:customStyle="1" w:styleId="Heading2TOC">
    <w:name w:val="Heading2 TOC"/>
    <w:basedOn w:val="Normal"/>
    <w:qFormat/>
    <w:rsid w:val="002B5B91"/>
    <w:pPr>
      <w:spacing w:before="240" w:after="60"/>
    </w:pPr>
    <w:rPr>
      <w:rFonts w:ascii="Times New Roman" w:hAnsi="Times New Roman"/>
      <w:b/>
      <w:sz w:val="28"/>
    </w:rPr>
  </w:style>
  <w:style w:type="character" w:customStyle="1" w:styleId="Underline">
    <w:name w:val="Underline"/>
    <w:basedOn w:val="DefaultParagraphFont"/>
    <w:qFormat/>
    <w:rsid w:val="002B5B91"/>
    <w:rPr>
      <w:u w:val="single"/>
    </w:rPr>
  </w:style>
  <w:style w:type="character" w:customStyle="1" w:styleId="BoldandItalics">
    <w:name w:val="Bold and Italics"/>
    <w:qFormat/>
    <w:rsid w:val="002B5B91"/>
    <w:rPr>
      <w:b/>
      <w:i/>
      <w:u w:val="none"/>
    </w:rPr>
  </w:style>
  <w:style w:type="paragraph" w:styleId="BalloonText">
    <w:name w:val="Balloon Text"/>
    <w:basedOn w:val="Normal"/>
    <w:link w:val="BalloonTextChar"/>
    <w:rsid w:val="002B5B91"/>
    <w:rPr>
      <w:rFonts w:ascii="Tahoma" w:hAnsi="Tahoma" w:cs="Tahoma"/>
      <w:sz w:val="16"/>
      <w:szCs w:val="16"/>
    </w:rPr>
  </w:style>
  <w:style w:type="character" w:customStyle="1" w:styleId="BalloonTextChar">
    <w:name w:val="Balloon Text Char"/>
    <w:basedOn w:val="DefaultParagraphFont"/>
    <w:link w:val="BalloonText"/>
    <w:rsid w:val="002B5B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5B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5B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2440</Words>
  <Characters>15240</Characters>
  <Application>Microsoft Office Word</Application>
  <DocSecurity>0</DocSecurity>
  <Lines>613</Lines>
  <Paragraphs>246</Paragraphs>
  <ScaleCrop>false</ScaleCrop>
  <Company>Author-it Software Corporation Ltd.</Company>
  <LinksUpToDate>false</LinksUpToDate>
  <CharactersWithSpaces>17507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UETTDRDP11A Inspect overhead poles-structures and electrical apparatus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2012-05-26T12:04:00Z</dcterms:created>
  <dcterms:modified xsi:type="dcterms:W3CDTF">2012-05-26T12:04:00Z</dcterms:modified>
</cp:coreProperties>
</file>