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666" w:rsidP="00486666">
      <w:pPr>
        <w:pStyle w:val="Title"/>
      </w:pPr>
      <w:r>
        <w:fldChar w:fldCharType="begin"/>
      </w:r>
      <w:r>
        <w:instrText xml:space="preserve"> TITLE   \* MERGEFORMAT </w:instrText>
      </w:r>
      <w:r>
        <w:fldChar w:fldCharType="separate"/>
      </w:r>
      <w:r>
        <w:t>UETTDRCJ34A Install and maintain network infrastructure HV underground cables</w:t>
      </w:r>
      <w:r>
        <w:fldChar w:fldCharType="end"/>
      </w:r>
    </w:p>
    <w:p w:rsidR="00486666" w:rsidP="00486666">
      <w:pPr>
        <w:pStyle w:val="Version"/>
        <w:sectPr w:rsidSect="00C974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46A" w:rsidP="00C9746A">
      <w:pPr>
        <w:pStyle w:val="SuperHeading"/>
      </w:pPr>
      <w:r w:rsidRPr="00C9746A">
        <w:t>UETTDRCJ34A Install and maintain network infrastructure HV underground cables</w:t>
      </w:r>
    </w:p>
    <w:p w:rsidR="00000000" w:rsidRPr="00C9746A" w:rsidP="00C9746A">
      <w:pPr>
        <w:pStyle w:val="Heading1"/>
      </w:pPr>
      <w:bookmarkStart w:id="1" w:name="O_462159"/>
      <w:bookmarkEnd w:id="1"/>
      <w:r w:rsidRPr="00C9746A">
        <w:t>Modification History</w:t>
      </w:r>
    </w:p>
    <w:p w:rsidR="00000000" w:rsidRPr="00C9746A" w:rsidP="00C9746A">
      <w:pPr>
        <w:pStyle w:val="BodyText"/>
      </w:pPr>
      <w:r w:rsidRPr="00C9746A">
        <w:t>Not applicable.</w:t>
      </w:r>
    </w:p>
    <w:p w:rsidR="00000000" w:rsidRPr="00C9746A" w:rsidP="00C9746A">
      <w:pPr>
        <w:pStyle w:val="AllowPageBreak"/>
      </w:pPr>
    </w:p>
    <w:p w:rsidR="00000000" w:rsidRPr="00C9746A" w:rsidP="00C9746A">
      <w:pPr>
        <w:pStyle w:val="Heading1"/>
      </w:pPr>
      <w:bookmarkStart w:id="2" w:name="O_462157"/>
      <w:bookmarkEnd w:id="2"/>
      <w:r w:rsidRPr="00C9746A">
        <w:t>Unit Descriptor</w:t>
      </w:r>
    </w:p>
    <w:tbl>
      <w:tblPr>
        <w:tblW w:w="0" w:type="auto"/>
        <w:tblLayout w:type="fixed"/>
        <w:tblCellMar>
          <w:left w:w="62" w:type="dxa"/>
          <w:right w:w="62" w:type="dxa"/>
        </w:tblCellMar>
        <w:tblLook w:val="0000"/>
      </w:tblPr>
      <w:tblGrid>
        <w:gridCol w:w="2700"/>
        <w:gridCol w:w="5760"/>
      </w:tblGrid>
      <w:tr w:rsidTr="004866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1)</w:t>
            </w:r>
            <w:r w:rsidRPr="00C9746A">
              <w:t xml:space="preserve"> </w:t>
            </w:r>
            <w:r w:rsidRPr="00C9746A">
              <w:rPr>
                <w:rStyle w:val="SpecialBold"/>
              </w:rPr>
              <w:t>Scope:</w:t>
            </w:r>
          </w:p>
        </w:tc>
      </w:tr>
      <w:tr w:rsidTr="00486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974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1.1) Descriptor</w:t>
            </w:r>
          </w:p>
        </w:tc>
      </w:tr>
      <w:tr w:rsidTr="00486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 xml:space="preserve">This Competency Standard Unit covers the installation and maintenance of de-energised high voltage underground cables and covers the laying of cables as well as the jointing, terminating, repair and replacement of cables. It could include direct laying of </w:t>
            </w:r>
            <w:r w:rsidRPr="00C9746A">
              <w:t>cables in trenches, on racks, in troughs and /or in conduit or ducts and also includes the isolation of systems and circuits, the procedure of issuing/accepting electrical access permits, the undertaking of pre-commissioning and/or re-commissioning tests a</w:t>
            </w:r>
            <w:r w:rsidRPr="00C9746A">
              <w:t>nd the updating of system data/maintenance records.</w:t>
            </w:r>
          </w:p>
        </w:tc>
      </w:tr>
    </w:tbl>
    <w:p w:rsidR="00000000" w:rsidRPr="00C9746A" w:rsidP="00C9746A">
      <w:pPr>
        <w:pStyle w:val="BodyText"/>
      </w:pPr>
    </w:p>
    <w:p w:rsidR="00000000" w:rsidRPr="00C9746A" w:rsidP="00C9746A">
      <w:pPr>
        <w:pStyle w:val="AllowPageBreak"/>
      </w:pPr>
    </w:p>
    <w:p w:rsidR="00000000" w:rsidRPr="00C9746A" w:rsidP="00C9746A">
      <w:pPr>
        <w:pStyle w:val="Heading1"/>
      </w:pPr>
      <w:bookmarkStart w:id="3" w:name="O_462146"/>
      <w:bookmarkEnd w:id="3"/>
      <w:r w:rsidRPr="00C9746A">
        <w:t>Application of the Unit</w:t>
      </w:r>
    </w:p>
    <w:tbl>
      <w:tblPr>
        <w:tblW w:w="0" w:type="auto"/>
        <w:tblLayout w:type="fixed"/>
        <w:tblCellMar>
          <w:left w:w="62" w:type="dxa"/>
          <w:right w:w="62" w:type="dxa"/>
        </w:tblCellMar>
        <w:tblLook w:val="0000"/>
      </w:tblPr>
      <w:tblGrid>
        <w:gridCol w:w="2672"/>
        <w:gridCol w:w="5699"/>
      </w:tblGrid>
      <w:tr w:rsidTr="0048666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2)</w:t>
            </w:r>
          </w:p>
        </w:tc>
      </w:tr>
      <w:tr w:rsidTr="0048666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This Competency Stan</w:t>
            </w:r>
            <w:r w:rsidRPr="00C9746A">
              <w:t>dard Unit is intended to augment formally acquired competencies. It is suitable for employment-based programs under an approved contract of training.</w:t>
            </w:r>
          </w:p>
        </w:tc>
      </w:tr>
    </w:tbl>
    <w:p w:rsidR="00000000" w:rsidRPr="00C9746A" w:rsidP="00C9746A">
      <w:pPr>
        <w:pStyle w:val="BodyText"/>
      </w:pPr>
    </w:p>
    <w:p w:rsidR="00000000" w:rsidRPr="00C9746A" w:rsidP="00C9746A">
      <w:pPr>
        <w:pStyle w:val="AllowPageBreak"/>
      </w:pPr>
    </w:p>
    <w:p w:rsidR="00000000" w:rsidRPr="00C9746A" w:rsidP="00C9746A">
      <w:pPr>
        <w:pStyle w:val="Heading1"/>
      </w:pPr>
      <w:bookmarkStart w:id="4" w:name="O_462153"/>
      <w:bookmarkEnd w:id="4"/>
      <w:r w:rsidRPr="00C9746A">
        <w:t>Licensing/Regulatory Information</w:t>
      </w:r>
    </w:p>
    <w:tbl>
      <w:tblPr>
        <w:tblW w:w="0" w:type="auto"/>
        <w:tblLayout w:type="fixed"/>
        <w:tblCellMar>
          <w:left w:w="62" w:type="dxa"/>
          <w:right w:w="62" w:type="dxa"/>
        </w:tblCellMar>
        <w:tblLook w:val="0000"/>
      </w:tblPr>
      <w:tblGrid>
        <w:gridCol w:w="2700"/>
        <w:gridCol w:w="5760"/>
      </w:tblGrid>
      <w:tr w:rsidTr="004866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 xml:space="preserve">3) </w:t>
            </w:r>
          </w:p>
        </w:tc>
      </w:tr>
      <w:tr w:rsidTr="00486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The skills and knowledge des</w:t>
            </w:r>
            <w:r w:rsidRPr="00C9746A">
              <w:t xml:space="preserve">cribed in this unit may require a licence/registration to practice in the work place subject to regulations for undertaking of electrical work. </w:t>
            </w:r>
            <w:r w:rsidRPr="00C9746A">
              <w:t>Practice in workplace and during training is also subject to regulations directly related to Occupational Health</w:t>
            </w:r>
            <w:r w:rsidRPr="00C9746A">
              <w:t xml:space="preserve"> and Safety, electricity/telecommunications/gas/water industry safety and compliance, industrial relations, environmental protection, anti discrimination and training. Commonwealth, State/Territory or Local Government legislation and regulations may exist </w:t>
            </w:r>
            <w:r w:rsidRPr="00C9746A">
              <w:t>that limits the age of operating certain equipment.</w:t>
            </w:r>
          </w:p>
        </w:tc>
      </w:tr>
    </w:tbl>
    <w:p w:rsidR="00000000" w:rsidRPr="00C9746A" w:rsidP="00C9746A">
      <w:pPr>
        <w:pStyle w:val="BodyText"/>
      </w:pPr>
    </w:p>
    <w:p w:rsidR="00000000" w:rsidRPr="00C9746A" w:rsidP="00C9746A">
      <w:pPr>
        <w:pStyle w:val="AllowPageBreak"/>
      </w:pPr>
    </w:p>
    <w:p w:rsidR="00000000" w:rsidRPr="00C9746A" w:rsidP="00C9746A">
      <w:pPr>
        <w:pStyle w:val="Heading1"/>
      </w:pPr>
      <w:bookmarkStart w:id="5" w:name="O_462154"/>
      <w:bookmarkEnd w:id="5"/>
      <w:r w:rsidRPr="00C9746A">
        <w:t>Pre-Requisites</w:t>
      </w:r>
    </w:p>
    <w:tbl>
      <w:tblPr>
        <w:tblW w:w="0" w:type="auto"/>
        <w:tblLayout w:type="fixed"/>
        <w:tblCellMar>
          <w:left w:w="62" w:type="dxa"/>
          <w:right w:w="62" w:type="dxa"/>
        </w:tblCellMar>
        <w:tblLook w:val="0000"/>
      </w:tblPr>
      <w:tblGrid>
        <w:gridCol w:w="2700"/>
        <w:gridCol w:w="1800"/>
        <w:gridCol w:w="3960"/>
        <w:gridCol w:w="15"/>
      </w:tblGrid>
      <w:tr w:rsidTr="00486666">
        <w:tblPrEx>
          <w:tblW w:w="0" w:type="auto"/>
          <w:tblLayout w:type="fixed"/>
          <w:tblCellMar>
            <w:left w:w="62" w:type="dxa"/>
            <w:right w:w="62" w:type="dxa"/>
          </w:tblCellMar>
          <w:tblLook w:val="0000"/>
        </w:tblPrEx>
        <w:trPr>
          <w:gridAfter w:val="1"/>
          <w:wAfter w:w="15" w:type="dxa"/>
          <w:tblHeader/>
        </w:trPr>
        <w:tc>
          <w:tcPr>
            <w:tcW w:w="270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 xml:space="preserve">4) </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4.1)</w:t>
            </w:r>
          </w:p>
        </w:tc>
      </w:tr>
      <w:tr w:rsidTr="00486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gridSpan w:val="3"/>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Granting of competency in this unit shall be made only after competency in the following unit(s) has/have been confirmed.</w:t>
            </w:r>
          </w:p>
          <w:p w:rsidR="00000000" w:rsidRPr="00C9746A" w:rsidP="00C9746A">
            <w:pPr>
              <w:pStyle w:val="BodyText"/>
            </w:pPr>
            <w:r w:rsidRPr="00C9746A">
              <w:t>Where pre-requisite pathways have been identified. All competencies in the Common Unit Group must be have been completed plus all the competencies in one (1) of the identified Pathway Unit Group(s):</w:t>
            </w:r>
          </w:p>
          <w:p w:rsidR="00000000" w:rsidP="00C9746A">
            <w:pPr>
              <w:pStyle w:val="BodyText"/>
              <w:rPr>
                <w:lang w:val="en-NZ"/>
              </w:rPr>
            </w:pPr>
            <w:r w:rsidRPr="00C9746A">
              <w:t>Common Unit Group</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Unit Code</w:t>
            </w:r>
          </w:p>
        </w:tc>
        <w:tc>
          <w:tcPr>
            <w:tcW w:w="396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Unit Title</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Apply Occupational Health and Safety regulations, codes and practices in the workplace</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Fabricate, assemble and dismantle utilities industry components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Solve problems in d.c. Circuits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Fix and secure electrotechnolog</w:t>
            </w:r>
            <w:r w:rsidRPr="00C9746A">
              <w:t>y equipment</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Use drawings, diagrams, schedules, standards, codes and specifications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UEENEEE137A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Document and apply measures to control OHS risks associated with electrotechnology work</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UEENEEG006A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Solve problems in single and three phase low voltage machines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UEENEEG033A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Solve problems in single and three phase electrical apparatus and circuits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UEENEEG063A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Arrange circuits, control and protection for general electrical installations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Solve problems in electromagnetic devices and related circuits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UEENEEG102A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Solve problems in electromagnetic devices and related circuits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UEENEEG103A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Install low voltage wiring and accessories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UEENEEG104A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Install appliances, switchgear and associated accessories for low voltage electrical installations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UEENEEG105A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Verify compliance and functionality of low voltage general electrical installations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UEENEEG106A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Terminate cables, cords and accessories for l</w:t>
            </w:r>
            <w:r w:rsidRPr="00C9746A">
              <w:t>ow voltage circuits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UEENEEG107A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Select wiring systems and cables for low voltage general electrical installations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UEENEEG108A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Trouble-shoot and repair faults in low voltage electrical apparatus and circuits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UEENEEG109A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Develop and connect electrical control circuits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UEENEEK142A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Apply environmentally and sustainable energy procedures in the energy sector</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UETTDRCJ33A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Install and maintain network infrastructure LV underground cables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UETTDREL16A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Working safely near liv</w:t>
            </w:r>
            <w:r w:rsidRPr="00C9746A">
              <w:t xml:space="preserve">e electrical apparatus </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UETTDRIS46A</w:t>
            </w:r>
          </w:p>
        </w:tc>
        <w:tc>
          <w:tcPr>
            <w:tcW w:w="3960" w:type="dxa"/>
            <w:tcBorders>
              <w:top w:val="nil"/>
              <w:left w:val="nil"/>
              <w:bottom w:val="nil"/>
              <w:right w:val="nil"/>
            </w:tcBorders>
            <w:tcMar>
              <w:top w:w="0" w:type="dxa"/>
              <w:left w:w="62" w:type="dxa"/>
              <w:bottom w:w="0" w:type="dxa"/>
              <w:right w:w="62" w:type="dxa"/>
            </w:tcMar>
            <w:vAlign w:val="bottom"/>
          </w:tcPr>
          <w:p w:rsidR="00000000" w:rsidP="00C9746A">
            <w:pPr>
              <w:pStyle w:val="BodyText"/>
              <w:rPr>
                <w:lang w:val="en-NZ"/>
              </w:rPr>
            </w:pPr>
            <w:r w:rsidRPr="00C9746A">
              <w:t>Install and maintain ESI network infrastructure electrical equipment</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UETTDRIS62A</w:t>
            </w:r>
          </w:p>
        </w:tc>
        <w:tc>
          <w:tcPr>
            <w:tcW w:w="3960" w:type="dxa"/>
            <w:tcBorders>
              <w:top w:val="nil"/>
              <w:left w:val="nil"/>
              <w:bottom w:val="nil"/>
              <w:right w:val="nil"/>
            </w:tcBorders>
            <w:tcMar>
              <w:top w:w="0" w:type="dxa"/>
              <w:left w:w="62" w:type="dxa"/>
              <w:bottom w:w="0" w:type="dxa"/>
              <w:right w:w="62" w:type="dxa"/>
            </w:tcMar>
            <w:vAlign w:val="center"/>
          </w:tcPr>
          <w:p w:rsidR="00000000" w:rsidP="00C9746A">
            <w:pPr>
              <w:pStyle w:val="BodyText"/>
              <w:rPr>
                <w:lang w:val="en-NZ"/>
              </w:rPr>
            </w:pPr>
            <w:r w:rsidRPr="00C9746A">
              <w:t>Implement and monitor the power system organisational OHS policies, procedures and programs</w:t>
            </w:r>
          </w:p>
        </w:tc>
      </w:tr>
      <w:tr w:rsidTr="0048666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UETTDRIS63A</w:t>
            </w:r>
          </w:p>
        </w:tc>
        <w:tc>
          <w:tcPr>
            <w:tcW w:w="3960" w:type="dxa"/>
            <w:tcBorders>
              <w:top w:val="nil"/>
              <w:left w:val="nil"/>
              <w:bottom w:val="nil"/>
              <w:right w:val="nil"/>
            </w:tcBorders>
            <w:tcMar>
              <w:top w:w="0" w:type="dxa"/>
              <w:left w:w="62" w:type="dxa"/>
              <w:bottom w:w="0" w:type="dxa"/>
              <w:right w:w="62" w:type="dxa"/>
            </w:tcMar>
            <w:vAlign w:val="center"/>
          </w:tcPr>
          <w:p w:rsidR="00000000" w:rsidRPr="00C9746A" w:rsidP="00C9746A">
            <w:pPr>
              <w:pStyle w:val="BodyText"/>
            </w:pPr>
            <w:r w:rsidRPr="00C9746A">
              <w:t>Implement and monitor the power system environmental and sustainable energy management policies and procedures</w:t>
            </w:r>
          </w:p>
        </w:tc>
      </w:tr>
    </w:tbl>
    <w:p w:rsidR="00000000" w:rsidRPr="00C9746A" w:rsidP="00C9746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8666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 xml:space="preserve">4.2) </w:t>
            </w:r>
          </w:p>
        </w:tc>
      </w:tr>
      <w:tr w:rsidTr="00486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Participants are best equipped to achieve this unit if they have reading, writing and numeracy skills</w:t>
            </w:r>
            <w:r w:rsidRPr="00C9746A">
              <w:t xml:space="preserve"> indicated by the following scales. Description of each scale is given in Volume 2, Part 3 “Literacy and Numeracy”.</w:t>
            </w:r>
          </w:p>
        </w:tc>
      </w:tr>
      <w:tr w:rsidTr="00486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Reading</w:t>
            </w:r>
          </w:p>
        </w:tc>
        <w:tc>
          <w:tcPr>
            <w:tcW w:w="81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4</w:t>
            </w:r>
          </w:p>
        </w:tc>
        <w:tc>
          <w:tcPr>
            <w:tcW w:w="99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Writing</w:t>
            </w:r>
          </w:p>
        </w:tc>
        <w:tc>
          <w:tcPr>
            <w:tcW w:w="90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4</w:t>
            </w:r>
          </w:p>
        </w:tc>
        <w:tc>
          <w:tcPr>
            <w:tcW w:w="126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Numeracy</w:t>
            </w:r>
          </w:p>
        </w:tc>
        <w:tc>
          <w:tcPr>
            <w:tcW w:w="72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4</w:t>
            </w:r>
          </w:p>
        </w:tc>
      </w:tr>
    </w:tbl>
    <w:p w:rsidR="00000000" w:rsidRPr="00C9746A" w:rsidP="00C9746A">
      <w:pPr>
        <w:pStyle w:val="BodyText"/>
      </w:pPr>
    </w:p>
    <w:p w:rsidR="00000000" w:rsidRPr="00C9746A" w:rsidP="00C9746A">
      <w:pPr>
        <w:pStyle w:val="AllowPageBreak"/>
      </w:pPr>
    </w:p>
    <w:p w:rsidR="00000000" w:rsidRPr="00C9746A" w:rsidP="00C9746A">
      <w:pPr>
        <w:pStyle w:val="Heading1"/>
      </w:pPr>
      <w:bookmarkStart w:id="6" w:name="O_462150"/>
      <w:bookmarkEnd w:id="6"/>
      <w:r w:rsidRPr="00C9746A">
        <w:t>Employability Skills Information</w:t>
      </w:r>
    </w:p>
    <w:tbl>
      <w:tblPr>
        <w:tblW w:w="0" w:type="auto"/>
        <w:tblLayout w:type="fixed"/>
        <w:tblCellMar>
          <w:left w:w="62" w:type="dxa"/>
          <w:right w:w="62" w:type="dxa"/>
        </w:tblCellMar>
        <w:tblLook w:val="0000"/>
      </w:tblPr>
      <w:tblGrid>
        <w:gridCol w:w="2700"/>
        <w:gridCol w:w="5760"/>
      </w:tblGrid>
      <w:tr w:rsidTr="004866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 xml:space="preserve">5) </w:t>
            </w:r>
          </w:p>
        </w:tc>
      </w:tr>
      <w:tr w:rsidTr="00486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The</w:t>
            </w:r>
            <w:r w:rsidRPr="00C9746A">
              <w:t xml:space="preserve"> required outcomes described in this unit of competency contain applicable facets of Employability Skills. The Employability Skills Summary of the qualification in which this unit of competency is packaged will assist in identifying Employability Skill req</w:t>
            </w:r>
            <w:r w:rsidRPr="00C9746A">
              <w:t>uirements.</w:t>
            </w:r>
          </w:p>
        </w:tc>
      </w:tr>
    </w:tbl>
    <w:p w:rsidR="00000000" w:rsidRPr="00C9746A" w:rsidP="00C9746A">
      <w:pPr>
        <w:pStyle w:val="BodyText"/>
      </w:pPr>
    </w:p>
    <w:p w:rsidR="00000000" w:rsidRPr="00C9746A" w:rsidP="00C9746A">
      <w:pPr>
        <w:pStyle w:val="AllowPageBreak"/>
      </w:pPr>
    </w:p>
    <w:p w:rsidR="00000000" w:rsidRPr="00C9746A" w:rsidP="00C9746A">
      <w:pPr>
        <w:pStyle w:val="Heading1"/>
      </w:pPr>
      <w:bookmarkStart w:id="7" w:name="O_462149"/>
      <w:bookmarkEnd w:id="7"/>
      <w:r w:rsidRPr="00C9746A">
        <w:t>Elements and Performance Criteria Pre-Content</w:t>
      </w:r>
    </w:p>
    <w:tbl>
      <w:tblPr>
        <w:tblW w:w="0" w:type="auto"/>
        <w:tblLayout w:type="fixed"/>
        <w:tblCellMar>
          <w:left w:w="62" w:type="dxa"/>
          <w:right w:w="62" w:type="dxa"/>
        </w:tblCellMar>
        <w:tblLook w:val="0000"/>
      </w:tblPr>
      <w:tblGrid>
        <w:gridCol w:w="2700"/>
        <w:gridCol w:w="5760"/>
      </w:tblGrid>
      <w:tr w:rsidTr="00486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6)</w:t>
            </w:r>
            <w:r w:rsidRPr="00C9746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Performance Criteria describe the required performance needed to demonstrate achievement of the element. A</w:t>
            </w:r>
            <w:r w:rsidRPr="00C9746A">
              <w:t>ssessment of performance is to be consistent with the Evidence Guide.</w:t>
            </w:r>
          </w:p>
        </w:tc>
      </w:tr>
    </w:tbl>
    <w:p w:rsidR="00000000" w:rsidRPr="00C9746A" w:rsidP="00C9746A">
      <w:pPr>
        <w:pStyle w:val="BodyText"/>
      </w:pPr>
    </w:p>
    <w:p w:rsidR="00000000" w:rsidRPr="00C9746A" w:rsidP="00C9746A">
      <w:pPr>
        <w:pStyle w:val="AllowPageBreak"/>
      </w:pPr>
    </w:p>
    <w:p w:rsidR="00000000" w:rsidRPr="00C9746A" w:rsidP="00C9746A">
      <w:pPr>
        <w:pStyle w:val="Heading1"/>
      </w:pPr>
      <w:bookmarkStart w:id="8" w:name="O_462148"/>
      <w:bookmarkEnd w:id="8"/>
      <w:r w:rsidRPr="00C9746A">
        <w:t>Elements and Performance Criteria</w:t>
      </w:r>
    </w:p>
    <w:tbl>
      <w:tblPr>
        <w:tblW w:w="0" w:type="auto"/>
        <w:tblLayout w:type="fixed"/>
        <w:tblCellMar>
          <w:left w:w="62" w:type="dxa"/>
          <w:right w:w="62" w:type="dxa"/>
        </w:tblCellMar>
        <w:tblLook w:val="0000"/>
      </w:tblPr>
      <w:tblGrid>
        <w:gridCol w:w="409"/>
        <w:gridCol w:w="2263"/>
        <w:gridCol w:w="28"/>
        <w:gridCol w:w="863"/>
        <w:gridCol w:w="4807"/>
        <w:gridCol w:w="90"/>
      </w:tblGrid>
      <w:tr w:rsidTr="00486666">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PERFORMANCE CRITERIA</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w:t>
            </w:r>
          </w:p>
        </w:tc>
        <w:tc>
          <w:tcPr>
            <w:tcW w:w="2263" w:type="dxa"/>
            <w:vMerge w:val="restart"/>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Prepare to the laying, installation and maintenance of de-energised HV underground cables</w:t>
            </w: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1.1</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Works schedule(s), including drawings, plans, requirements, established procedures, and material lists, are received, analysed and confirmed, if necessary, by site inspection.</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1.2</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Relevant requirements and established procedures for the work are co</w:t>
            </w:r>
            <w:r w:rsidRPr="00C9746A">
              <w:t>mmunicated to all personnel and identified for all work sites.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1.3</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OHS policies and procedures related to requirements and established procedures for the laying, installing and maintenance of HV underground cables are obtained and confirmed for the purp</w:t>
            </w:r>
            <w:r w:rsidRPr="00C9746A">
              <w:t>oses of the work to be performed and communicated.</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1.4</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Work is prioritised and sequenced following consultation with others for completion within acceptable timeframes and in accordance with 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1.5</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Hazards are identified, OHS risks assessed and control measures are prioritised, implemented and monitored including emergency exits kept clear according to 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1.6</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Relevant work permits are obtained to access and perform work accord</w:t>
            </w:r>
            <w:r w:rsidRPr="00C9746A">
              <w:t>ing to requirements and/or 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1.7</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Resources including personnel, equipment, tools and personal protective equipment required for the job are obtained and confirmed in working order.</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1.8</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Relevant personnel at work site are confirmed current in First Aid and other related work procedures according to requirements.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1.9</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Liaison and communication issues with other/authorised personnel, authorities, clients and land owners are resolved to ca</w:t>
            </w:r>
            <w:r w:rsidRPr="00C9746A">
              <w:t>rry out work where necessary.</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1.10</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Site is prepared according to the work schedule and to minimise risk and damage to property, commerce, and individuals in accordance with 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1.11</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Personnel participating in the work, including p</w:t>
            </w:r>
            <w:r w:rsidRPr="00C9746A">
              <w:t>lant operators and contractors, are fully briefed and respective responsibilities confirmed where applicable in accordance with 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1.12</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Road signs, barriers and warning devices are positioned in accordance with requirements.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2</w:t>
            </w:r>
          </w:p>
        </w:tc>
        <w:tc>
          <w:tcPr>
            <w:tcW w:w="2263" w:type="dxa"/>
            <w:vMerge w:val="restart"/>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Carry out the laying, installation and maintenance of HV underground cables</w:t>
            </w: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2.1</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OHS and sustainable energy principles and practices to reduce the incidents of accidents and minimise waste are monitored and followed in accordance with requirements and/or es</w:t>
            </w:r>
            <w:r w:rsidRPr="00C9746A">
              <w:t>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2.2</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Lifting, climbing, working in confined spaces and aloft, and use of power tools/equipment, techniques and practices are safely followed and, currency according to requirements confirmed.</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2.3</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Systems and circuits are isolated as required, proved safe to work on in accordance with the requirements/permits and 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2.4</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Essential knowledge and associated skills are applied in the safe installation and maintenance of HV underg</w:t>
            </w:r>
            <w:r w:rsidRPr="00C9746A">
              <w:t>round polymeric cables to ensure completion in an agreed timeframe and, to quality standards with a minimum of waste according to requirements.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2.5</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Electrical cables are laid in accordance with the work schedule and requirements/established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2.6</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De-energised HV underground cables are installed according the work schedule and requirements/established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2.7</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Maintenance, including repair and/or replacement of de-energised HV underground cables is carried out, in accordance with the work schedule and requirements/established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2.8</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Hazard warnings and safety signs are recognised and hazards and asse</w:t>
            </w:r>
            <w:r w:rsidRPr="00C9746A">
              <w:t>ssed OHS risks are reported to the immediate authorised persons for directions according to 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2.9</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Unplanned events in the installation and maintenance of HV underground cables are undertaken within the scope of established procedur</w:t>
            </w:r>
            <w:r w:rsidRPr="00C9746A">
              <w:t>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2.10</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Known solutions to a variety of problems are applied using acquired essential knowledge and associated skills.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2.11</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Ongoing checks of quality of the work are undertaken in accordance with instructions and 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3</w:t>
            </w:r>
          </w:p>
        </w:tc>
        <w:tc>
          <w:tcPr>
            <w:tcW w:w="2263" w:type="dxa"/>
            <w:vMerge w:val="restart"/>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Complete the laying, installation and maintenance of HV underground cables</w:t>
            </w: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3.1</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Work undertaken is checked against works schedule for conformance with requirements and anomalies reported in accordance with 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3.2</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Accidents and/or injuries are reported in accordance with requirements/established procedures, where applicable.</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3.3</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Work site is rehabilitated, cleaned up and made safe in accordance with 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3.4</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 xml:space="preserve">Tools, equipment and any surplus </w:t>
            </w:r>
            <w:r w:rsidRPr="00C9746A">
              <w:t>resources and materials are, where appropriate, cleaned, checked and returned to storage in accordance with established procedures.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3.5</w:t>
            </w:r>
          </w:p>
        </w:tc>
        <w:tc>
          <w:tcPr>
            <w:tcW w:w="4807"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Relevant work permit(s) are signed off and, HV underground cables are returned to service in accordance with requirements.</w:t>
            </w:r>
          </w:p>
        </w:tc>
      </w:tr>
      <w:tr w:rsidTr="00486666">
        <w:tblPrEx>
          <w:tblW w:w="0" w:type="auto"/>
          <w:tblLayout w:type="fixed"/>
          <w:tblCellMar>
            <w:left w:w="62" w:type="dxa"/>
            <w:right w:w="62" w:type="dxa"/>
          </w:tblCellMar>
          <w:tblLook w:val="0000"/>
        </w:tblPrEx>
        <w:trPr>
          <w:gridAfter w:val="1"/>
          <w:wAfter w:w="90" w:type="dxa"/>
        </w:trPr>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3.6</w:t>
            </w:r>
          </w:p>
        </w:tc>
        <w:tc>
          <w:tcPr>
            <w:tcW w:w="4807"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Works completion records, reports, as installed /modified drawing and/or documentation and information are finalised and proce</w:t>
            </w:r>
            <w:r w:rsidRPr="00C9746A">
              <w:t>ssed and appropriate personnel notified.</w:t>
            </w:r>
          </w:p>
        </w:tc>
      </w:tr>
    </w:tbl>
    <w:p w:rsidR="00000000" w:rsidRPr="00C9746A" w:rsidP="00C9746A">
      <w:pPr>
        <w:pStyle w:val="BodyText"/>
      </w:pPr>
    </w:p>
    <w:p w:rsidR="00000000" w:rsidRPr="00C9746A" w:rsidP="00C9746A">
      <w:pPr>
        <w:pStyle w:val="AllowPageBreak"/>
      </w:pPr>
    </w:p>
    <w:p w:rsidR="00000000" w:rsidRPr="00C9746A" w:rsidP="00C9746A">
      <w:pPr>
        <w:pStyle w:val="Heading1"/>
      </w:pPr>
      <w:bookmarkStart w:id="9" w:name="O_462156"/>
      <w:bookmarkEnd w:id="9"/>
      <w:r w:rsidRPr="00C9746A">
        <w:t>Required Skills and Knowledge</w:t>
      </w:r>
    </w:p>
    <w:tbl>
      <w:tblPr>
        <w:tblW w:w="0" w:type="auto"/>
        <w:tblLayout w:type="fixed"/>
        <w:tblCellMar>
          <w:left w:w="62" w:type="dxa"/>
          <w:right w:w="62" w:type="dxa"/>
        </w:tblCellMar>
        <w:tblLook w:val="0000"/>
      </w:tblPr>
      <w:tblGrid>
        <w:gridCol w:w="8460"/>
      </w:tblGrid>
      <w:tr w:rsidTr="0048666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REQUIRED SKILLS AND KNOWLEDGE</w:t>
            </w:r>
          </w:p>
        </w:tc>
      </w:tr>
      <w:tr w:rsidTr="0048666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8)</w:t>
            </w:r>
            <w:r w:rsidRPr="00C9746A">
              <w:t xml:space="preserve"> Essential knowledge and associated skills (EKAS): This describes the essential skills and knowledge and their level, required for th</w:t>
            </w:r>
            <w:r w:rsidRPr="00C9746A">
              <w:t>is unit.</w:t>
            </w:r>
          </w:p>
          <w:p w:rsidR="00000000" w:rsidRPr="00C9746A" w:rsidP="00C9746A">
            <w:pPr>
              <w:pStyle w:val="BodyText"/>
            </w:pPr>
            <w:r w:rsidRPr="00C9746A">
              <w:t>Evidence shall show that knowledge has been acquired of installing and maintaining de-energised HV underground polymeric cables.</w:t>
            </w:r>
          </w:p>
          <w:p w:rsidR="00000000" w:rsidRPr="00C9746A" w:rsidP="00C9746A">
            <w:pPr>
              <w:pStyle w:val="BodyText"/>
            </w:pPr>
            <w:r w:rsidRPr="00C9746A">
              <w:t>All knowledge and skills detailed in this unit should be cont</w:t>
            </w:r>
            <w:r w:rsidRPr="00C9746A">
              <w:t>extualised to current industry practices and technologies.</w:t>
            </w:r>
          </w:p>
          <w:p w:rsidR="00000000" w:rsidRPr="00C9746A" w:rsidP="00C9746A">
            <w:pPr>
              <w:pStyle w:val="BodyText"/>
            </w:pPr>
            <w:r w:rsidRPr="00C9746A">
              <w:t>KS01-TCJ34A</w:t>
            </w:r>
            <w:r w:rsidRPr="00C9746A">
              <w:tab/>
              <w:t>Network infrastructure HV polymeric underground cables</w:t>
            </w:r>
          </w:p>
          <w:p w:rsidR="00000000" w:rsidRPr="00C9746A" w:rsidP="00C9746A">
            <w:pPr>
              <w:pStyle w:val="BodyText"/>
            </w:pPr>
            <w:r w:rsidRPr="00C9746A">
              <w:t>Evidence shall show an understanding of the jointing and termination of network infrastructure HV polymeric cables to an extent in</w:t>
            </w:r>
            <w:r w:rsidRPr="00C9746A">
              <w:t>dicated by the following aspects:</w:t>
            </w:r>
          </w:p>
          <w:p w:rsidR="00000000" w:rsidRPr="00C9746A" w:rsidP="00C9746A">
            <w:pPr>
              <w:pStyle w:val="BodyText"/>
            </w:pPr>
            <w:r w:rsidRPr="00C9746A">
              <w:t>T1</w:t>
            </w:r>
            <w:r w:rsidRPr="00C9746A">
              <w:tab/>
              <w:t>Standards, codes, legislation, supply authority regulations and or enterprise requirements pertaining to the jointing of HV underground polymeric cables</w:t>
            </w:r>
          </w:p>
          <w:p w:rsidR="00000000" w:rsidRPr="00C9746A" w:rsidP="00C9746A">
            <w:pPr>
              <w:pStyle w:val="BodyText"/>
            </w:pPr>
            <w:r w:rsidRPr="00C9746A">
              <w:t>T2</w:t>
            </w:r>
            <w:r w:rsidRPr="00C9746A">
              <w:tab/>
              <w:t>Requirements for the use of enterprise construction manuals, sy</w:t>
            </w:r>
            <w:r w:rsidRPr="00C9746A">
              <w:t xml:space="preserve">stem diagrams/plans and drawings, encompassing: </w:t>
            </w:r>
          </w:p>
          <w:p w:rsidR="00000000" w:rsidRPr="00C9746A" w:rsidP="00C9746A">
            <w:pPr>
              <w:pStyle w:val="ListBullet"/>
            </w:pPr>
            <w:r w:rsidRPr="00C9746A">
              <w:t>Characteristics of different types of cables and components</w:t>
            </w:r>
          </w:p>
          <w:p w:rsidR="00000000" w:rsidRPr="00C9746A" w:rsidP="00C9746A">
            <w:pPr>
              <w:pStyle w:val="ListBullet"/>
            </w:pPr>
            <w:r w:rsidRPr="00C9746A">
              <w:t>Purpose of stress control</w:t>
            </w:r>
          </w:p>
          <w:p w:rsidR="00000000" w:rsidRPr="00C9746A" w:rsidP="00C9746A">
            <w:pPr>
              <w:pStyle w:val="ListBullet"/>
            </w:pPr>
            <w:r w:rsidRPr="00C9746A">
              <w:t>Applications of various tools and equipment for HV jointing</w:t>
            </w:r>
          </w:p>
          <w:p w:rsidR="00000000" w:rsidRPr="00C9746A" w:rsidP="00C9746A">
            <w:pPr>
              <w:pStyle w:val="BodyText"/>
            </w:pPr>
            <w:r w:rsidRPr="00C9746A">
              <w:t>T3</w:t>
            </w:r>
            <w:r w:rsidRPr="00C9746A">
              <w:tab/>
              <w:t>Procedure for isolating high voltage underground cables e</w:t>
            </w:r>
            <w:r w:rsidRPr="00C9746A">
              <w:t>ncompassing:</w:t>
            </w:r>
          </w:p>
          <w:p w:rsidR="00000000" w:rsidRPr="00C9746A" w:rsidP="00C9746A">
            <w:pPr>
              <w:pStyle w:val="ListBullet"/>
            </w:pPr>
            <w:r w:rsidRPr="00C9746A">
              <w:t>Method for proving safe to work</w:t>
            </w:r>
          </w:p>
          <w:p w:rsidR="00000000" w:rsidRPr="00C9746A" w:rsidP="00C9746A">
            <w:pPr>
              <w:pStyle w:val="ListBullet"/>
            </w:pPr>
            <w:r w:rsidRPr="00C9746A">
              <w:t>Earthing procedures</w:t>
            </w:r>
          </w:p>
          <w:p w:rsidR="00000000" w:rsidRPr="00C9746A" w:rsidP="00C9746A">
            <w:pPr>
              <w:pStyle w:val="BodyText"/>
            </w:pPr>
            <w:r w:rsidRPr="00C9746A">
              <w:t>T4</w:t>
            </w:r>
            <w:r w:rsidRPr="00C9746A">
              <w:tab/>
              <w:t>Techniques in jointing HV underground polymeric cable, encompassing:</w:t>
            </w:r>
          </w:p>
          <w:p w:rsidR="00000000" w:rsidRPr="00C9746A" w:rsidP="00C9746A">
            <w:pPr>
              <w:pStyle w:val="ListBullet"/>
            </w:pPr>
            <w:r w:rsidRPr="00C9746A">
              <w:t>Short circuit cores and seal cable</w:t>
            </w:r>
          </w:p>
          <w:p w:rsidR="00000000" w:rsidRPr="00C9746A" w:rsidP="00C9746A">
            <w:pPr>
              <w:pStyle w:val="ListBullet"/>
            </w:pPr>
            <w:r w:rsidRPr="00C9746A">
              <w:t>Straight through</w:t>
            </w:r>
          </w:p>
          <w:p w:rsidR="00000000" w:rsidRPr="00C9746A" w:rsidP="00C9746A">
            <w:pPr>
              <w:pStyle w:val="ListBullet"/>
            </w:pPr>
            <w:r w:rsidRPr="00C9746A">
              <w:t>Trifurcating</w:t>
            </w:r>
          </w:p>
          <w:p w:rsidR="00000000" w:rsidRPr="00C9746A" w:rsidP="00C9746A">
            <w:pPr>
              <w:pStyle w:val="BodyText"/>
            </w:pPr>
            <w:r w:rsidRPr="00C9746A">
              <w:t>T5</w:t>
            </w:r>
            <w:r w:rsidRPr="00C9746A">
              <w:tab/>
              <w:t>Techniques in HV terminations encompassing:</w:t>
            </w:r>
          </w:p>
          <w:p w:rsidR="00000000" w:rsidRPr="00C9746A" w:rsidP="00C9746A">
            <w:pPr>
              <w:pStyle w:val="ListBullet"/>
            </w:pPr>
            <w:r w:rsidRPr="00C9746A">
              <w:t>Pole</w:t>
            </w:r>
            <w:r w:rsidRPr="00C9746A">
              <w:t xml:space="preserve"> top termination</w:t>
            </w:r>
          </w:p>
          <w:p w:rsidR="00000000" w:rsidRPr="00C9746A" w:rsidP="00C9746A">
            <w:pPr>
              <w:pStyle w:val="ListBullet"/>
            </w:pPr>
            <w:r w:rsidRPr="00C9746A">
              <w:t>Substation/switchgear termination</w:t>
            </w:r>
          </w:p>
          <w:p w:rsidR="00000000" w:rsidRPr="00C9746A" w:rsidP="00C9746A">
            <w:pPr>
              <w:pStyle w:val="ListBullet"/>
            </w:pPr>
            <w:r w:rsidRPr="00C9746A">
              <w:t>ABC termination</w:t>
            </w:r>
          </w:p>
          <w:p w:rsidR="00000000" w:rsidRPr="00C9746A" w:rsidP="00C9746A">
            <w:pPr>
              <w:pStyle w:val="ListBullet"/>
            </w:pPr>
            <w:r w:rsidRPr="00C9746A">
              <w:t>Telcon termination</w:t>
            </w:r>
          </w:p>
          <w:p w:rsidR="00000000" w:rsidRPr="00C9746A" w:rsidP="00C9746A">
            <w:pPr>
              <w:pStyle w:val="BodyText"/>
            </w:pPr>
            <w:r w:rsidRPr="00C9746A">
              <w:t>T6</w:t>
            </w:r>
            <w:r w:rsidRPr="00C9746A">
              <w:tab/>
              <w:t>Procedures for repairing HV underground cables encompassing:</w:t>
            </w:r>
          </w:p>
          <w:p w:rsidR="00000000" w:rsidRPr="00C9746A" w:rsidP="00C9746A">
            <w:pPr>
              <w:pStyle w:val="ListBullet"/>
            </w:pPr>
            <w:r w:rsidRPr="00C9746A">
              <w:t>Location of faults</w:t>
            </w:r>
          </w:p>
          <w:p w:rsidR="00000000" w:rsidRPr="00C9746A" w:rsidP="00C9746A">
            <w:pPr>
              <w:pStyle w:val="ListBullet"/>
            </w:pPr>
            <w:r w:rsidRPr="00C9746A">
              <w:t>Types of damage</w:t>
            </w:r>
          </w:p>
          <w:p w:rsidR="00000000" w:rsidRPr="00C9746A" w:rsidP="00C9746A">
            <w:pPr>
              <w:pStyle w:val="ListBullet"/>
            </w:pPr>
            <w:r w:rsidRPr="00C9746A">
              <w:t>Techniques to repairs to sheath</w:t>
            </w:r>
          </w:p>
          <w:p w:rsidR="00000000" w:rsidRPr="00C9746A" w:rsidP="00C9746A">
            <w:pPr>
              <w:pStyle w:val="ListBullet"/>
            </w:pPr>
            <w:r w:rsidRPr="00C9746A">
              <w:t>Techniques to repairs to core</w:t>
            </w:r>
          </w:p>
        </w:tc>
      </w:tr>
    </w:tbl>
    <w:p w:rsidR="00000000" w:rsidRPr="00C9746A" w:rsidP="00C9746A">
      <w:pPr>
        <w:pStyle w:val="BodyText"/>
      </w:pPr>
    </w:p>
    <w:p w:rsidR="00000000" w:rsidRPr="00C9746A" w:rsidP="00C9746A">
      <w:pPr>
        <w:pStyle w:val="AllowPageBreak"/>
      </w:pPr>
    </w:p>
    <w:p w:rsidR="00000000" w:rsidRPr="00C9746A" w:rsidP="00C9746A">
      <w:pPr>
        <w:pStyle w:val="Heading1"/>
      </w:pPr>
      <w:bookmarkStart w:id="10" w:name="O_462151"/>
      <w:bookmarkEnd w:id="10"/>
      <w:r w:rsidRPr="00C9746A">
        <w:t>Evidence Guide</w:t>
      </w:r>
    </w:p>
    <w:tbl>
      <w:tblPr>
        <w:tblW w:w="0" w:type="auto"/>
        <w:tblLayout w:type="fixed"/>
        <w:tblCellMar>
          <w:left w:w="62" w:type="dxa"/>
          <w:right w:w="62" w:type="dxa"/>
        </w:tblCellMar>
        <w:tblLook w:val="0000"/>
      </w:tblPr>
      <w:tblGrid>
        <w:gridCol w:w="8460"/>
      </w:tblGrid>
      <w:tr w:rsidTr="0048666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EVIDENCE GUIDE</w:t>
            </w:r>
          </w:p>
        </w:tc>
      </w:tr>
      <w:tr w:rsidTr="0048666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9)</w:t>
            </w:r>
            <w:r w:rsidRPr="00C9746A">
              <w:t xml:space="preserve"> This provides essential advice for assessment of the unit of competency and must be read in conjunction with the performance criteri</w:t>
            </w:r>
            <w:r w:rsidRPr="00C9746A">
              <w:t>a and the range statement of the unit of competency and the Training Package Assessment Guidelines.</w:t>
            </w:r>
          </w:p>
          <w:p w:rsidR="00000000" w:rsidRPr="00C9746A" w:rsidP="00C9746A">
            <w:pPr>
              <w:pStyle w:val="BodyText"/>
            </w:pPr>
            <w:r w:rsidRPr="00C9746A">
              <w:t>The Evidence Guide forms an integral part of this Competency Standard Unit and shall be used in conjunction with all component parts of this unit and, perfo</w:t>
            </w:r>
            <w:r w:rsidRPr="00C9746A">
              <w:t>rmed in accordance with the Assessment Guidelines of this Training Package.</w:t>
            </w:r>
          </w:p>
        </w:tc>
      </w:tr>
    </w:tbl>
    <w:p w:rsidR="00000000" w:rsidRPr="00C9746A" w:rsidP="00C9746A">
      <w:pPr>
        <w:pStyle w:val="BodyText"/>
      </w:pPr>
    </w:p>
    <w:tbl>
      <w:tblPr>
        <w:tblW w:w="0" w:type="auto"/>
        <w:tblLayout w:type="fixed"/>
        <w:tblCellMar>
          <w:left w:w="62" w:type="dxa"/>
          <w:right w:w="62" w:type="dxa"/>
        </w:tblCellMar>
        <w:tblLook w:val="0000"/>
      </w:tblPr>
      <w:tblGrid>
        <w:gridCol w:w="1890"/>
        <w:gridCol w:w="6570"/>
      </w:tblGrid>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9.1)</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Longitudinal competency development approaches to assessment, such as Profiling, require data to be reliably gathered in a form that can be consiste</w:t>
            </w:r>
            <w:r w:rsidRPr="00C9746A">
              <w:t>ntly interpreted over time. This approach is best utilised in Apprenticeship programs and reduces assessment intervention. It is the Industry’s preferred model for apprenticeships. However, where summative (or final) assessment is used it is to include the</w:t>
            </w:r>
            <w:r w:rsidRPr="00C9746A">
              <w:t xml:space="preserve"> application of the competency in the normal work environment or, at a minimum, the application of the competency in a realistically simulated work environment. It is recognised that, in some circumstances, assessment in part or full can occur outside the </w:t>
            </w:r>
            <w:r w:rsidRPr="00C9746A">
              <w:t>workplace. However, it must be in accord with Industry and, Regulatory policy in this regard.</w:t>
            </w:r>
          </w:p>
          <w:p w:rsidR="00000000" w:rsidRPr="00C9746A" w:rsidP="00C9746A">
            <w:pPr>
              <w:pStyle w:val="BodyText"/>
            </w:pPr>
            <w:r w:rsidRPr="00C9746A">
              <w:t>Methods chosen for a particular assessment will be influenced by various factors. These include the extent of the assessment, the most effective locations for the</w:t>
            </w:r>
            <w:r w:rsidRPr="00C9746A">
              <w:t xml:space="preserve"> assessment activities to take place, access to physical resources, additional safety measures that may be required and the critical nature of the competencies being assessed.</w:t>
            </w:r>
          </w:p>
          <w:p w:rsidR="00000000" w:rsidRPr="00C9746A" w:rsidP="00C9746A">
            <w:pPr>
              <w:pStyle w:val="BodyText"/>
            </w:pPr>
            <w:r w:rsidRPr="00C9746A">
              <w:t>The critical safety nature of working with electricity, electrical equipment, ga</w:t>
            </w:r>
            <w:r w:rsidRPr="00C9746A">
              <w:t>s or any other hazardous substance/material carries risk in deeming a person competent. Hence, sources of evidence need to be ‘rich’ in nature so as to minimise error in judgment.</w:t>
            </w:r>
          </w:p>
          <w:p w:rsidR="00000000" w:rsidRPr="00C9746A" w:rsidP="00C9746A">
            <w:pPr>
              <w:pStyle w:val="BodyText"/>
            </w:pPr>
            <w:r w:rsidRPr="00C9746A">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C9746A">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C9746A">
              <w:t>of this Training Package.</w:t>
            </w:r>
          </w:p>
        </w:tc>
      </w:tr>
    </w:tbl>
    <w:p w:rsidR="00000000" w:rsidRPr="00C9746A" w:rsidP="00C9746A">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9.2)</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Before the critical aspects of evidence are considered all prerequisites shall be met.</w:t>
            </w:r>
          </w:p>
          <w:p w:rsidR="00000000" w:rsidRPr="00C9746A" w:rsidP="00C9746A">
            <w:pPr>
              <w:pStyle w:val="BodyText"/>
            </w:pPr>
            <w:r w:rsidRPr="00C9746A">
              <w:t>Evidence for competence in this unit shall be consider</w:t>
            </w:r>
            <w:r w:rsidRPr="00C9746A">
              <w:t>ed holistically. Each element and associated performance criteria shall be demonstrated on at least two occasions in accordance with the “Assessment Guidelines – UET12”. Evidence shall also comprise:</w:t>
            </w:r>
          </w:p>
          <w:p w:rsidR="00000000" w:rsidRPr="00C9746A" w:rsidP="00C9746A">
            <w:pPr>
              <w:pStyle w:val="ListBullet"/>
            </w:pPr>
            <w:r w:rsidRPr="00C9746A">
              <w:t>A representative body of performance criteria demonstra</w:t>
            </w:r>
            <w:r w:rsidRPr="00C9746A">
              <w:t>ted within the timeframes typically expected of the discipline, work function and industrial environment. In particular this shall incorporate evidence that shows a candidate is able to:</w:t>
            </w:r>
          </w:p>
          <w:p w:rsidR="00000000" w:rsidRPr="00C9746A" w:rsidP="00C9746A">
            <w:pPr>
              <w:pStyle w:val="ListBullet2"/>
            </w:pPr>
            <w:r w:rsidRPr="00C9746A">
              <w:t>Implement Occupational Health and Safety workplace procedures and practices including the use of risk control measures as specified in the performance criteria and range; and</w:t>
            </w:r>
          </w:p>
          <w:p w:rsidR="00000000" w:rsidRPr="00C9746A" w:rsidP="00C9746A">
            <w:pPr>
              <w:pStyle w:val="ListBullet2"/>
            </w:pPr>
            <w:r w:rsidRPr="00C9746A">
              <w:t>Apply sustainable energy principles and practices as specified in the performance</w:t>
            </w:r>
            <w:r w:rsidRPr="00C9746A">
              <w:t xml:space="preserve"> criteria and range; and</w:t>
            </w:r>
          </w:p>
          <w:p w:rsidR="00000000" w:rsidRPr="00C9746A" w:rsidP="00C9746A">
            <w:pPr>
              <w:pStyle w:val="ListBullet2"/>
            </w:pPr>
            <w:r w:rsidRPr="00C9746A">
              <w:t>Demonstrate an understanding of the essential knowledge and associated skills as described in this unit to such an extent that the learner’s performance outcome is reported in accordance with the preferred approach; namely a percen</w:t>
            </w:r>
            <w:r w:rsidRPr="00C9746A">
              <w:t>tile graded result, where required by the regulated environment; and</w:t>
            </w:r>
          </w:p>
          <w:p w:rsidR="00000000" w:rsidRPr="00C9746A" w:rsidP="00C9746A">
            <w:pPr>
              <w:pStyle w:val="ListBullet2"/>
            </w:pPr>
            <w:r w:rsidRPr="00C9746A">
              <w:t>Demonstrate an appropriate level of employability skills; and</w:t>
            </w:r>
          </w:p>
          <w:p w:rsidR="00000000" w:rsidRPr="00C9746A" w:rsidP="00C9746A">
            <w:pPr>
              <w:pStyle w:val="ListBullet"/>
            </w:pPr>
            <w:r w:rsidRPr="00C9746A">
              <w:t>Conduct work observing the relevant Anti Discrimination legislation, regulations, policies and workplace procedures; and</w:t>
            </w:r>
          </w:p>
          <w:p w:rsidR="00000000" w:rsidP="00C9746A">
            <w:pPr>
              <w:pStyle w:val="ListBullet2"/>
              <w:rPr>
                <w:lang w:val="en-NZ"/>
              </w:rPr>
            </w:pPr>
            <w:r w:rsidRPr="00C9746A">
              <w:t>De</w:t>
            </w:r>
            <w:r w:rsidRPr="00C9746A">
              <w:t>monstrated performance across a representative range of contexts from the prescribed items below:</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9746A">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rPr>
                <w:rStyle w:val="SpecialBold"/>
              </w:rPr>
              <w:t>Range of tools/equipment/materials/procedures/workplaces/other variables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9746A">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rPr>
                <w:rStyle w:val="SpecialBold"/>
              </w:rPr>
              <w:t>Item List</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Laying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HV polymeric</w:t>
            </w:r>
          </w:p>
          <w:p w:rsidR="00000000" w:rsidP="00C9746A">
            <w:pPr>
              <w:pStyle w:val="BodyText"/>
              <w:rPr>
                <w:lang w:val="en-NZ"/>
              </w:rPr>
            </w:pPr>
            <w:r w:rsidRPr="00C9746A">
              <w:t>HV paper insulated</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With regards to "A"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Direct lay</w:t>
            </w:r>
          </w:p>
          <w:p w:rsidR="00000000" w:rsidRPr="00C9746A" w:rsidP="00C9746A">
            <w:pPr>
              <w:pStyle w:val="BodyText"/>
            </w:pPr>
            <w:r w:rsidRPr="00C9746A">
              <w:t>On racks</w:t>
            </w:r>
          </w:p>
          <w:p w:rsidR="00000000" w:rsidP="00C9746A">
            <w:pPr>
              <w:pStyle w:val="BodyText"/>
              <w:rPr>
                <w:lang w:val="en-NZ"/>
              </w:rPr>
            </w:pPr>
            <w:r w:rsidRPr="00C9746A">
              <w:t>In conduits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With regards to "A" incorporate at least one cable pulling methods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Stocking pulling</w:t>
            </w:r>
          </w:p>
          <w:p w:rsidR="00000000" w:rsidRPr="00C9746A" w:rsidP="00C9746A">
            <w:pPr>
              <w:pStyle w:val="BodyText"/>
            </w:pPr>
            <w:r w:rsidRPr="00C9746A">
              <w:t>Bond pulling</w:t>
            </w:r>
          </w:p>
          <w:p w:rsidR="00000000" w:rsidRPr="00C9746A" w:rsidP="00C9746A">
            <w:pPr>
              <w:pStyle w:val="BodyText"/>
            </w:pPr>
            <w:r w:rsidRPr="00C9746A">
              <w:t>Armour pulling</w:t>
            </w:r>
          </w:p>
          <w:p w:rsidR="00000000" w:rsidP="00C9746A">
            <w:pPr>
              <w:pStyle w:val="BodyText"/>
              <w:rPr>
                <w:lang w:val="en-NZ"/>
              </w:rPr>
            </w:pPr>
            <w:r w:rsidRPr="00C9746A">
              <w:t>Nose pull attachments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With regards to "A" incorporate at least two cable sealing methods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Heat shrinkable</w:t>
            </w:r>
          </w:p>
          <w:p w:rsidR="00000000" w:rsidRPr="00C9746A" w:rsidP="00C9746A">
            <w:pPr>
              <w:pStyle w:val="BodyText"/>
            </w:pPr>
            <w:r w:rsidRPr="00C9746A">
              <w:t>Pre-stretched materials</w:t>
            </w:r>
          </w:p>
          <w:p w:rsidR="00000000" w:rsidRPr="00C9746A" w:rsidP="00C9746A">
            <w:pPr>
              <w:pStyle w:val="BodyText"/>
            </w:pPr>
            <w:r w:rsidRPr="00C9746A">
              <w:t>Tin/lead wiping</w:t>
            </w:r>
          </w:p>
          <w:p w:rsidR="00000000" w:rsidP="00C9746A">
            <w:pPr>
              <w:pStyle w:val="BodyText"/>
              <w:rPr>
                <w:lang w:val="en-NZ"/>
              </w:rPr>
            </w:pPr>
            <w:r w:rsidRPr="00C9746A">
              <w:t>Pre-moulded components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With regards to "A" incorporate at least one cable cutting methods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Hydraulic cutters</w:t>
            </w:r>
          </w:p>
          <w:p w:rsidR="00000000" w:rsidRPr="00C9746A" w:rsidP="00C9746A">
            <w:pPr>
              <w:pStyle w:val="BodyText"/>
            </w:pPr>
            <w:r w:rsidRPr="00C9746A">
              <w:t>Electric reciprocating</w:t>
            </w:r>
          </w:p>
          <w:p w:rsidR="00000000" w:rsidRPr="00C9746A" w:rsidP="00C9746A">
            <w:pPr>
              <w:pStyle w:val="BodyText"/>
            </w:pPr>
            <w:r w:rsidRPr="00C9746A">
              <w:t>Motorised</w:t>
            </w:r>
          </w:p>
          <w:p w:rsidR="00000000" w:rsidP="00C9746A">
            <w:pPr>
              <w:pStyle w:val="BodyText"/>
              <w:rPr>
                <w:lang w:val="en-NZ"/>
              </w:rPr>
            </w:pPr>
            <w:r w:rsidRPr="00C9746A">
              <w:t>Hand tools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With regards to "A" incorporate 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Drum jacks</w:t>
            </w:r>
          </w:p>
          <w:p w:rsidR="00000000" w:rsidRPr="00C9746A" w:rsidP="00C9746A">
            <w:pPr>
              <w:pStyle w:val="BodyText"/>
            </w:pPr>
            <w:r w:rsidRPr="00C9746A">
              <w:t>Winches</w:t>
            </w:r>
          </w:p>
          <w:p w:rsidR="00000000" w:rsidRPr="00C9746A" w:rsidP="00C9746A">
            <w:pPr>
              <w:pStyle w:val="BodyText"/>
            </w:pPr>
            <w:r w:rsidRPr="00C9746A">
              <w:t>Spindles</w:t>
            </w:r>
          </w:p>
          <w:p w:rsidR="00000000" w:rsidRPr="00C9746A" w:rsidP="00C9746A">
            <w:pPr>
              <w:pStyle w:val="BodyText"/>
            </w:pPr>
            <w:r w:rsidRPr="00C9746A">
              <w:t>Capstans</w:t>
            </w:r>
          </w:p>
          <w:p w:rsidR="00000000" w:rsidRPr="00C9746A" w:rsidP="00C9746A">
            <w:pPr>
              <w:pStyle w:val="BodyText"/>
            </w:pPr>
            <w:r w:rsidRPr="00C9746A">
              <w:t>Bollards</w:t>
            </w:r>
          </w:p>
          <w:p w:rsidR="00000000" w:rsidRPr="00C9746A" w:rsidP="00C9746A">
            <w:pPr>
              <w:pStyle w:val="BodyText"/>
            </w:pPr>
            <w:r w:rsidRPr="00C9746A">
              <w:t>Cable trailers</w:t>
            </w:r>
          </w:p>
          <w:p w:rsidR="00000000" w:rsidRPr="00C9746A" w:rsidP="00C9746A">
            <w:pPr>
              <w:pStyle w:val="BodyText"/>
            </w:pPr>
            <w:r w:rsidRPr="00C9746A">
              <w:t>Rollers</w:t>
            </w:r>
          </w:p>
          <w:p w:rsidR="00000000" w:rsidRPr="00C9746A" w:rsidP="00C9746A">
            <w:pPr>
              <w:pStyle w:val="BodyText"/>
            </w:pPr>
            <w:r w:rsidRPr="00C9746A">
              <w:t>Lubricants</w:t>
            </w:r>
          </w:p>
          <w:p w:rsidR="00000000" w:rsidRPr="00C9746A" w:rsidP="00C9746A">
            <w:pPr>
              <w:pStyle w:val="BodyText"/>
            </w:pPr>
            <w:r w:rsidRPr="00C9746A">
              <w:t>Ropes</w:t>
            </w:r>
          </w:p>
          <w:p w:rsidR="00000000" w:rsidRPr="00C9746A" w:rsidP="00C9746A">
            <w:pPr>
              <w:pStyle w:val="BodyText"/>
            </w:pPr>
            <w:r w:rsidRPr="00C9746A">
              <w:t>Bell mouths</w:t>
            </w:r>
          </w:p>
          <w:p w:rsidR="00000000" w:rsidP="00C9746A">
            <w:pPr>
              <w:pStyle w:val="BodyText"/>
              <w:rPr>
                <w:lang w:val="en-NZ"/>
              </w:rPr>
            </w:pPr>
            <w:r w:rsidRPr="00C9746A">
              <w:t>Draw wires/rods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Install and maintain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HV polymeric cables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H</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With regards to "G"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Tee-off joints</w:t>
            </w:r>
          </w:p>
          <w:p w:rsidR="00000000" w:rsidRPr="00C9746A" w:rsidP="00C9746A">
            <w:pPr>
              <w:pStyle w:val="BodyText"/>
            </w:pPr>
            <w:r w:rsidRPr="00C9746A">
              <w:t>Straight through joint</w:t>
            </w:r>
          </w:p>
          <w:p w:rsidR="00000000" w:rsidRPr="00C9746A" w:rsidP="00C9746A">
            <w:pPr>
              <w:pStyle w:val="BodyText"/>
            </w:pPr>
            <w:r w:rsidRPr="00C9746A">
              <w:t>Parallel branch joint</w:t>
            </w:r>
          </w:p>
          <w:p w:rsidR="00000000" w:rsidP="00C9746A">
            <w:pPr>
              <w:pStyle w:val="BodyText"/>
              <w:rPr>
                <w:lang w:val="en-NZ"/>
              </w:rPr>
            </w:pPr>
            <w:r w:rsidRPr="00C9746A">
              <w:t>Parallel joint</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I</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With regards to "G"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Transformers</w:t>
            </w:r>
          </w:p>
          <w:p w:rsidR="00000000" w:rsidRPr="00C9746A" w:rsidP="00C9746A">
            <w:pPr>
              <w:pStyle w:val="BodyText"/>
            </w:pPr>
            <w:r w:rsidRPr="00C9746A">
              <w:t>Ring main units</w:t>
            </w:r>
          </w:p>
          <w:p w:rsidR="00000000" w:rsidP="00C9746A">
            <w:pPr>
              <w:pStyle w:val="BodyText"/>
              <w:rPr>
                <w:lang w:val="en-NZ"/>
              </w:rPr>
            </w:pPr>
            <w:r w:rsidRPr="00C9746A">
              <w:t>Chamber substations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J</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With regards to "G"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Busbar/termination boxes</w:t>
            </w:r>
          </w:p>
          <w:p w:rsidR="00000000" w:rsidRPr="00C9746A" w:rsidP="00C9746A">
            <w:pPr>
              <w:pStyle w:val="BodyText"/>
            </w:pPr>
            <w:r w:rsidRPr="00C9746A">
              <w:t>Links/Fuses</w:t>
            </w:r>
          </w:p>
          <w:p w:rsidR="00000000" w:rsidRPr="00C9746A" w:rsidP="00C9746A">
            <w:pPr>
              <w:pStyle w:val="BodyText"/>
            </w:pPr>
            <w:r w:rsidRPr="00C9746A">
              <w:t>Termination boxes</w:t>
            </w:r>
          </w:p>
          <w:p w:rsidR="00000000" w:rsidRPr="00C9746A" w:rsidP="00C9746A">
            <w:pPr>
              <w:pStyle w:val="BodyText"/>
            </w:pPr>
            <w:r w:rsidRPr="00C9746A">
              <w:t>Control gear</w:t>
            </w:r>
          </w:p>
          <w:p w:rsidR="00000000" w:rsidP="00C9746A">
            <w:pPr>
              <w:pStyle w:val="BodyText"/>
              <w:rPr>
                <w:lang w:val="en-NZ"/>
              </w:rPr>
            </w:pPr>
            <w:r w:rsidRPr="00C9746A">
              <w:t>Circuit breakers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With regards to "G"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Resin filled boxes</w:t>
            </w:r>
          </w:p>
          <w:p w:rsidR="00000000" w:rsidRPr="00C9746A" w:rsidP="00C9746A">
            <w:pPr>
              <w:pStyle w:val="BodyText"/>
            </w:pPr>
            <w:r w:rsidRPr="00C9746A">
              <w:t>Compound filled boxes</w:t>
            </w:r>
          </w:p>
          <w:p w:rsidR="00000000" w:rsidRPr="00C9746A" w:rsidP="00C9746A">
            <w:pPr>
              <w:pStyle w:val="BodyText"/>
            </w:pPr>
            <w:r w:rsidRPr="00C9746A">
              <w:t>Polymeric tape</w:t>
            </w:r>
          </w:p>
          <w:p w:rsidR="00000000" w:rsidRPr="00C9746A" w:rsidP="00C9746A">
            <w:pPr>
              <w:pStyle w:val="BodyText"/>
            </w:pPr>
            <w:r w:rsidRPr="00C9746A">
              <w:t>Heat shrink</w:t>
            </w:r>
          </w:p>
          <w:p w:rsidR="00000000" w:rsidRPr="00C9746A" w:rsidP="00C9746A">
            <w:pPr>
              <w:pStyle w:val="BodyText"/>
            </w:pPr>
            <w:r w:rsidRPr="00C9746A">
              <w:t>‘slip-on’ moulds</w:t>
            </w:r>
          </w:p>
          <w:p w:rsidR="00000000" w:rsidP="00C9746A">
            <w:pPr>
              <w:pStyle w:val="BodyText"/>
              <w:rPr>
                <w:lang w:val="en-NZ"/>
              </w:rPr>
            </w:pPr>
            <w:r w:rsidRPr="00C9746A">
              <w:t>Pre-stretched polymeric</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With regards to the above incorporate at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Insulation resistance testers</w:t>
            </w:r>
          </w:p>
          <w:p w:rsidR="00000000" w:rsidP="00C9746A">
            <w:pPr>
              <w:pStyle w:val="BodyText"/>
              <w:rPr>
                <w:lang w:val="en-NZ"/>
              </w:rPr>
            </w:pPr>
            <w:r w:rsidRPr="00C9746A">
              <w:t>Voltage detectors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M</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With regards to the above incorporate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Cable identification devices</w:t>
            </w:r>
          </w:p>
          <w:p w:rsidR="00000000" w:rsidP="00C9746A">
            <w:pPr>
              <w:pStyle w:val="BodyText"/>
              <w:rPr>
                <w:lang w:val="en-NZ"/>
              </w:rPr>
            </w:pPr>
            <w:r w:rsidRPr="00C9746A">
              <w:t>Cable spiking devices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With regards to "G"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Mechanical connectors</w:t>
            </w:r>
          </w:p>
          <w:p w:rsidR="00000000" w:rsidRPr="00C9746A" w:rsidP="00C9746A">
            <w:pPr>
              <w:pStyle w:val="BodyText"/>
            </w:pPr>
            <w:r w:rsidRPr="00C9746A">
              <w:t>Compression connectors</w:t>
            </w:r>
          </w:p>
          <w:p w:rsidR="00000000" w:rsidP="00C9746A">
            <w:pPr>
              <w:pStyle w:val="BodyText"/>
              <w:rPr>
                <w:lang w:val="en-NZ"/>
              </w:rPr>
            </w:pPr>
            <w:r w:rsidRPr="00C9746A">
              <w:t>Lugs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46A">
            <w:pPr>
              <w:pStyle w:val="BodyText"/>
              <w:rPr>
                <w:lang w:val="en-NZ"/>
              </w:rPr>
            </w:pPr>
            <w:r w:rsidRPr="00C9746A">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46A" w:rsidP="00C9746A">
            <w:pPr>
              <w:pStyle w:val="BodyText"/>
            </w:pPr>
            <w:r w:rsidRPr="00C9746A">
              <w:t>Dealing with an unplanned event by drawing on essential knowledge and associated skills to provide appropriate solutions incorporated in the holistic assessment with the above listed items.</w:t>
            </w:r>
          </w:p>
        </w:tc>
      </w:tr>
    </w:tbl>
    <w:p w:rsidR="00000000" w:rsidRPr="00C9746A" w:rsidP="00C9746A">
      <w:pPr>
        <w:pStyle w:val="BodyText"/>
      </w:pPr>
    </w:p>
    <w:tbl>
      <w:tblPr>
        <w:tblW w:w="0" w:type="auto"/>
        <w:tblLayout w:type="fixed"/>
        <w:tblCellMar>
          <w:left w:w="62" w:type="dxa"/>
          <w:right w:w="62" w:type="dxa"/>
        </w:tblCellMar>
        <w:tblLook w:val="0000"/>
      </w:tblPr>
      <w:tblGrid>
        <w:gridCol w:w="1890"/>
        <w:gridCol w:w="6570"/>
      </w:tblGrid>
      <w:tr w:rsidTr="0048666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9.3)</w:t>
            </w:r>
          </w:p>
        </w:tc>
      </w:tr>
      <w:tr w:rsidTr="0048666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This unit should be assessed as it relates to normal work practice using procedures, information and resources typical of a workplace. This should include:</w:t>
            </w:r>
          </w:p>
          <w:p w:rsidR="00000000" w:rsidRPr="00C9746A" w:rsidP="00C9746A">
            <w:pPr>
              <w:pStyle w:val="ListBullet"/>
            </w:pPr>
            <w:r w:rsidRPr="00C9746A">
              <w:t>OHS policy and work procedures and instructions.</w:t>
            </w:r>
          </w:p>
          <w:p w:rsidR="00000000" w:rsidRPr="00C9746A" w:rsidP="00C9746A">
            <w:pPr>
              <w:pStyle w:val="ListBullet"/>
            </w:pPr>
            <w:r w:rsidRPr="00C9746A">
              <w:t>Suitable work environment, facilities, equipment a</w:t>
            </w:r>
            <w:r w:rsidRPr="00C9746A">
              <w:t xml:space="preserve">nd materials to undertake actual installation and maintenance of network infrastructure HV underground cables. </w:t>
            </w:r>
          </w:p>
          <w:p w:rsidR="00000000" w:rsidRPr="00C9746A" w:rsidP="00C9746A">
            <w:pPr>
              <w:pStyle w:val="BodyText"/>
            </w:pPr>
            <w:r w:rsidRPr="00C9746A">
              <w:t>In addition to the resources listed above, in context of and specific resources for assessment, evidence should show demonstrated competency wor</w:t>
            </w:r>
            <w:r w:rsidRPr="00C9746A">
              <w:t>king below ground, in limited spaces, with different structural/construction types and method and in a variety of environments.</w:t>
            </w:r>
          </w:p>
        </w:tc>
      </w:tr>
    </w:tbl>
    <w:p w:rsidR="00000000" w:rsidRPr="00C9746A" w:rsidP="00C9746A">
      <w:pPr>
        <w:pStyle w:val="BodyText"/>
      </w:pPr>
    </w:p>
    <w:tbl>
      <w:tblPr>
        <w:tblW w:w="0" w:type="auto"/>
        <w:tblLayout w:type="fixed"/>
        <w:tblCellMar>
          <w:left w:w="62" w:type="dxa"/>
          <w:right w:w="62" w:type="dxa"/>
        </w:tblCellMar>
        <w:tblLook w:val="0000"/>
      </w:tblPr>
      <w:tblGrid>
        <w:gridCol w:w="1890"/>
        <w:gridCol w:w="6570"/>
      </w:tblGrid>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9.4)</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This Competency Standard Unit shall be assessed by methods given in Volume 1, Part 3 “</w:t>
            </w:r>
            <w:r w:rsidRPr="00C9746A">
              <w:t>Assessment Guidelines”.</w:t>
            </w:r>
          </w:p>
          <w:p w:rsidR="00000000" w:rsidRPr="00C9746A" w:rsidP="00C9746A">
            <w:pPr>
              <w:pStyle w:val="BodyText"/>
            </w:pPr>
            <w:r w:rsidRPr="00C9746A">
              <w:t>Note:</w:t>
            </w:r>
          </w:p>
          <w:p w:rsidR="00000000" w:rsidRPr="00C9746A" w:rsidP="00C9746A">
            <w:pPr>
              <w:pStyle w:val="BodyText"/>
            </w:pPr>
            <w:r w:rsidRPr="00C9746A">
              <w:t xml:space="preserve">Competent performance with inherent safe working practices is expected in the Industry to which this Competency Standard Unit applies. This requires that the specified essential knowledge and associated skills are assessed in </w:t>
            </w:r>
            <w:r w:rsidRPr="00C9746A">
              <w:t>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C9746A" w:rsidP="00C9746A">
      <w:pPr>
        <w:pStyle w:val="BodyText"/>
      </w:pPr>
    </w:p>
    <w:tbl>
      <w:tblPr>
        <w:tblW w:w="0" w:type="auto"/>
        <w:tblLayout w:type="fixed"/>
        <w:tblCellMar>
          <w:left w:w="62" w:type="dxa"/>
          <w:right w:w="62" w:type="dxa"/>
        </w:tblCellMar>
        <w:tblLook w:val="0000"/>
      </w:tblPr>
      <w:tblGrid>
        <w:gridCol w:w="1890"/>
        <w:gridCol w:w="1530"/>
        <w:gridCol w:w="5040"/>
      </w:tblGrid>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 xml:space="preserve">Concurrent </w:t>
            </w:r>
            <w:r w:rsidRPr="00C9746A">
              <w:rPr>
                <w:rStyle w:val="SpecialBold"/>
              </w:rPr>
              <w:t>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9.5)</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For optimisation of training and assessment effort, competence in this unit may be assessed concurrently with the following units:</w:t>
            </w:r>
          </w:p>
        </w:tc>
      </w:tr>
      <w:tr w:rsidTr="0048666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t>UETTDRCJ33A</w:t>
            </w:r>
          </w:p>
        </w:tc>
        <w:tc>
          <w:tcPr>
            <w:tcW w:w="504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 xml:space="preserve">Install and maintain network infrastructure LV underground cables </w:t>
            </w:r>
          </w:p>
        </w:tc>
      </w:tr>
    </w:tbl>
    <w:p w:rsidR="00000000" w:rsidRPr="00C9746A" w:rsidP="00C9746A">
      <w:pPr>
        <w:pStyle w:val="BodyText"/>
      </w:pPr>
    </w:p>
    <w:p w:rsidR="00000000" w:rsidRPr="00C9746A" w:rsidP="00C9746A">
      <w:pPr>
        <w:pStyle w:val="AllowPageBreak"/>
      </w:pPr>
    </w:p>
    <w:p w:rsidR="00000000" w:rsidRPr="00C9746A" w:rsidP="00C9746A">
      <w:pPr>
        <w:pStyle w:val="Heading1"/>
      </w:pPr>
      <w:bookmarkStart w:id="11" w:name="O_462155"/>
      <w:bookmarkEnd w:id="11"/>
      <w:r w:rsidRPr="00C9746A">
        <w:t>Range Statement</w:t>
      </w:r>
    </w:p>
    <w:tbl>
      <w:tblPr>
        <w:tblW w:w="0" w:type="auto"/>
        <w:tblLayout w:type="fixed"/>
        <w:tblCellMar>
          <w:left w:w="62" w:type="dxa"/>
          <w:right w:w="62" w:type="dxa"/>
        </w:tblCellMar>
        <w:tblLook w:val="0000"/>
      </w:tblPr>
      <w:tblGrid>
        <w:gridCol w:w="8460"/>
      </w:tblGrid>
      <w:tr w:rsidTr="0048666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RANGE STATEMENT</w:t>
            </w:r>
          </w:p>
        </w:tc>
      </w:tr>
      <w:tr w:rsidTr="0048666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10)</w:t>
            </w:r>
            <w:r w:rsidRPr="00C9746A">
              <w:t xml:space="preserve"> This relates to the unit of competency as a whole providing the range of contexts and conditions </w:t>
            </w:r>
            <w:r w:rsidRPr="00C9746A">
              <w:t>to which the performance criteria apply. It allows for different work environments and situations that will affect performance.</w:t>
            </w:r>
          </w:p>
          <w:p w:rsidR="00000000" w:rsidRPr="00C9746A" w:rsidP="00C9746A">
            <w:pPr>
              <w:pStyle w:val="BodyText"/>
            </w:pPr>
            <w:r w:rsidRPr="00C9746A">
              <w:t>This Competency Standard Unit shall be demonstrated in relation to the installation and maintenance of de-energised high voltage</w:t>
            </w:r>
            <w:r w:rsidRPr="00C9746A">
              <w:t xml:space="preserve"> underground polymeric cables and covers the jointing, terminating, repair and replacement of cables used in systems and circuits and the issuing/accepting of relevant permits.</w:t>
            </w:r>
          </w:p>
          <w:p w:rsidR="00000000" w:rsidRPr="00C9746A" w:rsidP="00C9746A">
            <w:pPr>
              <w:pStyle w:val="BodyText"/>
            </w:pPr>
            <w:r w:rsidRPr="00C9746A">
              <w:t>Underground equipment may include links, fuses, ring main units, distribution f</w:t>
            </w:r>
            <w:r w:rsidRPr="00C9746A">
              <w:t>use boxes, pad mount and ground transformers, chamber substations and busbar/termination boxes.</w:t>
            </w:r>
          </w:p>
          <w:p w:rsidR="00000000" w:rsidRPr="00C9746A" w:rsidP="00C9746A">
            <w:pPr>
              <w:pStyle w:val="BodyText"/>
            </w:pPr>
            <w:r w:rsidRPr="00C9746A">
              <w:t xml:space="preserve">The unit includes the laying of cables direct in trenches, on racks, in troughs and /or in conduit or ducts. </w:t>
            </w:r>
          </w:p>
          <w:p w:rsidR="00000000" w:rsidRPr="00C9746A" w:rsidP="00C9746A">
            <w:pPr>
              <w:pStyle w:val="BodyText"/>
            </w:pPr>
            <w:r w:rsidRPr="00C9746A">
              <w:t>It also encompasses cable pulling methods, pulling</w:t>
            </w:r>
            <w:r w:rsidRPr="00C9746A">
              <w:t xml:space="preserve"> tensions, minimum bending radii, reduction of frictional forces, use of supporting plant (e.g. dynamometers, rigging, winches, etc), working on FRC, PVC, A/C ducted systems and the cutting and sealing of cables.</w:t>
            </w:r>
          </w:p>
          <w:p w:rsidR="00000000" w:rsidRPr="00C9746A" w:rsidP="00C9746A">
            <w:pPr>
              <w:pStyle w:val="BodyText"/>
            </w:pPr>
            <w:r w:rsidRPr="00C9746A">
              <w:t>Test and recording equipment includes volta</w:t>
            </w:r>
            <w:r w:rsidRPr="00C9746A">
              <w:t>ge detectors, cable identification equipment, cable spiking equipment and insulation resistance testers.</w:t>
            </w:r>
          </w:p>
          <w:p w:rsidR="00000000" w:rsidRPr="00C9746A" w:rsidP="00C9746A">
            <w:pPr>
              <w:pStyle w:val="BodyText"/>
            </w:pPr>
            <w:r w:rsidRPr="00C9746A">
              <w:t>Jointing and terminating materials include compound and resin filled boxes, polymeric tape materials, polymeric heat shrink materials, "slip-on" moulde</w:t>
            </w:r>
            <w:r w:rsidRPr="00C9746A">
              <w:t>d components and pre-stretched polymeric materials, compression and mechanical connectors</w:t>
            </w:r>
          </w:p>
          <w:p w:rsidR="00000000" w:rsidRPr="00C9746A" w:rsidP="00C9746A">
            <w:pPr>
              <w:pStyle w:val="BodyText"/>
            </w:pPr>
            <w:r w:rsidRPr="00C9746A">
              <w:t>Jointing and terminating locations include circuit breakers, links, fuses, , ring main units, distribution fuse boxes, pad mount and ground transformers, chamber subs</w:t>
            </w:r>
            <w:r w:rsidRPr="00C9746A">
              <w:t>tations and busbar/termination boxes.</w:t>
            </w:r>
          </w:p>
          <w:p w:rsidR="00000000" w:rsidRPr="00C9746A" w:rsidP="00C9746A">
            <w:pPr>
              <w:pStyle w:val="BodyText"/>
            </w:pPr>
            <w:r w:rsidRPr="00C9746A">
              <w:t>The following constants and variables included in the element/performance criteria in this unit are fully described in the Definitions Section 1 of this volume and form an integral part of the Range Statement of this u</w:t>
            </w:r>
            <w:r w:rsidRPr="00C9746A">
              <w:t>nit:</w:t>
            </w:r>
          </w:p>
          <w:p w:rsidR="00000000" w:rsidRPr="00C9746A" w:rsidP="00C9746A">
            <w:pPr>
              <w:pStyle w:val="ListBullet3"/>
            </w:pPr>
            <w:r w:rsidRPr="00C9746A">
              <w:t>Appropriate and relevant persons (see Personnel)</w:t>
            </w:r>
          </w:p>
          <w:p w:rsidR="00000000" w:rsidRPr="00C9746A" w:rsidP="00C9746A">
            <w:pPr>
              <w:pStyle w:val="ListBullet3"/>
            </w:pPr>
            <w:r w:rsidRPr="00C9746A">
              <w:t xml:space="preserve">Appropriate authorities </w:t>
            </w:r>
          </w:p>
          <w:p w:rsidR="00000000" w:rsidRPr="00C9746A" w:rsidP="00C9746A">
            <w:pPr>
              <w:pStyle w:val="ListBullet3"/>
            </w:pPr>
            <w:r w:rsidRPr="00C9746A">
              <w:t>Appropriate work platform.</w:t>
            </w:r>
          </w:p>
          <w:p w:rsidR="00000000" w:rsidRPr="00C9746A" w:rsidP="00C9746A">
            <w:pPr>
              <w:pStyle w:val="ListBullet3"/>
            </w:pPr>
            <w:r w:rsidRPr="00C9746A">
              <w:t>Assessing risk</w:t>
            </w:r>
          </w:p>
          <w:p w:rsidR="00000000" w:rsidRPr="00C9746A" w:rsidP="00C9746A">
            <w:pPr>
              <w:pStyle w:val="ListBullet3"/>
            </w:pPr>
            <w:r w:rsidRPr="00C9746A">
              <w:t>Assessment</w:t>
            </w:r>
          </w:p>
          <w:p w:rsidR="00000000" w:rsidRPr="00C9746A" w:rsidP="00C9746A">
            <w:pPr>
              <w:pStyle w:val="ListBullet3"/>
            </w:pPr>
            <w:r w:rsidRPr="00C9746A">
              <w:t xml:space="preserve">Authorisation </w:t>
            </w:r>
          </w:p>
          <w:p w:rsidR="00000000" w:rsidRPr="00C9746A" w:rsidP="00C9746A">
            <w:pPr>
              <w:pStyle w:val="ListBullet3"/>
            </w:pPr>
            <w:r w:rsidRPr="00C9746A">
              <w:t>Confined space</w:t>
            </w:r>
          </w:p>
          <w:p w:rsidR="00000000" w:rsidRPr="00C9746A" w:rsidP="00C9746A">
            <w:pPr>
              <w:pStyle w:val="ListBullet3"/>
            </w:pPr>
            <w:r w:rsidRPr="00C9746A">
              <w:t>Diagnostic, testing and restoration.</w:t>
            </w:r>
          </w:p>
          <w:p w:rsidR="00000000" w:rsidRPr="00C9746A" w:rsidP="00C9746A">
            <w:pPr>
              <w:pStyle w:val="ListBullet3"/>
            </w:pPr>
            <w:r w:rsidRPr="00C9746A">
              <w:t>Documenting detail work events, record keeping and or storage of information.</w:t>
            </w:r>
          </w:p>
          <w:p w:rsidR="00000000" w:rsidRPr="00C9746A" w:rsidP="00C9746A">
            <w:pPr>
              <w:pStyle w:val="ListBullet3"/>
            </w:pPr>
            <w:r w:rsidRPr="00C9746A">
              <w:t xml:space="preserve">Drawings and specifications </w:t>
            </w:r>
          </w:p>
          <w:p w:rsidR="00000000" w:rsidRPr="00C9746A" w:rsidP="00C9746A">
            <w:pPr>
              <w:pStyle w:val="ListBullet3"/>
            </w:pPr>
            <w:r w:rsidRPr="00C9746A">
              <w:t>Emergency</w:t>
            </w:r>
          </w:p>
          <w:p w:rsidR="00000000" w:rsidRPr="00C9746A" w:rsidP="00C9746A">
            <w:pPr>
              <w:pStyle w:val="ListBullet3"/>
            </w:pPr>
            <w:r w:rsidRPr="00C9746A">
              <w:t>Environmental and sustainable energy procedures</w:t>
            </w:r>
          </w:p>
          <w:p w:rsidR="00000000" w:rsidRPr="00C9746A" w:rsidP="00C9746A">
            <w:pPr>
              <w:pStyle w:val="ListBullet3"/>
            </w:pPr>
            <w:r w:rsidRPr="00C9746A">
              <w:t>Environmental legislation.</w:t>
            </w:r>
          </w:p>
          <w:p w:rsidR="00000000" w:rsidRPr="00C9746A" w:rsidP="00C9746A">
            <w:pPr>
              <w:pStyle w:val="ListBullet3"/>
            </w:pPr>
            <w:r w:rsidRPr="00C9746A">
              <w:t>Environmental management documentation.</w:t>
            </w:r>
          </w:p>
          <w:p w:rsidR="00000000" w:rsidRPr="00C9746A" w:rsidP="00C9746A">
            <w:pPr>
              <w:pStyle w:val="ListBullet3"/>
            </w:pPr>
            <w:r w:rsidRPr="00C9746A">
              <w:t>Established procedures.</w:t>
            </w:r>
          </w:p>
          <w:p w:rsidR="00000000" w:rsidRPr="00C9746A" w:rsidP="00C9746A">
            <w:pPr>
              <w:pStyle w:val="ListBullet3"/>
            </w:pPr>
            <w:r w:rsidRPr="00C9746A">
              <w:t>Fall prevention</w:t>
            </w:r>
          </w:p>
          <w:p w:rsidR="00000000" w:rsidRPr="00C9746A" w:rsidP="00C9746A">
            <w:pPr>
              <w:pStyle w:val="ListBullet3"/>
            </w:pPr>
            <w:r w:rsidRPr="00C9746A">
              <w:t>Hazards</w:t>
            </w:r>
          </w:p>
          <w:p w:rsidR="00000000" w:rsidRPr="00C9746A" w:rsidP="00C9746A">
            <w:pPr>
              <w:pStyle w:val="ListBullet3"/>
            </w:pPr>
            <w:r w:rsidRPr="00C9746A">
              <w:t>Identifying hazards</w:t>
            </w:r>
          </w:p>
          <w:p w:rsidR="00000000" w:rsidRPr="00C9746A" w:rsidP="00C9746A">
            <w:pPr>
              <w:pStyle w:val="ListBullet3"/>
            </w:pPr>
            <w:r w:rsidRPr="00C9746A">
              <w:t>Inspect</w:t>
            </w:r>
          </w:p>
          <w:p w:rsidR="00000000" w:rsidRPr="00C9746A" w:rsidP="00C9746A">
            <w:pPr>
              <w:pStyle w:val="ListBullet3"/>
            </w:pPr>
            <w:r w:rsidRPr="00C9746A">
              <w:t>Legislation</w:t>
            </w:r>
          </w:p>
          <w:p w:rsidR="00000000" w:rsidRPr="00C9746A" w:rsidP="00C9746A">
            <w:pPr>
              <w:pStyle w:val="ListBullet3"/>
            </w:pPr>
            <w:r w:rsidRPr="00C9746A">
              <w:t>MSDS</w:t>
            </w:r>
          </w:p>
          <w:p w:rsidR="00000000" w:rsidRPr="00C9746A" w:rsidP="00C9746A">
            <w:pPr>
              <w:pStyle w:val="ListBullet3"/>
            </w:pPr>
            <w:r w:rsidRPr="00C9746A">
              <w:t>Notification.</w:t>
            </w:r>
          </w:p>
          <w:p w:rsidR="00000000" w:rsidRPr="00C9746A" w:rsidP="00C9746A">
            <w:pPr>
              <w:pStyle w:val="ListBullet3"/>
            </w:pPr>
            <w:r w:rsidRPr="00C9746A">
              <w:t>OHS practices</w:t>
            </w:r>
          </w:p>
          <w:p w:rsidR="00000000" w:rsidRPr="00C9746A" w:rsidP="00C9746A">
            <w:pPr>
              <w:pStyle w:val="ListBullet3"/>
            </w:pPr>
            <w:r w:rsidRPr="00C9746A">
              <w:t>OHS issues</w:t>
            </w:r>
          </w:p>
          <w:p w:rsidR="00000000" w:rsidRPr="00C9746A" w:rsidP="00C9746A">
            <w:pPr>
              <w:pStyle w:val="ListBullet3"/>
            </w:pPr>
            <w:r w:rsidRPr="00C9746A">
              <w:t>Permits and/or permits to work</w:t>
            </w:r>
          </w:p>
          <w:p w:rsidR="00000000" w:rsidRPr="00C9746A" w:rsidP="00C9746A">
            <w:pPr>
              <w:pStyle w:val="ListBullet3"/>
            </w:pPr>
            <w:r w:rsidRPr="00C9746A">
              <w:t>Personnel.</w:t>
            </w:r>
          </w:p>
          <w:p w:rsidR="00000000" w:rsidRPr="00C9746A" w:rsidP="00C9746A">
            <w:pPr>
              <w:pStyle w:val="ListBullet3"/>
            </w:pPr>
            <w:r w:rsidRPr="00C9746A">
              <w:t>Quality assurance systems.</w:t>
            </w:r>
          </w:p>
          <w:p w:rsidR="00000000" w:rsidRPr="00C9746A" w:rsidP="00C9746A">
            <w:pPr>
              <w:pStyle w:val="ListBullet3"/>
            </w:pPr>
            <w:r w:rsidRPr="00C9746A">
              <w:t>Requirements.</w:t>
            </w:r>
          </w:p>
          <w:p w:rsidR="00000000" w:rsidRPr="00C9746A" w:rsidP="00C9746A">
            <w:pPr>
              <w:pStyle w:val="ListBullet3"/>
            </w:pPr>
            <w:r w:rsidRPr="00C9746A">
              <w:t>Testing procedures</w:t>
            </w:r>
          </w:p>
          <w:p w:rsidR="00000000" w:rsidRPr="00C9746A" w:rsidP="00C9746A">
            <w:pPr>
              <w:pStyle w:val="ListBullet3"/>
            </w:pPr>
            <w:r w:rsidRPr="00C9746A">
              <w:t>Work clearance systems</w:t>
            </w:r>
          </w:p>
        </w:tc>
      </w:tr>
    </w:tbl>
    <w:p w:rsidR="00000000" w:rsidRPr="00C9746A" w:rsidP="00C9746A">
      <w:pPr>
        <w:pStyle w:val="BodyText"/>
      </w:pPr>
    </w:p>
    <w:p w:rsidR="00000000" w:rsidRPr="00C9746A" w:rsidP="00C9746A">
      <w:pPr>
        <w:pStyle w:val="AllowPageBreak"/>
      </w:pPr>
    </w:p>
    <w:p w:rsidR="00000000" w:rsidRPr="00C9746A" w:rsidP="00C9746A">
      <w:pPr>
        <w:pStyle w:val="Heading1"/>
      </w:pPr>
      <w:bookmarkStart w:id="12" w:name="O_462158"/>
      <w:bookmarkEnd w:id="12"/>
      <w:r w:rsidRPr="00C9746A">
        <w:t>Unit Sector(s)</w:t>
      </w:r>
    </w:p>
    <w:p w:rsidR="00000000" w:rsidRPr="00C9746A" w:rsidP="00C9746A">
      <w:pPr>
        <w:pStyle w:val="BodyText"/>
      </w:pPr>
      <w:r w:rsidRPr="00C9746A">
        <w:t>Not applicable.</w:t>
      </w:r>
    </w:p>
    <w:p w:rsidR="00000000" w:rsidRPr="00C9746A" w:rsidP="00C9746A">
      <w:pPr>
        <w:pStyle w:val="AllowPageBreak"/>
      </w:pPr>
    </w:p>
    <w:p w:rsidR="00000000" w:rsidRPr="00C9746A" w:rsidP="00C9746A">
      <w:pPr>
        <w:pStyle w:val="Heading1"/>
      </w:pPr>
      <w:bookmarkStart w:id="13" w:name="O_462147"/>
      <w:bookmarkEnd w:id="13"/>
      <w:r w:rsidRPr="00C9746A">
        <w:t>Competency Field</w:t>
      </w:r>
    </w:p>
    <w:tbl>
      <w:tblPr>
        <w:tblW w:w="0" w:type="auto"/>
        <w:tblLayout w:type="fixed"/>
        <w:tblCellMar>
          <w:left w:w="62" w:type="dxa"/>
          <w:right w:w="62" w:type="dxa"/>
        </w:tblCellMar>
        <w:tblLook w:val="0000"/>
      </w:tblPr>
      <w:tblGrid>
        <w:gridCol w:w="2700"/>
        <w:gridCol w:w="5760"/>
      </w:tblGrid>
      <w:tr w:rsidTr="0048666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9746A">
            <w:pPr>
              <w:pStyle w:val="BodyText"/>
              <w:rPr>
                <w:lang w:val="en-NZ"/>
              </w:rPr>
            </w:pPr>
            <w:r w:rsidRPr="00C9746A">
              <w:rPr>
                <w:rStyle w:val="SpecialBold"/>
              </w:rPr>
              <w:t xml:space="preserve">11) </w:t>
            </w:r>
          </w:p>
        </w:tc>
      </w:tr>
      <w:tr w:rsidTr="0048666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9746A" w:rsidP="00C9746A">
            <w:pPr>
              <w:pStyle w:val="BodyText"/>
            </w:pPr>
            <w:r w:rsidRPr="00C9746A">
              <w:t>Cable Jointing</w:t>
            </w:r>
          </w:p>
        </w:tc>
      </w:tr>
    </w:tbl>
    <w:p w:rsidR="00000000" w:rsidRPr="00C9746A" w:rsidP="00C9746A">
      <w:pPr>
        <w:pStyle w:val="BodyText"/>
      </w:pPr>
    </w:p>
    <w:p w:rsidR="00000000" w:rsidRPr="00C9746A" w:rsidP="00C9746A"/>
    <w:sectPr w:rsidSect="00C974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666" w:rsidP="004866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66" w:rsidP="00C97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486666" w:rsidP="00C974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86666" w:rsidP="00C974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666" w:rsidP="0048666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66" w:rsidP="00C9746A">
    <w:pPr>
      <w:pStyle w:val="Header"/>
      <w:framePr w:wrap="around"/>
    </w:pPr>
    <w:r>
      <w:fldChar w:fldCharType="begin"/>
    </w:r>
    <w:r>
      <w:instrText xml:space="preserve"> TITLE   \* MERGEFORMAT </w:instrText>
    </w:r>
    <w:r>
      <w:fldChar w:fldCharType="separate"/>
    </w:r>
    <w:r>
      <w:t>UETTDRCJ34A Install and maintain network infrastructure HV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6666" w:rsidP="00C974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5C7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BE1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28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4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46A"/>
    <w:pPr>
      <w:spacing w:before="360" w:after="60"/>
      <w:outlineLvl w:val="0"/>
    </w:pPr>
    <w:rPr>
      <w:sz w:val="32"/>
    </w:rPr>
  </w:style>
  <w:style w:type="paragraph" w:styleId="Heading2">
    <w:name w:val="heading 2"/>
    <w:basedOn w:val="HeadingBase"/>
    <w:next w:val="BodyText"/>
    <w:link w:val="Heading2Char"/>
    <w:qFormat/>
    <w:rsid w:val="00C9746A"/>
    <w:pPr>
      <w:keepLines/>
      <w:spacing w:before="240" w:after="120"/>
      <w:outlineLvl w:val="1"/>
    </w:pPr>
    <w:rPr>
      <w:sz w:val="28"/>
      <w:szCs w:val="40"/>
    </w:rPr>
  </w:style>
  <w:style w:type="paragraph" w:styleId="Heading3">
    <w:name w:val="heading 3"/>
    <w:basedOn w:val="HeadingBase"/>
    <w:next w:val="BodyText"/>
    <w:link w:val="Heading3Char"/>
    <w:qFormat/>
    <w:rsid w:val="00C9746A"/>
    <w:pPr>
      <w:spacing w:before="180" w:after="120"/>
      <w:outlineLvl w:val="2"/>
    </w:pPr>
    <w:rPr>
      <w:spacing w:val="-10"/>
      <w:kern w:val="32"/>
    </w:rPr>
  </w:style>
  <w:style w:type="paragraph" w:styleId="Heading4">
    <w:name w:val="heading 4"/>
    <w:basedOn w:val="HeadingBase"/>
    <w:next w:val="BodyText"/>
    <w:link w:val="Heading4Char"/>
    <w:qFormat/>
    <w:rsid w:val="00C9746A"/>
    <w:pPr>
      <w:spacing w:before="160" w:after="120"/>
      <w:outlineLvl w:val="3"/>
    </w:pPr>
    <w:rPr>
      <w:sz w:val="22"/>
    </w:rPr>
  </w:style>
  <w:style w:type="paragraph" w:styleId="Heading5">
    <w:name w:val="heading 5"/>
    <w:basedOn w:val="HeadingBase"/>
    <w:next w:val="Normal"/>
    <w:link w:val="Heading5Char"/>
    <w:qFormat/>
    <w:rsid w:val="00C9746A"/>
    <w:pPr>
      <w:spacing w:before="80"/>
      <w:outlineLvl w:val="4"/>
    </w:pPr>
    <w:rPr>
      <w:color w:val="918585"/>
      <w:sz w:val="20"/>
    </w:rPr>
  </w:style>
  <w:style w:type="paragraph" w:styleId="Heading6">
    <w:name w:val="heading 6"/>
    <w:basedOn w:val="HeadingBase"/>
    <w:next w:val="Normal"/>
    <w:link w:val="Heading6Char"/>
    <w:qFormat/>
    <w:rsid w:val="00C9746A"/>
    <w:pPr>
      <w:spacing w:before="60"/>
      <w:outlineLvl w:val="5"/>
    </w:pPr>
    <w:rPr>
      <w:color w:val="918585"/>
      <w:sz w:val="20"/>
    </w:rPr>
  </w:style>
  <w:style w:type="paragraph" w:styleId="Heading7">
    <w:name w:val="heading 7"/>
    <w:basedOn w:val="Normal"/>
    <w:next w:val="Normal"/>
    <w:link w:val="Heading7Char"/>
    <w:qFormat/>
    <w:rsid w:val="00C9746A"/>
    <w:pPr>
      <w:ind w:left="720"/>
      <w:outlineLvl w:val="6"/>
    </w:pPr>
    <w:rPr>
      <w:i/>
    </w:rPr>
  </w:style>
  <w:style w:type="paragraph" w:styleId="Heading8">
    <w:name w:val="heading 8"/>
    <w:basedOn w:val="Normal"/>
    <w:next w:val="Normal"/>
    <w:link w:val="Heading8Char"/>
    <w:qFormat/>
    <w:rsid w:val="00C9746A"/>
    <w:pPr>
      <w:ind w:left="720"/>
      <w:outlineLvl w:val="7"/>
    </w:pPr>
    <w:rPr>
      <w:i/>
    </w:rPr>
  </w:style>
  <w:style w:type="paragraph" w:styleId="Heading9">
    <w:name w:val="heading 9"/>
    <w:basedOn w:val="Normal"/>
    <w:next w:val="Normal"/>
    <w:link w:val="Heading9Char"/>
    <w:qFormat/>
    <w:rsid w:val="00C9746A"/>
    <w:pPr>
      <w:ind w:left="720"/>
      <w:outlineLvl w:val="8"/>
    </w:pPr>
    <w:rPr>
      <w:i/>
    </w:rPr>
  </w:style>
  <w:style w:type="character" w:default="1" w:styleId="DefaultParagraphFont">
    <w:name w:val="Default Paragraph Font"/>
    <w:uiPriority w:val="1"/>
    <w:unhideWhenUsed/>
    <w:rsid w:val="00C97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46A"/>
  </w:style>
  <w:style w:type="character" w:customStyle="1" w:styleId="Heading1Char">
    <w:name w:val="Heading 1 Char"/>
    <w:link w:val="Heading1"/>
    <w:rsid w:val="00C9746A"/>
    <w:rPr>
      <w:rFonts w:ascii="Times New Roman" w:eastAsia="Times New Roman" w:hAnsi="Times New Roman" w:cs="Times New Roman"/>
      <w:b/>
      <w:sz w:val="32"/>
      <w:szCs w:val="20"/>
      <w:lang w:eastAsia="en-US"/>
    </w:rPr>
  </w:style>
  <w:style w:type="paragraph" w:styleId="BodyText">
    <w:name w:val="Body Text"/>
    <w:basedOn w:val="Normal"/>
    <w:link w:val="BodyTextChar"/>
    <w:rsid w:val="00C9746A"/>
    <w:pPr>
      <w:spacing w:before="120" w:after="120"/>
      <w:contextualSpacing/>
    </w:pPr>
    <w:rPr>
      <w:rFonts w:ascii="Times New Roman" w:hAnsi="Times New Roman"/>
      <w:sz w:val="24"/>
      <w:szCs w:val="22"/>
    </w:rPr>
  </w:style>
  <w:style w:type="character" w:customStyle="1" w:styleId="BodyTextChar">
    <w:name w:val="Body Text Char"/>
    <w:link w:val="BodyText"/>
    <w:rsid w:val="00C9746A"/>
    <w:rPr>
      <w:rFonts w:ascii="Times New Roman" w:eastAsia="Times New Roman" w:hAnsi="Times New Roman" w:cs="Times New Roman"/>
      <w:sz w:val="24"/>
      <w:lang w:val="en-US" w:eastAsia="en-US"/>
    </w:rPr>
  </w:style>
  <w:style w:type="paragraph" w:styleId="Footer">
    <w:name w:val="footer"/>
    <w:basedOn w:val="Normal"/>
    <w:link w:val="FooterChar"/>
    <w:rsid w:val="00C97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746A"/>
    <w:rPr>
      <w:rFonts w:ascii="Times New Roman" w:eastAsia="Times New Roman" w:hAnsi="Times New Roman" w:cs="Times New Roman"/>
      <w:sz w:val="16"/>
      <w:lang w:val="en-US" w:eastAsia="en-US"/>
    </w:rPr>
  </w:style>
  <w:style w:type="paragraph" w:styleId="ListBullet">
    <w:name w:val="List Bullet"/>
    <w:basedOn w:val="List"/>
    <w:rsid w:val="00C9746A"/>
    <w:pPr>
      <w:numPr>
        <w:numId w:val="14"/>
      </w:numPr>
      <w:tabs>
        <w:tab w:val="clear" w:pos="340"/>
      </w:tabs>
      <w:spacing w:before="40" w:after="40"/>
    </w:pPr>
  </w:style>
  <w:style w:type="character" w:customStyle="1" w:styleId="SpecialBold">
    <w:name w:val="Special Bold"/>
    <w:rsid w:val="00C9746A"/>
    <w:rPr>
      <w:b/>
      <w:spacing w:val="0"/>
    </w:rPr>
  </w:style>
  <w:style w:type="paragraph" w:styleId="ListBullet2">
    <w:name w:val="List Bullet 2"/>
    <w:basedOn w:val="List2"/>
    <w:rsid w:val="00C9746A"/>
    <w:pPr>
      <w:numPr>
        <w:numId w:val="15"/>
      </w:numPr>
      <w:tabs>
        <w:tab w:val="clear" w:pos="680"/>
      </w:tabs>
    </w:pPr>
  </w:style>
  <w:style w:type="paragraph" w:styleId="Header">
    <w:name w:val="header"/>
    <w:basedOn w:val="Normal"/>
    <w:link w:val="HeaderChar"/>
    <w:rsid w:val="00C97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74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46A"/>
    <w:pPr>
      <w:spacing w:before="240" w:after="120"/>
      <w:outlineLvl w:val="0"/>
    </w:pPr>
    <w:rPr>
      <w:rFonts w:ascii="Times New Roman" w:hAnsi="Times New Roman"/>
      <w:b/>
      <w:sz w:val="28"/>
    </w:rPr>
  </w:style>
  <w:style w:type="paragraph" w:customStyle="1" w:styleId="AllowPageBreak">
    <w:name w:val="AllowPageBreak"/>
    <w:rsid w:val="00C974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746A"/>
    <w:pPr>
      <w:numPr>
        <w:numId w:val="3"/>
      </w:numPr>
      <w:tabs>
        <w:tab w:val="clear" w:pos="1021"/>
      </w:tabs>
      <w:ind w:left="1037" w:hanging="357"/>
    </w:pPr>
  </w:style>
  <w:style w:type="character" w:customStyle="1" w:styleId="Heading2Char">
    <w:name w:val="Heading 2 Char"/>
    <w:link w:val="Heading2"/>
    <w:rsid w:val="00C9746A"/>
    <w:rPr>
      <w:rFonts w:ascii="Times New Roman" w:eastAsia="Times New Roman" w:hAnsi="Times New Roman" w:cs="Times New Roman"/>
      <w:b/>
      <w:sz w:val="28"/>
      <w:szCs w:val="40"/>
      <w:lang w:eastAsia="en-US"/>
    </w:rPr>
  </w:style>
  <w:style w:type="character" w:customStyle="1" w:styleId="Heading3Char">
    <w:name w:val="Heading 3 Char"/>
    <w:link w:val="Heading3"/>
    <w:rsid w:val="00C974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746A"/>
    <w:rPr>
      <w:rFonts w:ascii="Times New Roman" w:eastAsia="Times New Roman" w:hAnsi="Times New Roman" w:cs="Times New Roman"/>
      <w:b/>
      <w:szCs w:val="20"/>
      <w:lang w:eastAsia="en-US"/>
    </w:rPr>
  </w:style>
  <w:style w:type="character" w:customStyle="1" w:styleId="Heading5Char">
    <w:name w:val="Heading 5 Char"/>
    <w:link w:val="Heading5"/>
    <w:rsid w:val="00C974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7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4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4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46A"/>
    <w:rPr>
      <w:rFonts w:ascii="Courier New" w:eastAsia="Times New Roman" w:hAnsi="Courier New" w:cs="Times New Roman"/>
      <w:i/>
      <w:szCs w:val="20"/>
      <w:lang w:val="en-US" w:eastAsia="en-US"/>
    </w:rPr>
  </w:style>
  <w:style w:type="paragraph" w:customStyle="1" w:styleId="HeadingBase">
    <w:name w:val="Heading Base"/>
    <w:rsid w:val="00C97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46A"/>
    <w:pPr>
      <w:tabs>
        <w:tab w:val="right" w:leader="dot" w:pos="9072"/>
      </w:tabs>
      <w:ind w:left="567"/>
    </w:pPr>
    <w:rPr>
      <w:szCs w:val="22"/>
    </w:rPr>
  </w:style>
  <w:style w:type="paragraph" w:customStyle="1" w:styleId="TOCBase">
    <w:name w:val="TOC Base"/>
    <w:rsid w:val="00C97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46A"/>
    <w:pPr>
      <w:tabs>
        <w:tab w:val="right" w:leader="dot" w:pos="9072"/>
      </w:tabs>
      <w:spacing w:before="40" w:after="40"/>
      <w:ind w:left="284"/>
    </w:pPr>
    <w:rPr>
      <w:rFonts w:ascii="Times New Roman" w:hAnsi="Times New Roman"/>
    </w:rPr>
  </w:style>
  <w:style w:type="paragraph" w:styleId="TOC1">
    <w:name w:val="toc 1"/>
    <w:basedOn w:val="TOCBase"/>
    <w:next w:val="Normal"/>
    <w:rsid w:val="00C974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46A"/>
    <w:pPr>
      <w:spacing w:before="5040"/>
      <w:jc w:val="center"/>
    </w:pPr>
    <w:rPr>
      <w:sz w:val="48"/>
      <w:szCs w:val="72"/>
      <w:lang w:val="en-US"/>
    </w:rPr>
  </w:style>
  <w:style w:type="character" w:customStyle="1" w:styleId="TitleChar">
    <w:name w:val="Title Char"/>
    <w:link w:val="Title"/>
    <w:rsid w:val="00C97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46A"/>
    <w:pPr>
      <w:tabs>
        <w:tab w:val="left" w:pos="3600"/>
        <w:tab w:val="left" w:pos="3958"/>
      </w:tabs>
    </w:pPr>
  </w:style>
  <w:style w:type="paragraph" w:styleId="List">
    <w:name w:val="List"/>
    <w:basedOn w:val="BodyText"/>
    <w:next w:val="BodyText"/>
    <w:rsid w:val="00C9746A"/>
    <w:pPr>
      <w:tabs>
        <w:tab w:val="left" w:pos="340"/>
      </w:tabs>
      <w:spacing w:before="60" w:after="60"/>
      <w:ind w:left="340" w:hanging="340"/>
    </w:pPr>
  </w:style>
  <w:style w:type="paragraph" w:customStyle="1" w:styleId="Note">
    <w:name w:val="Note"/>
    <w:basedOn w:val="BodyText"/>
    <w:rsid w:val="00C97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46A"/>
    <w:pPr>
      <w:framePr w:wrap="auto" w:hAnchor="text" w:y="6049"/>
    </w:pPr>
    <w:rPr>
      <w:color w:val="000000"/>
      <w:sz w:val="40"/>
    </w:rPr>
  </w:style>
  <w:style w:type="paragraph" w:customStyle="1" w:styleId="TOCTitle">
    <w:name w:val="TOCTitle"/>
    <w:basedOn w:val="Heading1"/>
    <w:rsid w:val="00C9746A"/>
    <w:pPr>
      <w:spacing w:after="240"/>
      <w:jc w:val="center"/>
      <w:outlineLvl w:val="9"/>
    </w:pPr>
    <w:rPr>
      <w:caps/>
    </w:rPr>
  </w:style>
  <w:style w:type="paragraph" w:customStyle="1" w:styleId="Version">
    <w:name w:val="Version"/>
    <w:rsid w:val="00C974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46A"/>
    <w:pPr>
      <w:keepNext w:val="0"/>
      <w:tabs>
        <w:tab w:val="right" w:pos="4176"/>
      </w:tabs>
      <w:ind w:left="198" w:hanging="198"/>
    </w:pPr>
    <w:rPr>
      <w:rFonts w:ascii="Garamond" w:hAnsi="Garamond"/>
    </w:rPr>
  </w:style>
  <w:style w:type="paragraph" w:styleId="IndexHeading">
    <w:name w:val="index heading"/>
    <w:basedOn w:val="Normal"/>
    <w:next w:val="Index1"/>
    <w:semiHidden/>
    <w:rsid w:val="00C9746A"/>
    <w:pPr>
      <w:spacing w:before="120" w:after="120"/>
    </w:pPr>
    <w:rPr>
      <w:rFonts w:ascii="Arial" w:hAnsi="Arial"/>
      <w:b/>
      <w:color w:val="918585"/>
      <w:sz w:val="24"/>
    </w:rPr>
  </w:style>
  <w:style w:type="paragraph" w:customStyle="1" w:styleId="Chapter">
    <w:name w:val="Chapter"/>
    <w:basedOn w:val="Normal"/>
    <w:rsid w:val="00C9746A"/>
    <w:pPr>
      <w:spacing w:before="240"/>
    </w:pPr>
    <w:rPr>
      <w:rFonts w:ascii="Times New Roman" w:hAnsi="Times New Roman"/>
      <w:smallCaps/>
      <w:spacing w:val="80"/>
      <w:sz w:val="28"/>
    </w:rPr>
  </w:style>
  <w:style w:type="paragraph" w:customStyle="1" w:styleId="InChapter">
    <w:name w:val="InChapter"/>
    <w:basedOn w:val="Heading3"/>
    <w:rsid w:val="00C9746A"/>
    <w:pPr>
      <w:spacing w:after="240"/>
      <w:outlineLvl w:val="9"/>
    </w:pPr>
    <w:rPr>
      <w:noProof/>
    </w:rPr>
  </w:style>
  <w:style w:type="paragraph" w:styleId="Index2">
    <w:name w:val="index 2"/>
    <w:basedOn w:val="Normal"/>
    <w:next w:val="Normal"/>
    <w:semiHidden/>
    <w:rsid w:val="00C9746A"/>
    <w:pPr>
      <w:tabs>
        <w:tab w:val="right" w:pos="4176"/>
      </w:tabs>
      <w:ind w:left="568" w:hanging="284"/>
    </w:pPr>
    <w:rPr>
      <w:rFonts w:ascii="Garamond" w:hAnsi="Garamond"/>
    </w:rPr>
  </w:style>
  <w:style w:type="paragraph" w:customStyle="1" w:styleId="Byline">
    <w:name w:val="Byline"/>
    <w:rsid w:val="00C97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46A"/>
    <w:pPr>
      <w:tabs>
        <w:tab w:val="clear" w:pos="3600"/>
        <w:tab w:val="clear" w:pos="3958"/>
      </w:tabs>
      <w:jc w:val="right"/>
    </w:pPr>
  </w:style>
  <w:style w:type="character" w:styleId="Emphasis">
    <w:name w:val="Emphasis"/>
    <w:qFormat/>
    <w:rsid w:val="00C9746A"/>
    <w:rPr>
      <w:i/>
    </w:rPr>
  </w:style>
  <w:style w:type="paragraph" w:styleId="Caption">
    <w:name w:val="caption"/>
    <w:basedOn w:val="BodyText"/>
    <w:next w:val="Normal"/>
    <w:qFormat/>
    <w:rsid w:val="00C9746A"/>
    <w:pPr>
      <w:framePr w:w="2268" w:hSpace="181" w:vSpace="181" w:wrap="around" w:vAnchor="text" w:hAnchor="page" w:x="1135" w:y="285" w:anchorLock="1"/>
    </w:pPr>
    <w:rPr>
      <w:i/>
    </w:rPr>
  </w:style>
  <w:style w:type="paragraph" w:customStyle="1" w:styleId="MiniTOCTitle">
    <w:name w:val="MiniTOCTitle"/>
    <w:basedOn w:val="Heading4"/>
    <w:rsid w:val="00C9746A"/>
    <w:pPr>
      <w:spacing w:before="240"/>
      <w:outlineLvl w:val="9"/>
    </w:pPr>
    <w:rPr>
      <w:noProof/>
      <w:sz w:val="24"/>
    </w:rPr>
  </w:style>
  <w:style w:type="paragraph" w:customStyle="1" w:styleId="MiniTOCItem">
    <w:name w:val="MiniTOCItem"/>
    <w:basedOn w:val="ListBullet"/>
    <w:rsid w:val="00C9746A"/>
    <w:pPr>
      <w:numPr>
        <w:numId w:val="0"/>
      </w:numPr>
      <w:tabs>
        <w:tab w:val="right" w:leader="dot" w:pos="6521"/>
      </w:tabs>
      <w:spacing w:before="0" w:after="0"/>
    </w:pPr>
  </w:style>
  <w:style w:type="paragraph" w:customStyle="1" w:styleId="TOFTitle">
    <w:name w:val="TOFTitle"/>
    <w:basedOn w:val="TOCTitle"/>
    <w:rsid w:val="00C9746A"/>
  </w:style>
  <w:style w:type="paragraph" w:styleId="TableofFigures">
    <w:name w:val="table of figures"/>
    <w:basedOn w:val="Normal"/>
    <w:next w:val="Normal"/>
    <w:semiHidden/>
    <w:rsid w:val="00C9746A"/>
    <w:pPr>
      <w:tabs>
        <w:tab w:val="right" w:leader="dot" w:pos="9072"/>
      </w:tabs>
      <w:ind w:left="970" w:hanging="403"/>
    </w:pPr>
    <w:rPr>
      <w:rFonts w:ascii="Times New Roman" w:hAnsi="Times New Roman"/>
      <w:b/>
    </w:rPr>
  </w:style>
  <w:style w:type="paragraph" w:styleId="ListNumber">
    <w:name w:val="List Number"/>
    <w:basedOn w:val="List"/>
    <w:rsid w:val="00C9746A"/>
    <w:pPr>
      <w:numPr>
        <w:numId w:val="12"/>
      </w:numPr>
    </w:pPr>
  </w:style>
  <w:style w:type="character" w:customStyle="1" w:styleId="WingdingSymbols">
    <w:name w:val="Wingding Symbols"/>
    <w:rsid w:val="00C9746A"/>
    <w:rPr>
      <w:rFonts w:ascii="Wingdings" w:hAnsi="Wingdings"/>
    </w:rPr>
  </w:style>
  <w:style w:type="paragraph" w:customStyle="1" w:styleId="TableHeading">
    <w:name w:val="Table Heading"/>
    <w:basedOn w:val="HeadingBase"/>
    <w:rsid w:val="00C9746A"/>
    <w:pPr>
      <w:keepLines/>
      <w:pBdr>
        <w:bottom w:val="single" w:sz="6" w:space="1" w:color="918585"/>
      </w:pBdr>
      <w:spacing w:before="240"/>
    </w:pPr>
  </w:style>
  <w:style w:type="character" w:customStyle="1" w:styleId="HotSpot">
    <w:name w:val="HotSpot"/>
    <w:rsid w:val="00C9746A"/>
    <w:rPr>
      <w:color w:val="0033CC"/>
      <w:u w:val="none"/>
    </w:rPr>
  </w:style>
  <w:style w:type="paragraph" w:customStyle="1" w:styleId="BodyTextRight">
    <w:name w:val="Body Text Right"/>
    <w:basedOn w:val="BodyText"/>
    <w:rsid w:val="00C9746A"/>
    <w:pPr>
      <w:spacing w:before="0" w:after="0"/>
      <w:jc w:val="right"/>
    </w:pPr>
  </w:style>
  <w:style w:type="paragraph" w:styleId="Index3">
    <w:name w:val="index 3"/>
    <w:basedOn w:val="ListNumber2"/>
    <w:next w:val="Normal"/>
    <w:semiHidden/>
    <w:rsid w:val="00C9746A"/>
    <w:pPr>
      <w:numPr>
        <w:numId w:val="0"/>
      </w:numPr>
      <w:tabs>
        <w:tab w:val="right" w:leader="dot" w:pos="4176"/>
      </w:tabs>
    </w:pPr>
  </w:style>
  <w:style w:type="paragraph" w:styleId="ListNumber2">
    <w:name w:val="List Number 2"/>
    <w:basedOn w:val="List2"/>
    <w:rsid w:val="00C9746A"/>
    <w:pPr>
      <w:numPr>
        <w:numId w:val="11"/>
      </w:numPr>
      <w:tabs>
        <w:tab w:val="clear" w:pos="1060"/>
      </w:tabs>
    </w:pPr>
  </w:style>
  <w:style w:type="paragraph" w:customStyle="1" w:styleId="MarginNote">
    <w:name w:val="Margin Note"/>
    <w:basedOn w:val="BodyText"/>
    <w:rsid w:val="00C97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74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46A"/>
    <w:rPr>
      <w:sz w:val="32"/>
    </w:rPr>
  </w:style>
  <w:style w:type="paragraph" w:customStyle="1" w:styleId="HeadingProcedure">
    <w:name w:val="Heading Procedure"/>
    <w:basedOn w:val="HeadingBase"/>
    <w:next w:val="Normal"/>
    <w:rsid w:val="00C9746A"/>
    <w:pPr>
      <w:tabs>
        <w:tab w:val="left" w:pos="0"/>
      </w:tabs>
      <w:spacing w:before="120" w:after="60"/>
    </w:pPr>
    <w:rPr>
      <w:i/>
      <w:color w:val="918585"/>
      <w:sz w:val="22"/>
    </w:rPr>
  </w:style>
  <w:style w:type="paragraph" w:customStyle="1" w:styleId="TableBodyText">
    <w:name w:val="Table Body Text"/>
    <w:basedOn w:val="BodyText"/>
    <w:rsid w:val="00C9746A"/>
    <w:pPr>
      <w:spacing w:before="60" w:after="60"/>
    </w:pPr>
  </w:style>
  <w:style w:type="paragraph" w:styleId="ListContinue">
    <w:name w:val="List Continue"/>
    <w:basedOn w:val="List"/>
    <w:rsid w:val="00C9746A"/>
    <w:pPr>
      <w:ind w:firstLine="0"/>
    </w:pPr>
  </w:style>
  <w:style w:type="paragraph" w:customStyle="1" w:styleId="ListNote">
    <w:name w:val="List Note"/>
    <w:basedOn w:val="List"/>
    <w:rsid w:val="00C9746A"/>
    <w:pPr>
      <w:pBdr>
        <w:top w:val="single" w:sz="6" w:space="2" w:color="918585"/>
        <w:bottom w:val="single" w:sz="6" w:space="2" w:color="918585"/>
      </w:pBdr>
      <w:tabs>
        <w:tab w:val="left" w:pos="1021"/>
      </w:tabs>
      <w:ind w:firstLine="0"/>
    </w:pPr>
  </w:style>
  <w:style w:type="paragraph" w:customStyle="1" w:styleId="Warning">
    <w:name w:val="Warning"/>
    <w:basedOn w:val="BodyText"/>
    <w:rsid w:val="00C9746A"/>
    <w:pPr>
      <w:shd w:val="clear" w:color="auto" w:fill="D9D9D9"/>
      <w:tabs>
        <w:tab w:val="left" w:pos="992"/>
      </w:tabs>
      <w:ind w:left="119" w:right="119"/>
    </w:pPr>
    <w:rPr>
      <w:sz w:val="20"/>
    </w:rPr>
  </w:style>
  <w:style w:type="paragraph" w:customStyle="1" w:styleId="MarginIcons">
    <w:name w:val="Margin Icons"/>
    <w:basedOn w:val="BodyText"/>
    <w:rsid w:val="00C974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746A"/>
    <w:rPr>
      <w:rFonts w:ascii="Courier New" w:hAnsi="Courier New"/>
    </w:rPr>
  </w:style>
  <w:style w:type="paragraph" w:customStyle="1" w:styleId="NoteBullet">
    <w:name w:val="Note Bullet"/>
    <w:basedOn w:val="Note"/>
    <w:rsid w:val="00C9746A"/>
    <w:pPr>
      <w:tabs>
        <w:tab w:val="clear" w:pos="680"/>
      </w:tabs>
      <w:spacing w:before="60" w:after="60"/>
    </w:pPr>
  </w:style>
  <w:style w:type="paragraph" w:customStyle="1" w:styleId="SubHeading2">
    <w:name w:val="SubHeading2"/>
    <w:basedOn w:val="HeadingBase"/>
    <w:rsid w:val="00C9746A"/>
    <w:pPr>
      <w:spacing w:before="240" w:after="60"/>
    </w:pPr>
    <w:rPr>
      <w:sz w:val="20"/>
    </w:rPr>
  </w:style>
  <w:style w:type="paragraph" w:customStyle="1" w:styleId="SubHeading1">
    <w:name w:val="SubHeading1"/>
    <w:basedOn w:val="HeadingBase"/>
    <w:rsid w:val="00C9746A"/>
    <w:pPr>
      <w:spacing w:before="240" w:after="60"/>
    </w:pPr>
    <w:rPr>
      <w:color w:val="918585"/>
      <w:sz w:val="22"/>
    </w:rPr>
  </w:style>
  <w:style w:type="paragraph" w:customStyle="1" w:styleId="SideHeading">
    <w:name w:val="Side Heading"/>
    <w:basedOn w:val="HeadingBase"/>
    <w:rsid w:val="00C97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46A"/>
    <w:pPr>
      <w:numPr>
        <w:numId w:val="13"/>
      </w:numPr>
    </w:pPr>
  </w:style>
  <w:style w:type="paragraph" w:styleId="PlainText">
    <w:name w:val="Plain Text"/>
    <w:basedOn w:val="Normal"/>
    <w:link w:val="PlainTextChar"/>
    <w:rsid w:val="00C9746A"/>
    <w:rPr>
      <w:sz w:val="20"/>
    </w:rPr>
  </w:style>
  <w:style w:type="character" w:customStyle="1" w:styleId="PlainTextChar">
    <w:name w:val="Plain Text Char"/>
    <w:basedOn w:val="DefaultParagraphFont"/>
    <w:link w:val="PlainText"/>
    <w:rsid w:val="00C9746A"/>
    <w:rPr>
      <w:rFonts w:ascii="Courier New" w:eastAsia="Times New Roman" w:hAnsi="Courier New" w:cs="Times New Roman"/>
      <w:sz w:val="20"/>
      <w:szCs w:val="20"/>
      <w:lang w:val="en-US" w:eastAsia="en-US"/>
    </w:rPr>
  </w:style>
  <w:style w:type="character" w:customStyle="1" w:styleId="MenuOption">
    <w:name w:val="Menu Option"/>
    <w:rsid w:val="00C9746A"/>
    <w:rPr>
      <w:b/>
      <w:smallCaps/>
    </w:rPr>
  </w:style>
  <w:style w:type="paragraph" w:customStyle="1" w:styleId="TableListNumber">
    <w:name w:val="Table List Number"/>
    <w:basedOn w:val="ListNumber"/>
    <w:rsid w:val="00C9746A"/>
    <w:pPr>
      <w:numPr>
        <w:numId w:val="0"/>
      </w:numPr>
    </w:pPr>
  </w:style>
  <w:style w:type="paragraph" w:styleId="TOC4">
    <w:name w:val="toc 4"/>
    <w:basedOn w:val="TOCBase"/>
    <w:next w:val="Normal"/>
    <w:semiHidden/>
    <w:rsid w:val="00C9746A"/>
    <w:pPr>
      <w:tabs>
        <w:tab w:val="right" w:leader="dot" w:pos="9071"/>
      </w:tabs>
      <w:ind w:left="1701"/>
    </w:pPr>
  </w:style>
  <w:style w:type="paragraph" w:customStyle="1" w:styleId="ListAlpha">
    <w:name w:val="List Alpha"/>
    <w:basedOn w:val="List"/>
    <w:rsid w:val="00C9746A"/>
    <w:pPr>
      <w:numPr>
        <w:numId w:val="10"/>
      </w:numPr>
    </w:pPr>
  </w:style>
  <w:style w:type="paragraph" w:customStyle="1" w:styleId="ListAlpha2">
    <w:name w:val="List Alpha 2"/>
    <w:basedOn w:val="List2"/>
    <w:rsid w:val="00C9746A"/>
    <w:pPr>
      <w:numPr>
        <w:numId w:val="9"/>
      </w:numPr>
    </w:pPr>
  </w:style>
  <w:style w:type="paragraph" w:styleId="List2">
    <w:name w:val="List 2"/>
    <w:basedOn w:val="BodyText"/>
    <w:rsid w:val="00C9746A"/>
    <w:pPr>
      <w:tabs>
        <w:tab w:val="left" w:pos="680"/>
      </w:tabs>
      <w:spacing w:before="60" w:after="60"/>
      <w:ind w:left="680" w:hanging="340"/>
    </w:pPr>
  </w:style>
  <w:style w:type="paragraph" w:styleId="List3">
    <w:name w:val="List 3"/>
    <w:basedOn w:val="BodyText"/>
    <w:rsid w:val="00C9746A"/>
    <w:pPr>
      <w:tabs>
        <w:tab w:val="left" w:pos="1021"/>
      </w:tabs>
      <w:spacing w:before="60" w:after="60"/>
      <w:ind w:left="1020" w:hanging="340"/>
    </w:pPr>
  </w:style>
  <w:style w:type="paragraph" w:styleId="List4">
    <w:name w:val="List 4"/>
    <w:basedOn w:val="BodyText"/>
    <w:rsid w:val="00C9746A"/>
    <w:pPr>
      <w:tabs>
        <w:tab w:val="left" w:pos="1361"/>
      </w:tabs>
      <w:spacing w:before="60" w:after="60"/>
      <w:ind w:left="1361" w:hanging="340"/>
    </w:pPr>
  </w:style>
  <w:style w:type="paragraph" w:styleId="List5">
    <w:name w:val="List 5"/>
    <w:basedOn w:val="BodyText"/>
    <w:rsid w:val="00C9746A"/>
    <w:pPr>
      <w:tabs>
        <w:tab w:val="left" w:pos="1701"/>
      </w:tabs>
      <w:spacing w:before="60" w:after="60"/>
      <w:ind w:left="1701" w:hanging="340"/>
    </w:pPr>
  </w:style>
  <w:style w:type="paragraph" w:styleId="ListBullet4">
    <w:name w:val="List Bullet 4"/>
    <w:basedOn w:val="List4"/>
    <w:rsid w:val="00C9746A"/>
    <w:pPr>
      <w:numPr>
        <w:numId w:val="4"/>
      </w:numPr>
    </w:pPr>
  </w:style>
  <w:style w:type="paragraph" w:styleId="ListBullet5">
    <w:name w:val="List Bullet 5"/>
    <w:basedOn w:val="List5"/>
    <w:rsid w:val="00C9746A"/>
    <w:pPr>
      <w:numPr>
        <w:numId w:val="5"/>
      </w:numPr>
    </w:pPr>
  </w:style>
  <w:style w:type="paragraph" w:styleId="ListContinue2">
    <w:name w:val="List Continue 2"/>
    <w:basedOn w:val="List2"/>
    <w:rsid w:val="00C9746A"/>
    <w:pPr>
      <w:ind w:firstLine="0"/>
    </w:pPr>
  </w:style>
  <w:style w:type="paragraph" w:styleId="ListContinue3">
    <w:name w:val="List Continue 3"/>
    <w:basedOn w:val="List3"/>
    <w:rsid w:val="00C9746A"/>
    <w:pPr>
      <w:ind w:left="1021" w:firstLine="0"/>
    </w:pPr>
  </w:style>
  <w:style w:type="paragraph" w:styleId="ListContinue4">
    <w:name w:val="List Continue 4"/>
    <w:basedOn w:val="List4"/>
    <w:rsid w:val="00C9746A"/>
    <w:pPr>
      <w:ind w:firstLine="0"/>
    </w:pPr>
  </w:style>
  <w:style w:type="paragraph" w:styleId="ListContinue5">
    <w:name w:val="List Continue 5"/>
    <w:basedOn w:val="List5"/>
    <w:rsid w:val="00C9746A"/>
    <w:pPr>
      <w:ind w:firstLine="0"/>
    </w:pPr>
  </w:style>
  <w:style w:type="paragraph" w:styleId="ListNumber3">
    <w:name w:val="List Number 3"/>
    <w:basedOn w:val="List3"/>
    <w:rsid w:val="00C9746A"/>
    <w:pPr>
      <w:numPr>
        <w:numId w:val="6"/>
      </w:numPr>
    </w:pPr>
  </w:style>
  <w:style w:type="paragraph" w:styleId="ListNumber4">
    <w:name w:val="List Number 4"/>
    <w:basedOn w:val="List4"/>
    <w:rsid w:val="00C9746A"/>
    <w:pPr>
      <w:numPr>
        <w:numId w:val="7"/>
      </w:numPr>
    </w:pPr>
  </w:style>
  <w:style w:type="paragraph" w:styleId="ListNumber5">
    <w:name w:val="List Number 5"/>
    <w:basedOn w:val="List5"/>
    <w:rsid w:val="00C9746A"/>
    <w:pPr>
      <w:numPr>
        <w:numId w:val="8"/>
      </w:numPr>
    </w:pPr>
  </w:style>
  <w:style w:type="paragraph" w:styleId="BlockText">
    <w:name w:val="Block Text"/>
    <w:basedOn w:val="Normal"/>
    <w:rsid w:val="00C9746A"/>
    <w:pPr>
      <w:spacing w:after="120"/>
      <w:ind w:left="1440" w:right="1440"/>
    </w:pPr>
  </w:style>
  <w:style w:type="character" w:customStyle="1" w:styleId="Subscript">
    <w:name w:val="Subscript"/>
    <w:rsid w:val="00C9746A"/>
    <w:rPr>
      <w:sz w:val="16"/>
      <w:vertAlign w:val="subscript"/>
    </w:rPr>
  </w:style>
  <w:style w:type="character" w:customStyle="1" w:styleId="Superscript">
    <w:name w:val="Superscript"/>
    <w:rsid w:val="00C9746A"/>
    <w:rPr>
      <w:sz w:val="16"/>
      <w:vertAlign w:val="superscript"/>
    </w:rPr>
  </w:style>
  <w:style w:type="character" w:customStyle="1" w:styleId="Symbols">
    <w:name w:val="Symbols"/>
    <w:rsid w:val="00C9746A"/>
    <w:rPr>
      <w:rFonts w:ascii="Symbol" w:hAnsi="Symbol"/>
    </w:rPr>
  </w:style>
  <w:style w:type="character" w:customStyle="1" w:styleId="MenuOptions">
    <w:name w:val="Menu Options"/>
    <w:rsid w:val="00C9746A"/>
    <w:rPr>
      <w:rFonts w:ascii="Arial Narrow" w:hAnsi="Arial Narrow"/>
      <w:smallCaps/>
    </w:rPr>
  </w:style>
  <w:style w:type="character" w:customStyle="1" w:styleId="Buttons">
    <w:name w:val="Buttons"/>
    <w:rsid w:val="00C9746A"/>
    <w:rPr>
      <w:b/>
    </w:rPr>
  </w:style>
  <w:style w:type="character" w:customStyle="1" w:styleId="Underlined">
    <w:name w:val="Underlined"/>
    <w:rsid w:val="00C9746A"/>
    <w:rPr>
      <w:u w:val="single"/>
    </w:rPr>
  </w:style>
  <w:style w:type="paragraph" w:customStyle="1" w:styleId="TableBodyTextRight">
    <w:name w:val="Table Body Text Right"/>
    <w:basedOn w:val="TableBodyText"/>
    <w:rsid w:val="00C9746A"/>
    <w:pPr>
      <w:widowControl w:val="0"/>
      <w:autoSpaceDE w:val="0"/>
      <w:autoSpaceDN w:val="0"/>
      <w:adjustRightInd w:val="0"/>
      <w:jc w:val="right"/>
    </w:pPr>
    <w:rPr>
      <w:rFonts w:cs="Arial"/>
      <w:szCs w:val="18"/>
    </w:rPr>
  </w:style>
  <w:style w:type="paragraph" w:customStyle="1" w:styleId="CopyrightText">
    <w:name w:val="Copyright Text"/>
    <w:basedOn w:val="BodyText"/>
    <w:rsid w:val="00C9746A"/>
    <w:rPr>
      <w:sz w:val="18"/>
    </w:rPr>
  </w:style>
  <w:style w:type="paragraph" w:customStyle="1" w:styleId="BodySmallRight">
    <w:name w:val="Body Small Right"/>
    <w:basedOn w:val="BodyTextRight"/>
    <w:rsid w:val="00C9746A"/>
    <w:rPr>
      <w:sz w:val="18"/>
      <w:szCs w:val="18"/>
    </w:rPr>
  </w:style>
  <w:style w:type="paragraph" w:customStyle="1" w:styleId="MarginEdition">
    <w:name w:val="Margin Edition"/>
    <w:basedOn w:val="MarginNote"/>
    <w:rsid w:val="00C9746A"/>
    <w:pPr>
      <w:spacing w:before="0" w:after="0"/>
    </w:pPr>
    <w:rPr>
      <w:rFonts w:ascii="Times New Roman" w:hAnsi="Times New Roman"/>
      <w:color w:val="999999"/>
    </w:rPr>
  </w:style>
  <w:style w:type="paragraph" w:customStyle="1" w:styleId="Spacer">
    <w:name w:val="Spacer"/>
    <w:basedOn w:val="Normal"/>
    <w:rsid w:val="00C9746A"/>
    <w:rPr>
      <w:sz w:val="2"/>
      <w:szCs w:val="2"/>
    </w:rPr>
  </w:style>
  <w:style w:type="character" w:customStyle="1" w:styleId="Small">
    <w:name w:val="Small"/>
    <w:rsid w:val="00C9746A"/>
    <w:rPr>
      <w:sz w:val="16"/>
    </w:rPr>
  </w:style>
  <w:style w:type="paragraph" w:customStyle="1" w:styleId="WideTable">
    <w:name w:val="Wide Table"/>
    <w:basedOn w:val="Normal"/>
    <w:rsid w:val="00C9746A"/>
    <w:pPr>
      <w:ind w:left="-1418"/>
    </w:pPr>
    <w:rPr>
      <w:sz w:val="2"/>
      <w:szCs w:val="2"/>
    </w:rPr>
  </w:style>
  <w:style w:type="character" w:styleId="PageNumber">
    <w:name w:val="page number"/>
    <w:rsid w:val="00C9746A"/>
  </w:style>
  <w:style w:type="paragraph" w:styleId="Quote">
    <w:name w:val="Quote"/>
    <w:basedOn w:val="Heading1"/>
    <w:link w:val="QuoteChar"/>
    <w:qFormat/>
    <w:rsid w:val="00C9746A"/>
    <w:rPr>
      <w:b w:val="0"/>
      <w:sz w:val="72"/>
      <w:szCs w:val="72"/>
      <w:lang w:val="en-NZ"/>
    </w:rPr>
  </w:style>
  <w:style w:type="character" w:customStyle="1" w:styleId="QuoteChar">
    <w:name w:val="Quote Char"/>
    <w:link w:val="Quote"/>
    <w:rsid w:val="00C97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46A"/>
    <w:pPr>
      <w:pageBreakBefore/>
    </w:pPr>
  </w:style>
  <w:style w:type="paragraph" w:customStyle="1" w:styleId="Border">
    <w:name w:val="Border"/>
    <w:basedOn w:val="Normal"/>
    <w:qFormat/>
    <w:rsid w:val="00C9746A"/>
    <w:pPr>
      <w:pBdr>
        <w:top w:val="single" w:sz="18" w:space="1" w:color="auto"/>
      </w:pBdr>
    </w:pPr>
    <w:rPr>
      <w:rFonts w:ascii="Times New Roman" w:hAnsi="Times New Roman"/>
      <w:color w:val="FFFFFF"/>
      <w:sz w:val="2"/>
    </w:rPr>
  </w:style>
  <w:style w:type="character" w:styleId="IntenseEmphasis">
    <w:name w:val="Intense Emphasis"/>
    <w:uiPriority w:val="21"/>
    <w:qFormat/>
    <w:rsid w:val="00C9746A"/>
    <w:rPr>
      <w:b/>
      <w:bCs/>
      <w:i/>
      <w:iCs/>
      <w:color w:val="auto"/>
    </w:rPr>
  </w:style>
  <w:style w:type="paragraph" w:styleId="IntenseQuote">
    <w:name w:val="Intense Quote"/>
    <w:basedOn w:val="Normal"/>
    <w:next w:val="Normal"/>
    <w:link w:val="IntenseQuoteChar"/>
    <w:uiPriority w:val="30"/>
    <w:qFormat/>
    <w:rsid w:val="00C974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746A"/>
    <w:rPr>
      <w:rFonts w:ascii="Courier New" w:eastAsia="Times New Roman" w:hAnsi="Courier New" w:cs="Times New Roman"/>
      <w:b/>
      <w:bCs/>
      <w:i/>
      <w:iCs/>
      <w:szCs w:val="20"/>
      <w:lang w:val="en-US" w:eastAsia="en-US"/>
    </w:rPr>
  </w:style>
  <w:style w:type="character" w:styleId="SubtleReference">
    <w:name w:val="Subtle Reference"/>
    <w:uiPriority w:val="31"/>
    <w:qFormat/>
    <w:rsid w:val="00C9746A"/>
    <w:rPr>
      <w:smallCaps/>
      <w:color w:val="auto"/>
      <w:u w:val="single"/>
    </w:rPr>
  </w:style>
  <w:style w:type="character" w:styleId="IntenseReference">
    <w:name w:val="Intense Reference"/>
    <w:uiPriority w:val="32"/>
    <w:qFormat/>
    <w:rsid w:val="00C9746A"/>
    <w:rPr>
      <w:b/>
      <w:bCs/>
      <w:smallCaps/>
      <w:color w:val="auto"/>
      <w:spacing w:val="5"/>
      <w:u w:val="single"/>
    </w:rPr>
  </w:style>
  <w:style w:type="paragraph" w:customStyle="1" w:styleId="2ColumnHeading">
    <w:name w:val="2Column Heading"/>
    <w:basedOn w:val="BodyText"/>
    <w:qFormat/>
    <w:rsid w:val="00C9746A"/>
    <w:pPr>
      <w:spacing w:after="60"/>
      <w:ind w:left="-2268"/>
    </w:pPr>
    <w:rPr>
      <w:b/>
    </w:rPr>
  </w:style>
  <w:style w:type="paragraph" w:customStyle="1" w:styleId="Heading1TOC">
    <w:name w:val="Heading1 TOC"/>
    <w:basedOn w:val="Normal"/>
    <w:qFormat/>
    <w:rsid w:val="00C9746A"/>
    <w:pPr>
      <w:spacing w:before="240" w:after="120"/>
    </w:pPr>
    <w:rPr>
      <w:rFonts w:ascii="Times New Roman" w:hAnsi="Times New Roman"/>
      <w:b/>
      <w:sz w:val="32"/>
    </w:rPr>
  </w:style>
  <w:style w:type="paragraph" w:customStyle="1" w:styleId="Heading2TOC">
    <w:name w:val="Heading2 TOC"/>
    <w:basedOn w:val="Normal"/>
    <w:qFormat/>
    <w:rsid w:val="00C9746A"/>
    <w:pPr>
      <w:spacing w:before="240" w:after="60"/>
    </w:pPr>
    <w:rPr>
      <w:rFonts w:ascii="Times New Roman" w:hAnsi="Times New Roman"/>
      <w:b/>
      <w:sz w:val="28"/>
    </w:rPr>
  </w:style>
  <w:style w:type="character" w:customStyle="1" w:styleId="Underline">
    <w:name w:val="Underline"/>
    <w:qFormat/>
    <w:rsid w:val="00C9746A"/>
    <w:rPr>
      <w:u w:val="single"/>
    </w:rPr>
  </w:style>
  <w:style w:type="character" w:customStyle="1" w:styleId="BoldandItalics">
    <w:name w:val="Bold and Italics"/>
    <w:qFormat/>
    <w:rsid w:val="00C9746A"/>
    <w:rPr>
      <w:b/>
      <w:i/>
      <w:u w:val="none"/>
    </w:rPr>
  </w:style>
  <w:style w:type="paragraph" w:styleId="BalloonText">
    <w:name w:val="Balloon Text"/>
    <w:basedOn w:val="Normal"/>
    <w:link w:val="BalloonTextChar"/>
    <w:rsid w:val="00C9746A"/>
    <w:rPr>
      <w:rFonts w:ascii="Tahoma" w:hAnsi="Tahoma" w:cs="Tahoma"/>
      <w:sz w:val="16"/>
      <w:szCs w:val="16"/>
    </w:rPr>
  </w:style>
  <w:style w:type="character" w:customStyle="1" w:styleId="BalloonTextChar">
    <w:name w:val="Balloon Text Char"/>
    <w:link w:val="BalloonText"/>
    <w:rsid w:val="00C974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4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74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3027</Words>
  <Characters>18918</Characters>
  <Application>Microsoft Office Word</Application>
  <DocSecurity>0</DocSecurity>
  <Lines>847</Lines>
  <Paragraphs>361</Paragraphs>
  <ScaleCrop>false</ScaleCrop>
  <Company>Author-it Software Corporation Ltd.</Company>
  <LinksUpToDate>false</LinksUpToDate>
  <CharactersWithSpaces>21652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UETTDRCJ34A Install and maintain network infrastructure HV underground cables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2012-05-26T12:05:00Z</dcterms:created>
  <dcterms:modified xsi:type="dcterms:W3CDTF">2012-05-26T12:05:00Z</dcterms:modified>
</cp:coreProperties>
</file>