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2AA" w:rsidP="001A32AA">
      <w:pPr>
        <w:pStyle w:val="Title"/>
      </w:pPr>
      <w:bookmarkStart w:id="0" w:name="_GoBack"/>
      <w:bookmarkEnd w:id="0"/>
      <w:r>
        <w:fldChar w:fldCharType="begin"/>
      </w:r>
      <w:r>
        <w:instrText xml:space="preserve"> TITLE   \* MERGEFORMAT </w:instrText>
      </w:r>
      <w:r>
        <w:fldChar w:fldCharType="separate"/>
      </w:r>
      <w:r>
        <w:t>UETTDRCJ32A Install and maintain gas and oil pressure systems for specialised underground cables</w:t>
      </w:r>
      <w:r>
        <w:fldChar w:fldCharType="end"/>
      </w:r>
    </w:p>
    <w:p w:rsidR="001A32AA" w:rsidP="001A32AA">
      <w:pPr>
        <w:pStyle w:val="Version"/>
        <w:sectPr w:rsidSect="00B04C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C95" w:rsidP="00B04C95">
      <w:pPr>
        <w:pStyle w:val="SuperHeading"/>
      </w:pPr>
      <w:r w:rsidRPr="00B04C95">
        <w:t>UETTDRCJ32A Install and maintain gas and oil pressure systems for specialised underground cables</w:t>
      </w:r>
    </w:p>
    <w:p w:rsidR="00000000" w:rsidRPr="00B04C95" w:rsidP="00B04C95">
      <w:pPr>
        <w:pStyle w:val="Heading1"/>
      </w:pPr>
      <w:bookmarkStart w:id="1" w:name="O_461989"/>
      <w:bookmarkEnd w:id="1"/>
      <w:r w:rsidRPr="00B04C95">
        <w:t>Modification History</w:t>
      </w:r>
    </w:p>
    <w:p w:rsidR="00000000" w:rsidRPr="00B04C95" w:rsidP="00B04C95">
      <w:pPr>
        <w:pStyle w:val="BodyText"/>
      </w:pPr>
      <w:r w:rsidRPr="00B04C95">
        <w:t>Not applicable.</w:t>
      </w:r>
    </w:p>
    <w:p w:rsidR="00000000" w:rsidRPr="00B04C95" w:rsidP="00B04C95">
      <w:pPr>
        <w:pStyle w:val="AllowPageBreak"/>
      </w:pPr>
    </w:p>
    <w:p w:rsidR="00000000" w:rsidRPr="00B04C95" w:rsidP="00B04C95">
      <w:pPr>
        <w:pStyle w:val="Heading1"/>
      </w:pPr>
      <w:bookmarkStart w:id="2" w:name="O_461986"/>
      <w:bookmarkEnd w:id="2"/>
      <w:r w:rsidRPr="00B04C95">
        <w:t>Unit Descriptor</w:t>
      </w:r>
    </w:p>
    <w:tbl>
      <w:tblPr>
        <w:tblW w:w="0" w:type="auto"/>
        <w:tblLayout w:type="fixed"/>
        <w:tblCellMar>
          <w:left w:w="62" w:type="dxa"/>
          <w:right w:w="62" w:type="dxa"/>
        </w:tblCellMar>
        <w:tblLook w:val="0000"/>
      </w:tblPr>
      <w:tblGrid>
        <w:gridCol w:w="2700"/>
        <w:gridCol w:w="5760"/>
      </w:tblGrid>
      <w:tr w:rsidTr="001A32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1)</w:t>
            </w:r>
            <w:r w:rsidRPr="00B04C95">
              <w:t xml:space="preserve"> </w:t>
            </w:r>
            <w:r w:rsidRPr="00B04C95">
              <w:rPr>
                <w:rStyle w:val="SpecialBold"/>
              </w:rPr>
              <w:t>Scope:</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C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1.1) Descriptor</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 xml:space="preserve">This Competency Standard Unit covers the installation, maintenance and repair of oil and gas pressure systems for specialised underground cables. </w:t>
            </w:r>
            <w:r w:rsidRPr="00B04C95">
              <w:t>It includes the undertaking of pressure control activities, the installation of gauges, oil tanks and gas cubicles. It also includes the knowledge of Oil Route Profiles as well as the operation of pressure equipment for jointing works, and the repairing an</w:t>
            </w:r>
            <w:r w:rsidRPr="00B04C95">
              <w:t>d replacing of pressure systems. It also encompasses the procedures associated with performing accessory impregnation, oil flow testing, the processes for oil degasification and performing leak location of pressure systems.</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3" w:name="O_461975"/>
      <w:bookmarkEnd w:id="3"/>
      <w:r w:rsidRPr="00B04C95">
        <w:t>Application o</w:t>
      </w:r>
      <w:r w:rsidRPr="00B04C95">
        <w:t>f the Unit</w:t>
      </w:r>
    </w:p>
    <w:tbl>
      <w:tblPr>
        <w:tblW w:w="0" w:type="auto"/>
        <w:tblLayout w:type="fixed"/>
        <w:tblCellMar>
          <w:left w:w="62" w:type="dxa"/>
          <w:right w:w="62" w:type="dxa"/>
        </w:tblCellMar>
        <w:tblLook w:val="0000"/>
      </w:tblPr>
      <w:tblGrid>
        <w:gridCol w:w="2672"/>
        <w:gridCol w:w="5699"/>
      </w:tblGrid>
      <w:tr w:rsidTr="001A32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2)</w:t>
            </w:r>
          </w:p>
        </w:tc>
      </w:tr>
      <w:tr w:rsidTr="001A32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This Competency Standard Unit is intended to augment formally acquired competencies. It is suitable for employment-based programs under an approved contract of training.</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4" w:name="O_461982"/>
      <w:bookmarkEnd w:id="4"/>
      <w:r w:rsidRPr="00B04C95">
        <w:t>Licensing/Regulatory Information</w:t>
      </w:r>
    </w:p>
    <w:tbl>
      <w:tblPr>
        <w:tblW w:w="0" w:type="auto"/>
        <w:tblLayout w:type="fixed"/>
        <w:tblCellMar>
          <w:left w:w="62" w:type="dxa"/>
          <w:right w:w="62" w:type="dxa"/>
        </w:tblCellMar>
        <w:tblLook w:val="0000"/>
      </w:tblPr>
      <w:tblGrid>
        <w:gridCol w:w="2700"/>
        <w:gridCol w:w="5760"/>
      </w:tblGrid>
      <w:tr w:rsidTr="001A32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 xml:space="preserve">3) </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 xml:space="preserve">The skills and knowledge described in this unit may require a licence/registration to practice in the work place subject to regulations for undertaking of electrical work. </w:t>
            </w:r>
            <w:r w:rsidRPr="00B04C95">
              <w:t>Practice in workplace and</w:t>
            </w:r>
            <w:r w:rsidRPr="00B04C95">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B04C95">
              <w:t>ommonwealth, State/Territory or Local Government legislation and regulations may exist that limits the age of operating certain equipment.</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5" w:name="O_461983"/>
      <w:bookmarkEnd w:id="5"/>
      <w:r w:rsidRPr="00B04C95">
        <w:t>Pre-Requisites</w:t>
      </w:r>
    </w:p>
    <w:tbl>
      <w:tblPr>
        <w:tblW w:w="0" w:type="auto"/>
        <w:tblLayout w:type="fixed"/>
        <w:tblCellMar>
          <w:left w:w="62" w:type="dxa"/>
          <w:right w:w="62" w:type="dxa"/>
        </w:tblCellMar>
        <w:tblLook w:val="0000"/>
      </w:tblPr>
      <w:tblGrid>
        <w:gridCol w:w="2691"/>
        <w:gridCol w:w="9"/>
        <w:gridCol w:w="1980"/>
        <w:gridCol w:w="3780"/>
      </w:tblGrid>
      <w:tr w:rsidTr="001A32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 xml:space="preserve">4)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4.1)</w:t>
            </w:r>
          </w:p>
        </w:tc>
      </w:tr>
      <w:tr w:rsidTr="001A32AA">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gridSpan w:val="3"/>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Granting of competency in this unit shall be made only after competency in the following unit(s) has/have been confirmed.</w:t>
            </w:r>
          </w:p>
          <w:p w:rsidR="00000000" w:rsidRPr="00B04C95" w:rsidP="00B04C95">
            <w:pPr>
              <w:pStyle w:val="BodyText"/>
            </w:pPr>
            <w:r w:rsidRPr="00B04C95">
              <w:t xml:space="preserve">Where pre-requisite pathways have been identified. All competencies in the Common Unit Group must be have been completed plus all the </w:t>
            </w:r>
            <w:r w:rsidRPr="00B04C95">
              <w:t>competencies in one (1) of the identified Pathway Unit Group(s):</w:t>
            </w:r>
          </w:p>
          <w:p w:rsidR="00000000" w:rsidP="00B04C95">
            <w:pPr>
              <w:pStyle w:val="BodyText"/>
              <w:rPr>
                <w:lang w:val="en-NZ"/>
              </w:rPr>
            </w:pPr>
            <w:r w:rsidRPr="00B04C95">
              <w:t>Common Unit Group</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Unit Code</w:t>
            </w:r>
            <w:r w:rsidRPr="00B04C95">
              <w:tab/>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Unit Title</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Apply Occupational Health and Safety regulations, codes and practices in the workplace</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Fabricate, assemble and dismantle utilities industry components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Solve problems in d.c. Circuits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Fix and secure electrotechnology equipment</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Use drawings, diagrams, schedules, standards, codes and specifications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w:t>
            </w:r>
            <w:r w:rsidRPr="00B04C95">
              <w:t>ENEEG101A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Solve problems in electromagnetic devices and related circuits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Solve problems in low voltage a.c. Circuits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Lay ESI electrical cables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UETTDRCJ23A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Install and maintain de-energised high voltage underground paper insulated cables.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Install and maintain de-energised low voltage underground polymeric cables.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Install and maintain de-energised high voltage underground polymeric cables.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UETTDRCJ99A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Test and verify distribution cable jointing installations</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Apply sustainable energy and environmental procedures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Operate plant and equip</w:t>
            </w:r>
            <w:r w:rsidRPr="00B04C95">
              <w:t xml:space="preserve">ment near live electrical conductors and apparatus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Working safely near live electrical apparatus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Install network infrastructure electrical equipment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B04C95">
            <w:pPr>
              <w:pStyle w:val="BodyText"/>
              <w:rPr>
                <w:lang w:val="en-NZ"/>
              </w:rPr>
            </w:pPr>
            <w:r w:rsidRPr="00B04C95">
              <w:t xml:space="preserve">Maintain network infrastructure electrical equipment </w:t>
            </w:r>
          </w:p>
        </w:tc>
      </w:tr>
      <w:tr w:rsidTr="001A32A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RPr="00B04C95" w:rsidP="00B04C95">
            <w:pPr>
              <w:pStyle w:val="BodyText"/>
            </w:pPr>
            <w:r w:rsidRPr="00B04C95">
              <w:t xml:space="preserve">Install and maintain low voltage underground services </w:t>
            </w:r>
          </w:p>
        </w:tc>
      </w:tr>
    </w:tbl>
    <w:p w:rsidR="00000000" w:rsidRPr="00B04C95" w:rsidP="00B04C95">
      <w:pPr>
        <w:pStyle w:val="BodyText"/>
      </w:pPr>
    </w:p>
    <w:p w:rsidR="00000000" w:rsidRPr="00B04C95" w:rsidP="00B04C9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A32A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 xml:space="preserve">4.2) </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Participants are best equipped to achieve this unit if they have reading, writing and numeracy skills indicated by the following scales. Description of each scale is given in Volume 2, Part 3 “Literacy and Numeracy”.</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Reading</w:t>
            </w:r>
          </w:p>
        </w:tc>
        <w:tc>
          <w:tcPr>
            <w:tcW w:w="81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4</w:t>
            </w:r>
          </w:p>
        </w:tc>
        <w:tc>
          <w:tcPr>
            <w:tcW w:w="99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Writing</w:t>
            </w:r>
          </w:p>
        </w:tc>
        <w:tc>
          <w:tcPr>
            <w:tcW w:w="90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4</w:t>
            </w:r>
          </w:p>
        </w:tc>
        <w:tc>
          <w:tcPr>
            <w:tcW w:w="12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Numeracy</w:t>
            </w:r>
          </w:p>
        </w:tc>
        <w:tc>
          <w:tcPr>
            <w:tcW w:w="72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4</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6" w:name="O_461979"/>
      <w:bookmarkEnd w:id="6"/>
      <w:r w:rsidRPr="00B04C95">
        <w:t>Employability Skills Information</w:t>
      </w:r>
    </w:p>
    <w:tbl>
      <w:tblPr>
        <w:tblW w:w="0" w:type="auto"/>
        <w:tblLayout w:type="fixed"/>
        <w:tblCellMar>
          <w:left w:w="62" w:type="dxa"/>
          <w:right w:w="62" w:type="dxa"/>
        </w:tblCellMar>
        <w:tblLook w:val="0000"/>
      </w:tblPr>
      <w:tblGrid>
        <w:gridCol w:w="2700"/>
        <w:gridCol w:w="5760"/>
      </w:tblGrid>
      <w:tr w:rsidTr="001A32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 xml:space="preserve">5) </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 xml:space="preserve">The required outcomes described in this unit of competency contain applicable facets of Employability Skills. The Employability Skills Summary of the qualification in which this </w:t>
            </w:r>
            <w:r w:rsidRPr="00B04C95">
              <w:t>unit of competency is packaged will assist in identifying Employability Skill requirements.</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7" w:name="O_461978"/>
      <w:bookmarkEnd w:id="7"/>
      <w:r w:rsidRPr="00B04C95">
        <w:t>Elements and Performance Criteria Pre-Content</w:t>
      </w:r>
    </w:p>
    <w:tbl>
      <w:tblPr>
        <w:tblW w:w="0" w:type="auto"/>
        <w:tblLayout w:type="fixed"/>
        <w:tblCellMar>
          <w:left w:w="62" w:type="dxa"/>
          <w:right w:w="62" w:type="dxa"/>
        </w:tblCellMar>
        <w:tblLook w:val="0000"/>
      </w:tblPr>
      <w:tblGrid>
        <w:gridCol w:w="2700"/>
        <w:gridCol w:w="5760"/>
      </w:tblGrid>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6)</w:t>
            </w:r>
            <w:r w:rsidRPr="00B04C9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Performance Criteria describe the required performance needed to demonstrate achievement of the element. Assessment of performance is to be consistent with the Evidence Guide.</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8" w:name="O_461977"/>
      <w:bookmarkEnd w:id="8"/>
      <w:r w:rsidRPr="00B04C95">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1A32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PERFORMANCE CRITER</w:t>
            </w:r>
            <w:r w:rsidRPr="00B04C95">
              <w:rPr>
                <w:rStyle w:val="SpecialBold"/>
              </w:rPr>
              <w:t>IA</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w:t>
            </w:r>
          </w:p>
        </w:tc>
        <w:tc>
          <w:tcPr>
            <w:tcW w:w="2294" w:type="dxa"/>
            <w:vMerge w:val="restart"/>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Prepare/Plan to install and maintain oil and gas pressure systems for specialised underground cables</w:t>
            </w: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1.1</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 xml:space="preserve">Works schedule(s), including drawings, plans, requirements, established procedures, and material lists, are obtained, analysed, if necessary, </w:t>
            </w:r>
            <w:r w:rsidRPr="00B04C95">
              <w:t>by site inspection and the extent of the preparation of the work determined for planning and coordination.</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1.2</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Work is prioritised and sequenced for the most efficient and effective outcome following consultation with others for completion within accept</w:t>
            </w:r>
            <w:r w:rsidRPr="00B04C95">
              <w:t>able timeframes, to a quality standard and in accordance with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1.3</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Risk control measures are identified, prioritised and evaluated against the work schedule.</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1.4</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Relevant requirements and established procedures for the work are to all personnel and identified for all work sites.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1.5</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Hazards are identified, OHS risks assessed and control measures are prioritised, implemented and monitored including emergency exit</w:t>
            </w:r>
            <w:r w:rsidRPr="00B04C95">
              <w:t>s kept clear, to ensure safe systems of work are followed and according to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1.6</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Relevant work permits are secured to coordinate the performance of work according to requirements and/or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1.7</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Resources including personnel, equipment, tools and personal protective equipment required for the job are identified, scheduled and coordinated and confirmed in a safe and technical working order.</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1.8</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Clients/Customers are provided with possible soluti</w:t>
            </w:r>
            <w:r w:rsidRPr="00B04C95">
              <w:t>ons and/or options within the scope, acceptable cost and requirements.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1.9</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Liaison and communication issues with other/authorised personnel, authorities, clients and land owners are resolved and activities coordinated to carry out work.</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1.10</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Site is prepared according to the work schedule and to minimise risk and damage to property, commerce, and individuals in accordance with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1.11</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Personnel participating in the work, including plant operators and contractors, are fu</w:t>
            </w:r>
            <w:r w:rsidRPr="00B04C95">
              <w:t>lly briefed and respective responsibilities coordinated and authorised where applicable in accordance with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1.12</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Positioning of road signs, barriers and warning devices is planned and coordinated in accordance with requirements.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w:t>
            </w:r>
          </w:p>
        </w:tc>
        <w:tc>
          <w:tcPr>
            <w:tcW w:w="2294" w:type="dxa"/>
            <w:vMerge w:val="restart"/>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Carry out the installation and maintenance of oil and gas pressure systems for specialised underground cables</w:t>
            </w: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2.1</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OHS and sustainable energy principles and practices to reduce the incidents of accidents and minimise waste are monitored and actioned in ac</w:t>
            </w:r>
            <w:r w:rsidRPr="00B04C95">
              <w:t>cordance with requirements and/or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2.2</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First Aid, Rescue and other related work procedures are performed according to requirements and/or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2.3</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Lifting, climbing, working in confined spaces and aloft, and use of power tools/equipment, techniques and practices are safely exercised according to requirements.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2.4</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Hazard warnings and safety signs are recognised and hazar</w:t>
            </w:r>
            <w:r w:rsidRPr="00B04C95">
              <w:t>ds and assessed OHS risks are reported to the immediate authorised persons for directions according to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2.5</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Remedial actions are taken to overcome any shortfalls encountered in the work schedule according to requirements and/or es</w:t>
            </w:r>
            <w:r w:rsidRPr="00B04C95">
              <w:t>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2.6</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Installation and/or maintenance of oil and gas pressure systems for specialised underground cables is carried out, in accordance with the work schedule and requirements and/or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2.7</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 xml:space="preserve">Essential knowledge </w:t>
            </w:r>
            <w:r w:rsidRPr="00B04C95">
              <w:t>and associated skills are applied in the safe installation and/or maintenance of oil and gas pressure systems for specialised underground cables to ensure completion in an agreed timeframe and, to quality standards with a minimum of waste according to requ</w:t>
            </w:r>
            <w:r w:rsidRPr="00B04C95">
              <w:t>irements.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2.8</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Solutions to non-routine problems are identified and actioned using acquired essential knowledge and associated skills according to requirements.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2.9</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Ongoing checks of quality of the work are undertaken in accordance with requirements and established procedures to ensure a quality like outcome is achieved for the client/customer and to a community/industry standard.</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w:t>
            </w:r>
          </w:p>
        </w:tc>
        <w:tc>
          <w:tcPr>
            <w:tcW w:w="2294" w:type="dxa"/>
            <w:vMerge w:val="restart"/>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Complete the installation and main</w:t>
            </w:r>
            <w:r w:rsidRPr="00B04C95">
              <w:t>tenance of oil and gas pressure systems for specialised underground cables</w:t>
            </w: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3.1</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Work undertaken is checked against works schedule for conformance with requirements, anomalies reported and solutions identified in accordance with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3.2</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Accidents and/or injuries are reported and followed up in accordance with requirements/established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3.3</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Work site is rehabilitated, cleaned up and confirmed safe in accordance with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3.4</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Tools, equipment and any s</w:t>
            </w:r>
            <w:r w:rsidRPr="00B04C95">
              <w:t>urplus resources and materials are, where appropriate, cleaned, checked and returned to storage in accordance with established procedures.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3.5</w:t>
            </w:r>
          </w:p>
        </w:tc>
        <w:tc>
          <w:tcPr>
            <w:tcW w:w="4922"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 xml:space="preserve">Relevant work permit(s) are signed off and, underground cables are returned </w:t>
            </w:r>
            <w:r w:rsidRPr="00B04C95">
              <w:t>to service and advised to client/customer in accordance with requirements.</w:t>
            </w:r>
          </w:p>
        </w:tc>
      </w:tr>
      <w:tr w:rsidTr="001A32A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3.6</w:t>
            </w:r>
          </w:p>
        </w:tc>
        <w:tc>
          <w:tcPr>
            <w:tcW w:w="4922"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Works completion records, reports, as installed /modified drawing(s) and/or documentation and information are confirmed, processed and appropriate personnel notified.</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9" w:name="O_461985"/>
      <w:bookmarkEnd w:id="9"/>
      <w:r w:rsidRPr="00B04C95">
        <w:t>Required Skills and Knowledge</w:t>
      </w:r>
    </w:p>
    <w:tbl>
      <w:tblPr>
        <w:tblW w:w="0" w:type="auto"/>
        <w:tblLayout w:type="fixed"/>
        <w:tblCellMar>
          <w:left w:w="62" w:type="dxa"/>
          <w:right w:w="62" w:type="dxa"/>
        </w:tblCellMar>
        <w:tblLook w:val="0000"/>
      </w:tblPr>
      <w:tblGrid>
        <w:gridCol w:w="8460"/>
      </w:tblGrid>
      <w:tr w:rsidTr="001A32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REQUIRED SKILLS AND KNOWLEDGE</w:t>
            </w:r>
          </w:p>
        </w:tc>
      </w:tr>
      <w:tr w:rsidTr="001A32A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8)</w:t>
            </w:r>
            <w:r w:rsidRPr="00B04C95">
              <w:t xml:space="preserve"> Essential knowledge and associated skills (EKAS): This describes the essential skills and knowledge and their level, required for this unit.</w:t>
            </w:r>
          </w:p>
          <w:p w:rsidR="00000000" w:rsidRPr="00B04C95" w:rsidP="00B04C95">
            <w:pPr>
              <w:pStyle w:val="BodyText"/>
            </w:pPr>
            <w:r w:rsidRPr="00B04C95">
              <w:t xml:space="preserve">Evidence shall show that knowledge has </w:t>
            </w:r>
            <w:r w:rsidRPr="00B04C95">
              <w:t>been acquired of installing and maintaining oil &amp; gas pressure systems for specialised underground cables</w:t>
            </w:r>
          </w:p>
          <w:p w:rsidR="00000000" w:rsidRPr="00B04C95" w:rsidP="00B04C95">
            <w:pPr>
              <w:pStyle w:val="BodyText"/>
            </w:pPr>
            <w:r w:rsidRPr="00B04C95">
              <w:t>All knowledge and skills detailed in this unit should be contextualised to current industry practices and technologies.</w:t>
            </w:r>
          </w:p>
          <w:p w:rsidR="00000000" w:rsidRPr="00B04C95" w:rsidP="00B04C95">
            <w:pPr>
              <w:pStyle w:val="BodyText"/>
            </w:pPr>
            <w:r w:rsidRPr="00B04C95">
              <w:t>KS01-TCJ32A</w:t>
            </w:r>
            <w:r w:rsidRPr="00B04C95">
              <w:tab/>
            </w:r>
            <w:r w:rsidRPr="00B04C95">
              <w:t>Oil and gas specialised underground cables pressure systems</w:t>
            </w:r>
          </w:p>
          <w:p w:rsidR="00000000" w:rsidRPr="00B04C95" w:rsidP="00B04C95">
            <w:pPr>
              <w:pStyle w:val="BodyText"/>
            </w:pPr>
            <w:r w:rsidRPr="00B04C95">
              <w:t>Evidence shall show an understanding of principles, installation and maintenance and jointing of polymeric specialised underground cables pressure systems to an extent indicated by the following a</w:t>
            </w:r>
            <w:r w:rsidRPr="00B04C95">
              <w:t>spects:</w:t>
            </w:r>
          </w:p>
          <w:p w:rsidR="00000000" w:rsidRPr="00B04C95" w:rsidP="00B04C95">
            <w:pPr>
              <w:pStyle w:val="BodyText"/>
            </w:pPr>
            <w:r w:rsidRPr="00B04C95">
              <w:t>T1</w:t>
            </w:r>
            <w:r w:rsidRPr="00B04C95">
              <w:tab/>
              <w:t>Oil or gas filled specialised underground cables encompassing:</w:t>
            </w:r>
          </w:p>
          <w:p w:rsidR="00000000" w:rsidRPr="00B04C95" w:rsidP="00B04C95">
            <w:pPr>
              <w:pStyle w:val="ListBullet"/>
            </w:pPr>
            <w:r w:rsidRPr="00B04C95">
              <w:t>Legislation, Standards, codes, legislation, supply authority regulations and or enterprise requirements pertaining to the working with oil or gas filled specialised underground cable</w:t>
            </w:r>
            <w:r w:rsidRPr="00B04C95">
              <w:t>s</w:t>
            </w:r>
          </w:p>
          <w:p w:rsidR="00000000" w:rsidRPr="00B04C95" w:rsidP="00B04C95">
            <w:pPr>
              <w:pStyle w:val="ListBullet"/>
            </w:pPr>
            <w:r w:rsidRPr="00B04C95">
              <w:t>Types of oil or gas filled specialised underground cables - properties of paper insulation, oil and nitrogen gas, construction, reasons for gas and or oil filled, characteristics and capabilities of the cable, pressure/volume characteristics of oil and g</w:t>
            </w:r>
            <w:r w:rsidRPr="00B04C95">
              <w:t>as, precautions when handling</w:t>
            </w:r>
          </w:p>
          <w:p w:rsidR="00000000" w:rsidRPr="00B04C95" w:rsidP="00B04C95">
            <w:pPr>
              <w:pStyle w:val="ListBullet"/>
            </w:pPr>
            <w:r w:rsidRPr="00B04C95">
              <w:t>Types and functions of tools and equipment used on oil or gas filled specialised underground cables</w:t>
            </w:r>
          </w:p>
          <w:p w:rsidR="00000000" w:rsidRPr="00B04C95" w:rsidP="00B04C95">
            <w:pPr>
              <w:pStyle w:val="ListBullet"/>
            </w:pPr>
            <w:r w:rsidRPr="00B04C95">
              <w:t>Techniques when handling, storing and disposing of oil or gas filled specialised underground cables</w:t>
            </w:r>
          </w:p>
          <w:p w:rsidR="00000000" w:rsidRPr="00B04C95" w:rsidP="00B04C95">
            <w:pPr>
              <w:pStyle w:val="BodyText"/>
            </w:pPr>
            <w:r w:rsidRPr="00B04C95">
              <w:t>T2</w:t>
            </w:r>
            <w:r w:rsidRPr="00B04C95">
              <w:tab/>
              <w:t xml:space="preserve">Installation of oil or </w:t>
            </w:r>
            <w:r w:rsidRPr="00B04C95">
              <w:t>gas filled specialised underground cables encompassing:</w:t>
            </w:r>
          </w:p>
          <w:p w:rsidR="00000000" w:rsidRPr="00B04C95" w:rsidP="00B04C95">
            <w:pPr>
              <w:pStyle w:val="ListBullet"/>
            </w:pPr>
            <w:r w:rsidRPr="00B04C95">
              <w:t>Legislation, Standards, codes, legislation, supply authority regulations and or enterprise requirements pertaining to the installation of oil or gas filled specialised underground cables</w:t>
            </w:r>
          </w:p>
          <w:p w:rsidR="00000000" w:rsidRPr="00B04C95" w:rsidP="00B04C95">
            <w:pPr>
              <w:pStyle w:val="ListBullet"/>
            </w:pPr>
            <w:r w:rsidRPr="00B04C95">
              <w:t>Safety precau</w:t>
            </w:r>
            <w:r w:rsidRPr="00B04C95">
              <w:t>tions of working with oil or gas filled specialised underground cables - safe operation procedures, Occupational Health and Safety hazards and precautions, dangers of working in confined spaces, identification of OHS hazards, assessing and controlling risk</w:t>
            </w:r>
            <w:r w:rsidRPr="00B04C95">
              <w:t>s, types, selection, maintenance, storage and uses of personnel protective equipment including intrinsically safe equipment for use in confined and hazardous environments, Permit/Authorisation to work systems and isolation procedures, safe working policies</w:t>
            </w:r>
            <w:r w:rsidRPr="00B04C95">
              <w:t>, procedures and practices when using/operating specialised equipment, emergency response and rescue including First Aid etc</w:t>
            </w:r>
          </w:p>
          <w:p w:rsidR="00000000" w:rsidRPr="00B04C95" w:rsidP="00B04C95">
            <w:pPr>
              <w:pStyle w:val="ListBullet"/>
            </w:pPr>
            <w:r w:rsidRPr="00B04C95">
              <w:t>Types, function and serviceability of tools and equipment used for the installation of oil or gas filled specialised underground ca</w:t>
            </w:r>
            <w:r w:rsidRPr="00B04C95">
              <w:t>bles</w:t>
            </w:r>
          </w:p>
          <w:p w:rsidR="00000000" w:rsidRPr="00B04C95" w:rsidP="00B04C95">
            <w:pPr>
              <w:pStyle w:val="ListBullet"/>
            </w:pPr>
            <w:r w:rsidRPr="00B04C95">
              <w:t>Techniques in the safe installation of oil or gas filled specialised underground cables</w:t>
            </w:r>
          </w:p>
          <w:p w:rsidR="00000000" w:rsidRPr="00B04C95" w:rsidP="00B04C95">
            <w:pPr>
              <w:pStyle w:val="ListBullet"/>
            </w:pPr>
            <w:r w:rsidRPr="00B04C95">
              <w:t>Techniques in the safe testing/inspection of the oil or gas filled specialised underground cables to ensure successful installation has occurred</w:t>
            </w:r>
          </w:p>
          <w:p w:rsidR="00000000" w:rsidRPr="00B04C95" w:rsidP="00B04C95">
            <w:pPr>
              <w:pStyle w:val="BodyText"/>
            </w:pPr>
            <w:r w:rsidRPr="00B04C95">
              <w:t>T3</w:t>
            </w:r>
            <w:r w:rsidRPr="00B04C95">
              <w:tab/>
              <w:t>Jointing and te</w:t>
            </w:r>
            <w:r w:rsidRPr="00B04C95">
              <w:t>rmination of oil or gas filled specialised underground cables encompassing:</w:t>
            </w:r>
          </w:p>
          <w:p w:rsidR="00000000" w:rsidRPr="00B04C95" w:rsidP="00B04C95">
            <w:pPr>
              <w:pStyle w:val="ListBullet"/>
            </w:pPr>
            <w:r w:rsidRPr="00B04C95">
              <w:t>Legislation, Standards, codes, legislation, supply authority regulations and or enterprise requirements pertaining to the working with oil or gas filled specialised underground cab</w:t>
            </w:r>
            <w:r w:rsidRPr="00B04C95">
              <w:t>les</w:t>
            </w:r>
          </w:p>
          <w:p w:rsidR="00000000" w:rsidRPr="00B04C95" w:rsidP="00B04C95">
            <w:pPr>
              <w:pStyle w:val="ListBullet"/>
            </w:pPr>
            <w:r w:rsidRPr="00B04C95">
              <w:t>Safety precautions of working with oil or gas filled specialised underground cables - safe operation procedures, Occupational Health and Safety hazards and precautions, dangers of working in confined spaces, identification of OHS hazards, assessing and</w:t>
            </w:r>
            <w:r w:rsidRPr="00B04C95">
              <w:t xml:space="preserve"> controlling risks, types, selection, maintenance, storage and uses of personnel protective equipment including intrinsically safe equipment for use in confined and hazardous environments, Permit/Authorisation to work systems and isolation procedures, safe</w:t>
            </w:r>
            <w:r w:rsidRPr="00B04C95">
              <w:t xml:space="preserve"> working policies, procedures and practices when using/operating specialised equipment, emergency response and rescue including First Aid etc</w:t>
            </w:r>
          </w:p>
          <w:p w:rsidR="00000000" w:rsidRPr="00B04C95" w:rsidP="00B04C95">
            <w:pPr>
              <w:pStyle w:val="ListBullet"/>
            </w:pPr>
            <w:r w:rsidRPr="00B04C95">
              <w:t>Types, function and serviceability of tools and equipment used for the jointing and terminating of oil or gas fill</w:t>
            </w:r>
            <w:r w:rsidRPr="00B04C95">
              <w:t>ed specialised underground cables</w:t>
            </w:r>
          </w:p>
          <w:p w:rsidR="00000000" w:rsidRPr="00B04C95" w:rsidP="00B04C95">
            <w:pPr>
              <w:pStyle w:val="ListBullet"/>
            </w:pPr>
            <w:r w:rsidRPr="00B04C95">
              <w:t>Techniques in the safe jointing and terminating oil or gas filled specialised underground cables</w:t>
            </w:r>
          </w:p>
          <w:p w:rsidR="00000000" w:rsidRPr="00B04C95" w:rsidP="00B04C95">
            <w:pPr>
              <w:pStyle w:val="ListBullet"/>
            </w:pPr>
            <w:r w:rsidRPr="00B04C95">
              <w:t>Techniques in the safe testing of the oil or gas filled specialised underground cables to ensure successful jointing and/or t</w:t>
            </w:r>
            <w:r w:rsidRPr="00B04C95">
              <w:t>ermination has occurred</w:t>
            </w:r>
          </w:p>
          <w:p w:rsidR="00000000" w:rsidRPr="00B04C95" w:rsidP="00B04C95">
            <w:pPr>
              <w:pStyle w:val="BodyText"/>
            </w:pPr>
            <w:r w:rsidRPr="00B04C95">
              <w:t>T4</w:t>
            </w:r>
            <w:r w:rsidRPr="00B04C95">
              <w:tab/>
              <w:t>Maintenance of oil or gas filled specialised underground cables encompassing:</w:t>
            </w:r>
          </w:p>
          <w:p w:rsidR="00000000" w:rsidRPr="00B04C95" w:rsidP="00B04C95">
            <w:pPr>
              <w:pStyle w:val="ListBullet"/>
            </w:pPr>
            <w:r w:rsidRPr="00B04C95">
              <w:t>Legislation, Standards, codes, legislation, supply authority regulations and or enterprise requirements pertaining to the maintenance of oil or gas fil</w:t>
            </w:r>
            <w:r w:rsidRPr="00B04C95">
              <w:t>led specialised underground cables</w:t>
            </w:r>
          </w:p>
          <w:p w:rsidR="00000000" w:rsidRPr="00B04C95" w:rsidP="00B04C95">
            <w:pPr>
              <w:pStyle w:val="ListBullet"/>
            </w:pPr>
            <w:r w:rsidRPr="00B04C95">
              <w:t>Safety precautions of working with oil or gas filled specialised underground cables - safe operation procedures, Occupational Health and Safety hazards and precautions, dangers of working in confined spaces, identificatio</w:t>
            </w:r>
            <w:r w:rsidRPr="00B04C95">
              <w:t>n of OHS hazards, assessing and controlling risks, types, selection, maintenance, storage and uses of personnel protective equipment including intrinsically safe equipment for use in confined and hazardous environments, Permit/Authorisation to work systems</w:t>
            </w:r>
            <w:r w:rsidRPr="00B04C95">
              <w:t xml:space="preserve"> and isolation procedures, safe working policies, procedures and practices when using/operating specialised equipment, emergency response and rescue including First Aid etc</w:t>
            </w:r>
          </w:p>
          <w:p w:rsidR="00000000" w:rsidRPr="00B04C95" w:rsidP="00B04C95">
            <w:pPr>
              <w:pStyle w:val="ListBullet"/>
            </w:pPr>
            <w:r w:rsidRPr="00B04C95">
              <w:t>Safe storage and disposal of oil or gas filled specialised underground cables and a</w:t>
            </w:r>
            <w:r w:rsidRPr="00B04C95">
              <w:t xml:space="preserve">ssociated equipment and components; </w:t>
            </w:r>
          </w:p>
          <w:p w:rsidR="00000000" w:rsidRPr="00B04C95" w:rsidP="00B04C95">
            <w:pPr>
              <w:pStyle w:val="ListBullet"/>
            </w:pPr>
            <w:r w:rsidRPr="00B04C95">
              <w:t>Types, function and serviceability of tools and equipment used for the maintenance of oil or gas filled specialised underground cables</w:t>
            </w:r>
          </w:p>
          <w:p w:rsidR="00000000" w:rsidRPr="00B04C95" w:rsidP="00B04C95">
            <w:pPr>
              <w:pStyle w:val="ListBullet"/>
            </w:pPr>
            <w:r w:rsidRPr="00B04C95">
              <w:t>Techniques in the safe maintenance of oil or gas filled specialised underground cables</w:t>
            </w:r>
          </w:p>
          <w:p w:rsidR="00000000" w:rsidRPr="00B04C95" w:rsidP="00B04C95">
            <w:pPr>
              <w:pStyle w:val="ListBullet"/>
            </w:pPr>
            <w:r w:rsidRPr="00B04C95">
              <w:t>Techniques in the safe testing/inspection of the oil or gas filled specialised underground cables to ensure successful maintenance has occurred</w:t>
            </w:r>
          </w:p>
          <w:p w:rsidR="00000000" w:rsidRPr="00B04C95" w:rsidP="00B04C95">
            <w:pPr>
              <w:pStyle w:val="BodyText"/>
            </w:pPr>
            <w:r w:rsidRPr="00B04C95">
              <w:t>T5</w:t>
            </w:r>
            <w:r w:rsidRPr="00B04C95">
              <w:tab/>
              <w:t>Oil and gas pressurise</w:t>
            </w:r>
            <w:r w:rsidRPr="00B04C95">
              <w:t>d systems for specialised underground cables encompassing:</w:t>
            </w:r>
          </w:p>
          <w:p w:rsidR="00000000" w:rsidRPr="00B04C95" w:rsidP="00B04C95">
            <w:pPr>
              <w:pStyle w:val="ListBullet"/>
            </w:pPr>
            <w:r w:rsidRPr="00B04C95">
              <w:t>Legislation, Standards, codes, legislation, supply authority regulations and or enterprise requirements pertaining to the installation and maintenance of oil and gas pressurised systems</w:t>
            </w:r>
          </w:p>
          <w:p w:rsidR="00000000" w:rsidRPr="00B04C95" w:rsidP="00B04C95">
            <w:pPr>
              <w:pStyle w:val="ListBullet"/>
            </w:pPr>
            <w:r w:rsidRPr="00B04C95">
              <w:t>Safe storag</w:t>
            </w:r>
            <w:r w:rsidRPr="00B04C95">
              <w:t xml:space="preserve">e and disposal of oil or gas pressurised equipment and associated components; </w:t>
            </w:r>
          </w:p>
          <w:p w:rsidR="00000000" w:rsidRPr="00B04C95" w:rsidP="00B04C95">
            <w:pPr>
              <w:pStyle w:val="ListBullet"/>
            </w:pPr>
            <w:r w:rsidRPr="00B04C95">
              <w:t xml:space="preserve">Requirements for the use of manuals, system diagrams/plans, drawings, charts and layouts </w:t>
            </w:r>
          </w:p>
          <w:p w:rsidR="00000000" w:rsidRPr="00B04C95" w:rsidP="00B04C95">
            <w:pPr>
              <w:pStyle w:val="ListBullet"/>
            </w:pPr>
            <w:r w:rsidRPr="00B04C95">
              <w:t>Characteristics, application and care of hand and specialised tools</w:t>
            </w:r>
          </w:p>
          <w:p w:rsidR="00000000" w:rsidRPr="00B04C95" w:rsidP="00B04C95">
            <w:pPr>
              <w:pStyle w:val="ListBullet"/>
            </w:pPr>
            <w:r w:rsidRPr="00B04C95">
              <w:t>Techniques in deter</w:t>
            </w:r>
            <w:r w:rsidRPr="00B04C95">
              <w:t>mining route profiles and access locations</w:t>
            </w:r>
          </w:p>
          <w:p w:rsidR="00000000" w:rsidRPr="00B04C95" w:rsidP="00B04C95">
            <w:pPr>
              <w:pStyle w:val="ListBullet"/>
            </w:pPr>
            <w:r w:rsidRPr="00B04C95">
              <w:t>Pressure system characteristics for oil filled and gas filled cables</w:t>
            </w:r>
          </w:p>
          <w:p w:rsidR="00000000" w:rsidRPr="00B04C95" w:rsidP="00B04C95">
            <w:pPr>
              <w:pStyle w:val="ListBullet"/>
            </w:pPr>
            <w:r w:rsidRPr="00B04C95">
              <w:t>Techniques in the safe installation of oil and gas pressurised systems</w:t>
            </w:r>
          </w:p>
          <w:p w:rsidR="00000000" w:rsidRPr="00B04C95" w:rsidP="00B04C95">
            <w:pPr>
              <w:pStyle w:val="ListBullet"/>
            </w:pPr>
            <w:r w:rsidRPr="00B04C95">
              <w:t>Techniques in the safe maintenance of oil and gas pressurised systems</w:t>
            </w:r>
          </w:p>
          <w:p w:rsidR="00000000" w:rsidRPr="00B04C95" w:rsidP="00B04C95">
            <w:pPr>
              <w:pStyle w:val="ListBullet"/>
            </w:pPr>
            <w:r w:rsidRPr="00B04C95">
              <w:t>Tec</w:t>
            </w:r>
            <w:r w:rsidRPr="00B04C95">
              <w:t>hniques in the safe use of tools and equipment in the process of installation and maintenance of oil and gas pressurised systems - gas analyser/detector, manometers, flow boards, cable freezing equipment, accessory impregnation equipment, oil degasificatio</w:t>
            </w:r>
            <w:r w:rsidRPr="00B04C95">
              <w:t>n plant, manometers, flowboards, vacuum pumps, site bottles, gas cylinders, pressure/vacuum meters, oil evacuation pumps, RGP equipment, oil sampling equipment, gas control cubicles, oil control cubicles, cable joints and terminations, oil degasification u</w:t>
            </w:r>
            <w:r w:rsidRPr="00B04C95">
              <w:t>nits and oil pressure tanks</w:t>
            </w:r>
          </w:p>
          <w:p w:rsidR="00000000" w:rsidRPr="00B04C95" w:rsidP="00B04C95">
            <w:pPr>
              <w:pStyle w:val="BodyText"/>
            </w:pPr>
            <w:r w:rsidRPr="00B04C95">
              <w:t>T6</w:t>
            </w:r>
            <w:r w:rsidRPr="00B04C95">
              <w:tab/>
              <w:t>Enterprise specific — policy and procedure instructions encompassing:</w:t>
            </w:r>
          </w:p>
          <w:p w:rsidR="00000000" w:rsidRPr="00B04C95" w:rsidP="00B04C95">
            <w:pPr>
              <w:pStyle w:val="ListBullet"/>
            </w:pPr>
            <w:r w:rsidRPr="00B04C95">
              <w:t>Responsibilities and duty of care of employer and employee relationship</w:t>
            </w:r>
          </w:p>
          <w:p w:rsidR="00000000" w:rsidRPr="00B04C95" w:rsidP="00B04C95">
            <w:pPr>
              <w:pStyle w:val="ListBullet"/>
            </w:pPr>
            <w:r w:rsidRPr="00B04C95">
              <w:t>Methods of obtaining the up-to-date information on enterprise policy and procedures</w:t>
            </w:r>
          </w:p>
          <w:p w:rsidR="00000000" w:rsidRPr="00B04C95" w:rsidP="00B04C95">
            <w:pPr>
              <w:pStyle w:val="ListBullet"/>
            </w:pPr>
            <w:r w:rsidRPr="00B04C95">
              <w:t>Rules and regulations</w:t>
            </w:r>
          </w:p>
          <w:p w:rsidR="00000000" w:rsidRPr="00B04C95" w:rsidP="00B04C95">
            <w:pPr>
              <w:pStyle w:val="ListBullet"/>
            </w:pPr>
            <w:r w:rsidRPr="00B04C95">
              <w:t>Induction into workplace - location of work area and storage area, timetable, uniform, personal well-being, housekeeping rules, emergency procedures, evacuation procedures</w:t>
            </w:r>
          </w:p>
          <w:p w:rsidR="00000000" w:rsidRPr="00B04C95" w:rsidP="00B04C95">
            <w:pPr>
              <w:pStyle w:val="ListBullet"/>
            </w:pPr>
            <w:r w:rsidRPr="00B04C95">
              <w:t>Techniques when deal with others - working in teams, customer</w:t>
            </w:r>
            <w:r w:rsidRPr="00B04C95">
              <w:t xml:space="preserve"> relation, complaint and issues procedures.</w:t>
            </w:r>
          </w:p>
          <w:p w:rsidR="00000000" w:rsidRPr="00B04C95" w:rsidP="00B04C95">
            <w:pPr>
              <w:pStyle w:val="ListBullet"/>
            </w:pPr>
            <w:r w:rsidRPr="00B04C95">
              <w:t>Overview of enterprise professional development - fire fighting procedures, fatigue management, training and competency development - understanding and promotion</w:t>
            </w:r>
          </w:p>
          <w:p w:rsidR="00000000" w:rsidRPr="00B04C95" w:rsidP="00B04C95">
            <w:pPr>
              <w:pStyle w:val="BodyText"/>
            </w:pPr>
            <w:r w:rsidRPr="00B04C95">
              <w:t>T7</w:t>
            </w:r>
            <w:r w:rsidRPr="00B04C95">
              <w:tab/>
              <w:t>Enterprises specific — OHS instructions encompa</w:t>
            </w:r>
            <w:r w:rsidRPr="00B04C95">
              <w:t>ssing:</w:t>
            </w:r>
          </w:p>
          <w:p w:rsidR="00000000" w:rsidRPr="00B04C95" w:rsidP="00B04C95">
            <w:pPr>
              <w:pStyle w:val="ListBullet"/>
            </w:pPr>
            <w:r w:rsidRPr="00B04C95">
              <w:t>Standards, codes, legislation, supply authority regulations and specific enterprise regulations pertaining to the OHS policies and procedures</w:t>
            </w:r>
          </w:p>
          <w:p w:rsidR="00000000" w:rsidRPr="00B04C95" w:rsidP="00B04C95">
            <w:pPr>
              <w:pStyle w:val="ListBullet"/>
            </w:pPr>
            <w:r w:rsidRPr="00B04C95">
              <w:t>Methods of obtaining the up-to-date information on enterprise OHS policy and procedures</w:t>
            </w:r>
          </w:p>
          <w:p w:rsidR="00000000" w:rsidRPr="00B04C95" w:rsidP="00B04C95">
            <w:pPr>
              <w:pStyle w:val="ListBullet"/>
            </w:pPr>
            <w:r w:rsidRPr="00B04C95">
              <w:t>Specific enterprise</w:t>
            </w:r>
            <w:r w:rsidRPr="00B04C95">
              <w:t xml:space="preserve"> personal protection equipment - type and application, where and when to be used, method of replacement, responsibility of maintenance including cleaning inspection and testing, emergency response, rescue, evacuation and First Aid procedures</w:t>
            </w:r>
          </w:p>
          <w:p w:rsidR="00000000" w:rsidRPr="00B04C95" w:rsidP="00B04C95">
            <w:pPr>
              <w:pStyle w:val="ListBullet"/>
            </w:pPr>
            <w:r w:rsidRPr="00B04C95">
              <w:t>Personal well-</w:t>
            </w:r>
            <w:r w:rsidRPr="00B04C95">
              <w:t>being – hygiene, fatigue/stress management, drugs/alcohol</w:t>
            </w:r>
          </w:p>
          <w:p w:rsidR="00000000" w:rsidRPr="00B04C95" w:rsidP="00B04C95">
            <w:pPr>
              <w:pStyle w:val="ListBullet"/>
            </w:pPr>
            <w:r w:rsidRPr="00B04C95">
              <w:t>OHS training - induction training, specific hazard training, specific task or equipment training, emergency and evacuation training, training as part of broader programs such as equipment operation</w:t>
            </w:r>
          </w:p>
          <w:p w:rsidR="00000000" w:rsidRPr="00B04C95" w:rsidP="00B04C95">
            <w:pPr>
              <w:pStyle w:val="ListBullet"/>
            </w:pPr>
            <w:r w:rsidRPr="00B04C95">
              <w:t>OHS records including audits, inspection reports, workplace health and environmental monitoring records, training and instruction records, manufacturers and suppliers information such as MSDSs, registers, maintenance reports, workers compensation and rehab</w:t>
            </w:r>
            <w:r w:rsidRPr="00B04C95">
              <w:t>ilitation records and First Aid/medical records</w:t>
            </w:r>
          </w:p>
          <w:p w:rsidR="00000000" w:rsidRPr="00B04C95" w:rsidP="00B04C95">
            <w:pPr>
              <w:pStyle w:val="BodyText"/>
            </w:pPr>
            <w:r w:rsidRPr="00B04C95">
              <w:t>T8</w:t>
            </w:r>
            <w:r w:rsidRPr="00B04C95">
              <w:tab/>
              <w:t>Enterprises specific — technical drawing and documents encompassing:</w:t>
            </w:r>
          </w:p>
          <w:p w:rsidR="00000000" w:rsidRPr="00B04C95" w:rsidP="00B04C95">
            <w:pPr>
              <w:pStyle w:val="ListBullet"/>
            </w:pPr>
            <w:r w:rsidRPr="00B04C95">
              <w:t>Types and application of enterprise specific drawings and documents - electrical and electronic drawings, mechanical drawings, project c</w:t>
            </w:r>
            <w:r w:rsidRPr="00B04C95">
              <w:t>harts, schedules, graphs, technical manuals and catalogues</w:t>
            </w:r>
          </w:p>
          <w:p w:rsidR="00000000" w:rsidRPr="00B04C95" w:rsidP="00B04C95">
            <w:pPr>
              <w:pStyle w:val="ListBullet"/>
            </w:pPr>
            <w:r w:rsidRPr="00B04C95">
              <w:t>Instruction/worksheets sheets - types and application of enterprise specific symbols and diagrams</w:t>
            </w:r>
          </w:p>
          <w:p w:rsidR="00000000" w:rsidRPr="00B04C95" w:rsidP="00B04C95">
            <w:pPr>
              <w:pStyle w:val="ListBullet"/>
            </w:pPr>
            <w:r w:rsidRPr="00B04C95">
              <w:t>Title box - description of parts and version control</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10" w:name="O_461980"/>
      <w:bookmarkEnd w:id="10"/>
      <w:r w:rsidRPr="00B04C95">
        <w:t>Evidence Guide</w:t>
      </w:r>
    </w:p>
    <w:tbl>
      <w:tblPr>
        <w:tblW w:w="0" w:type="auto"/>
        <w:tblLayout w:type="fixed"/>
        <w:tblCellMar>
          <w:left w:w="62" w:type="dxa"/>
          <w:right w:w="62" w:type="dxa"/>
        </w:tblCellMar>
        <w:tblLook w:val="0000"/>
      </w:tblPr>
      <w:tblGrid>
        <w:gridCol w:w="8460"/>
      </w:tblGrid>
      <w:tr w:rsidTr="001A32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EVIDENCE GUI</w:t>
            </w:r>
            <w:r w:rsidRPr="00B04C95">
              <w:rPr>
                <w:rStyle w:val="SpecialBold"/>
              </w:rPr>
              <w:t>DE</w:t>
            </w:r>
          </w:p>
        </w:tc>
      </w:tr>
      <w:tr w:rsidTr="001A32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9)</w:t>
            </w:r>
            <w:r w:rsidRPr="00B04C95">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B04C95" w:rsidP="00B04C95">
            <w:pPr>
              <w:pStyle w:val="BodyText"/>
            </w:pPr>
            <w:r w:rsidRPr="00B04C95">
              <w:t>The Evidence Guid</w:t>
            </w:r>
            <w:r w:rsidRPr="00B04C95">
              <w:t>e forms an integral part of this Competency Standard Unit and shall be used in conjunction with all component parts of this unit and, performed in accordance with the Assessment Guidelines of this Training Package.</w:t>
            </w:r>
          </w:p>
        </w:tc>
      </w:tr>
    </w:tbl>
    <w:p w:rsidR="00000000" w:rsidRPr="00B04C95" w:rsidP="00B04C95">
      <w:pPr>
        <w:pStyle w:val="BodyText"/>
      </w:pPr>
    </w:p>
    <w:tbl>
      <w:tblPr>
        <w:tblW w:w="0" w:type="auto"/>
        <w:tblLayout w:type="fixed"/>
        <w:tblCellMar>
          <w:left w:w="62" w:type="dxa"/>
          <w:right w:w="62" w:type="dxa"/>
        </w:tblCellMar>
        <w:tblLook w:val="0000"/>
      </w:tblPr>
      <w:tblGrid>
        <w:gridCol w:w="1890"/>
        <w:gridCol w:w="6570"/>
      </w:tblGrid>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9.1)</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Longitudi</w:t>
            </w:r>
            <w:r w:rsidRPr="00B04C95">
              <w:t>nal competency development approaches to assessment, such as Profiling, require data to be reliably gathered in a form that can be consistently interpreted over time. This approach is best utilised in Apprenticeship programs and reduces assessment interven</w:t>
            </w:r>
            <w:r w:rsidRPr="00B04C95">
              <w:t xml:space="preserve">tion. It is the Industry’s preferred model for apprenticeships. However, where summative (or final) assessment is used it is to include the application of the competency in the normal work environment or, at a minimum, the application of the competency in </w:t>
            </w:r>
            <w:r w:rsidRPr="00B04C95">
              <w:t>a realistically simulated work environment. It is recognised that, in some circumstances, assessment in part or full can occur outside the workplace. However, it must be in accord with Industry and, Regulatory policy in this regard.</w:t>
            </w:r>
          </w:p>
          <w:p w:rsidR="00000000" w:rsidRPr="00B04C95" w:rsidP="00B04C95">
            <w:pPr>
              <w:pStyle w:val="BodyText"/>
            </w:pPr>
            <w:r w:rsidRPr="00B04C95">
              <w:t>Methods chosen for a pa</w:t>
            </w:r>
            <w:r w:rsidRPr="00B04C95">
              <w:t>rticular assessment will be influenced by various factors. These include the extent of the assessment, the most effective locations for the assessment activities to take place, access to physical resources, additional safety measures that may be required a</w:t>
            </w:r>
            <w:r w:rsidRPr="00B04C95">
              <w:t>nd the critical nature of the competencies being assessed.</w:t>
            </w:r>
          </w:p>
          <w:p w:rsidR="00000000" w:rsidRPr="00B04C95" w:rsidP="00B04C95">
            <w:pPr>
              <w:pStyle w:val="BodyText"/>
            </w:pPr>
            <w:r w:rsidRPr="00B04C95">
              <w:t>The critical safety nature of working with electricity, electrical equipment, gas or any other hazardous substance/material carries risk in deeming a person competent. Hence, sources of evidence ne</w:t>
            </w:r>
            <w:r w:rsidRPr="00B04C95">
              <w:t>ed to be ‘rich’ in nature so as to minimise error in judgment.</w:t>
            </w:r>
          </w:p>
          <w:p w:rsidR="00000000" w:rsidRPr="00B04C95" w:rsidP="00B04C95">
            <w:pPr>
              <w:pStyle w:val="BodyText"/>
            </w:pPr>
            <w:r w:rsidRPr="00B04C95">
              <w:t>Activities associated with normal every day work have a bearing on the decision as to how much and how detailed the data gathered will contribute to its ‘richness’. Some skills are more critica</w:t>
            </w:r>
            <w:r w:rsidRPr="00B04C95">
              <w:t>l to safety and operational requirements while the same skills may be more or less frequently practiced. These points are raised for the assessors to consider when choosing an assessment method and developing assessment instruments. Sample assessment instr</w:t>
            </w:r>
            <w:r w:rsidRPr="00B04C95">
              <w:t>uments are included for Assessors in the Assessment Guidelines of this Training Package.</w:t>
            </w:r>
          </w:p>
        </w:tc>
      </w:tr>
    </w:tbl>
    <w:p w:rsidR="00000000" w:rsidRPr="00B04C95" w:rsidP="00B04C9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9.2)</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Before the critical aspects of evidence are considered all prerequisites shall be met.</w:t>
            </w:r>
          </w:p>
          <w:p w:rsidR="00000000" w:rsidRPr="00B04C95" w:rsidP="00B04C95">
            <w:pPr>
              <w:pStyle w:val="BodyText"/>
            </w:pPr>
            <w:r w:rsidRPr="00B04C95">
              <w:t>Evidence for competence in this unit shall be considered holistically. Each element and associated performance criteria shall be demonstrated on at least two occasions i</w:t>
            </w:r>
            <w:r w:rsidRPr="00B04C95">
              <w:t>n accordance with the “Assessment Guidelines – UET12”. Evidence shall also comprise:</w:t>
            </w:r>
          </w:p>
          <w:p w:rsidR="00000000" w:rsidRPr="00B04C95" w:rsidP="00B04C95">
            <w:pPr>
              <w:pStyle w:val="ListBullet"/>
            </w:pPr>
            <w:r w:rsidRPr="00B04C95">
              <w:t>A representative body of performance criteria demonstrated within the timeframes typically expected of the discipline, work function and industrial environment. In particu</w:t>
            </w:r>
            <w:r w:rsidRPr="00B04C95">
              <w:t>lar this shall incorporate evidence that shows a candidate is able to:</w:t>
            </w:r>
          </w:p>
          <w:p w:rsidR="00000000" w:rsidRPr="00B04C95" w:rsidP="00B04C95">
            <w:pPr>
              <w:pStyle w:val="ListBullet2"/>
            </w:pPr>
            <w:r w:rsidRPr="00B04C95">
              <w:t>Implement Occupational Health and Safety workplace procedures and practices including the use of risk control measures as specified in the performance criteria and range; and</w:t>
            </w:r>
          </w:p>
          <w:p w:rsidR="00000000" w:rsidRPr="00B04C95" w:rsidP="00B04C95">
            <w:pPr>
              <w:pStyle w:val="ListBullet2"/>
            </w:pPr>
            <w:r w:rsidRPr="00B04C95">
              <w:t>Apply sus</w:t>
            </w:r>
            <w:r w:rsidRPr="00B04C95">
              <w:t>tainable energy principles and practices as specified in the performance criteria and range; and</w:t>
            </w:r>
          </w:p>
          <w:p w:rsidR="00000000" w:rsidRPr="00B04C95" w:rsidP="00B04C95">
            <w:pPr>
              <w:pStyle w:val="ListBullet2"/>
            </w:pPr>
            <w:r w:rsidRPr="00B04C95">
              <w:t>Demonstrate an understanding of the essential knowledge and associated skills as described in this unit to such an extent that the learner’s performance outcom</w:t>
            </w:r>
            <w:r w:rsidRPr="00B04C95">
              <w:t>e is reported in accordance with the preferred approach; namely a percentile graded result, where required by the regulated environment; and</w:t>
            </w:r>
          </w:p>
          <w:p w:rsidR="00000000" w:rsidRPr="00B04C95" w:rsidP="00B04C95">
            <w:pPr>
              <w:pStyle w:val="ListBullet2"/>
            </w:pPr>
            <w:r w:rsidRPr="00B04C95">
              <w:t>Demonstrate an appropriate level of employability skills; and</w:t>
            </w:r>
          </w:p>
          <w:p w:rsidR="00000000" w:rsidRPr="00B04C95" w:rsidP="00B04C95">
            <w:pPr>
              <w:pStyle w:val="ListBullet"/>
            </w:pPr>
            <w:r w:rsidRPr="00B04C95">
              <w:t>Conduct work observing the relevant Anti Discriminati</w:t>
            </w:r>
            <w:r w:rsidRPr="00B04C95">
              <w:t>on legislation, regulations, policies and workplace procedures; and</w:t>
            </w:r>
          </w:p>
          <w:p w:rsidR="00000000" w:rsidP="00B04C95">
            <w:pPr>
              <w:pStyle w:val="ListBullet2"/>
              <w:rPr>
                <w:lang w:val="en-NZ"/>
              </w:rPr>
            </w:pPr>
            <w:r w:rsidRPr="00B04C95">
              <w:t>Demonstrated performance across a representative range of contexts from the prescribed items below:</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04C9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rPr>
                <w:rStyle w:val="SpecialBold"/>
              </w:rPr>
              <w:t>Range of tools/equipment/materials/procedures/workplaces/other variables</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04C9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rPr>
                <w:rStyle w:val="SpecialBold"/>
              </w:rPr>
              <w:t>Item List</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t>Oil filled pressure systems</w:t>
            </w:r>
          </w:p>
          <w:p w:rsidR="00000000" w:rsidP="00B04C95">
            <w:pPr>
              <w:pStyle w:val="BodyText"/>
              <w:rPr>
                <w:lang w:val="en-NZ"/>
              </w:rPr>
            </w:pPr>
            <w:r w:rsidRPr="00B04C95">
              <w:t>Gas filled pressure systems</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t>Gas analyser/detector</w:t>
            </w:r>
          </w:p>
          <w:p w:rsidR="00000000" w:rsidRPr="00B04C95" w:rsidP="00B04C95">
            <w:pPr>
              <w:pStyle w:val="BodyText"/>
            </w:pPr>
            <w:r w:rsidRPr="00B04C95">
              <w:t>Manometers</w:t>
            </w:r>
          </w:p>
          <w:p w:rsidR="00000000" w:rsidRPr="00B04C95" w:rsidP="00B04C95">
            <w:pPr>
              <w:pStyle w:val="BodyText"/>
            </w:pPr>
            <w:r w:rsidRPr="00B04C95">
              <w:t>Flow boards</w:t>
            </w:r>
          </w:p>
          <w:p w:rsidR="00000000" w:rsidP="00B04C95">
            <w:pPr>
              <w:pStyle w:val="BodyText"/>
              <w:rPr>
                <w:lang w:val="en-NZ"/>
              </w:rPr>
            </w:pPr>
            <w:r w:rsidRPr="00B04C95">
              <w:t xml:space="preserve">Cable freezing </w:t>
            </w:r>
            <w:r w:rsidRPr="00B04C95">
              <w:t>equipment</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t>Accessory impregnation equipment</w:t>
            </w:r>
          </w:p>
          <w:p w:rsidR="00000000" w:rsidRPr="00B04C95" w:rsidP="00B04C95">
            <w:pPr>
              <w:pStyle w:val="BodyText"/>
            </w:pPr>
            <w:r w:rsidRPr="00B04C95">
              <w:t>Oil degasification plant</w:t>
            </w:r>
          </w:p>
          <w:p w:rsidR="00000000" w:rsidRPr="00B04C95" w:rsidP="00B04C95">
            <w:pPr>
              <w:pStyle w:val="BodyText"/>
            </w:pPr>
            <w:r w:rsidRPr="00B04C95">
              <w:t>Manometers</w:t>
            </w:r>
          </w:p>
          <w:p w:rsidR="00000000" w:rsidRPr="00B04C95" w:rsidP="00B04C95">
            <w:pPr>
              <w:pStyle w:val="BodyText"/>
            </w:pPr>
            <w:r w:rsidRPr="00B04C95">
              <w:t>Flowboards</w:t>
            </w:r>
          </w:p>
          <w:p w:rsidR="00000000" w:rsidRPr="00B04C95" w:rsidP="00B04C95">
            <w:pPr>
              <w:pStyle w:val="BodyText"/>
            </w:pPr>
            <w:r w:rsidRPr="00B04C95">
              <w:t>Vacuum pumps</w:t>
            </w:r>
          </w:p>
          <w:p w:rsidR="00000000" w:rsidRPr="00B04C95" w:rsidP="00B04C95">
            <w:pPr>
              <w:pStyle w:val="BodyText"/>
            </w:pPr>
            <w:r w:rsidRPr="00B04C95">
              <w:t>Site bottles</w:t>
            </w:r>
          </w:p>
          <w:p w:rsidR="00000000" w:rsidRPr="00B04C95" w:rsidP="00B04C95">
            <w:pPr>
              <w:pStyle w:val="BodyText"/>
            </w:pPr>
            <w:r w:rsidRPr="00B04C95">
              <w:t>Gas cylinders</w:t>
            </w:r>
          </w:p>
          <w:p w:rsidR="00000000" w:rsidRPr="00B04C95" w:rsidP="00B04C95">
            <w:pPr>
              <w:pStyle w:val="BodyText"/>
            </w:pPr>
            <w:r w:rsidRPr="00B04C95">
              <w:t>Pressure/vacuum meters</w:t>
            </w:r>
          </w:p>
          <w:p w:rsidR="00000000" w:rsidRPr="00B04C95" w:rsidP="00B04C95">
            <w:pPr>
              <w:pStyle w:val="BodyText"/>
            </w:pPr>
            <w:r w:rsidRPr="00B04C95">
              <w:t>Oil evacuation pumps</w:t>
            </w:r>
          </w:p>
          <w:p w:rsidR="00000000" w:rsidRPr="00B04C95" w:rsidP="00B04C95">
            <w:pPr>
              <w:pStyle w:val="BodyText"/>
            </w:pPr>
            <w:r w:rsidRPr="00B04C95">
              <w:t>RGP equipment</w:t>
            </w:r>
          </w:p>
          <w:p w:rsidR="00000000" w:rsidP="00B04C95">
            <w:pPr>
              <w:pStyle w:val="BodyText"/>
              <w:rPr>
                <w:lang w:val="en-NZ"/>
              </w:rPr>
            </w:pPr>
            <w:r w:rsidRPr="00B04C95">
              <w:t>Oil sampling equipment</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t>Gas control cubicles</w:t>
            </w:r>
          </w:p>
          <w:p w:rsidR="00000000" w:rsidRPr="00B04C95" w:rsidP="00B04C95">
            <w:pPr>
              <w:pStyle w:val="BodyText"/>
            </w:pPr>
            <w:r w:rsidRPr="00B04C95">
              <w:t>Oil control cubicles</w:t>
            </w:r>
          </w:p>
          <w:p w:rsidR="00000000" w:rsidRPr="00B04C95" w:rsidP="00B04C95">
            <w:pPr>
              <w:pStyle w:val="BodyText"/>
            </w:pPr>
            <w:r w:rsidRPr="00B04C95">
              <w:t>Cable joints and terminations</w:t>
            </w:r>
          </w:p>
          <w:p w:rsidR="00000000" w:rsidRPr="00B04C95" w:rsidP="00B04C95">
            <w:pPr>
              <w:pStyle w:val="BodyText"/>
            </w:pPr>
            <w:r w:rsidRPr="00B04C95">
              <w:t>Oil degasification units</w:t>
            </w:r>
          </w:p>
          <w:p w:rsidR="00000000" w:rsidP="00B04C95">
            <w:pPr>
              <w:pStyle w:val="BodyText"/>
              <w:rPr>
                <w:lang w:val="en-NZ"/>
              </w:rPr>
            </w:pPr>
            <w:r w:rsidRPr="00B04C95">
              <w:t>Oil pressure tanks</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C95">
            <w:pPr>
              <w:pStyle w:val="BodyText"/>
              <w:rPr>
                <w:lang w:val="en-NZ"/>
              </w:rPr>
            </w:pPr>
            <w:r w:rsidRPr="00B04C9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C95" w:rsidP="00B04C95">
            <w:pPr>
              <w:pStyle w:val="BodyText"/>
            </w:pPr>
            <w:r w:rsidRPr="00B04C95">
              <w:t>Dealing with an unplanned event by drawin</w:t>
            </w:r>
            <w:r w:rsidRPr="00B04C95">
              <w:t>g on essential knowledge and associated skills to provide appropriate solutions incorporated in the holistic assessment with the above listed items.</w:t>
            </w:r>
          </w:p>
        </w:tc>
      </w:tr>
    </w:tbl>
    <w:p w:rsidR="00000000" w:rsidRPr="00B04C95" w:rsidP="00B04C95">
      <w:pPr>
        <w:pStyle w:val="BodyText"/>
      </w:pPr>
    </w:p>
    <w:tbl>
      <w:tblPr>
        <w:tblW w:w="0" w:type="auto"/>
        <w:tblLayout w:type="fixed"/>
        <w:tblCellMar>
          <w:left w:w="62" w:type="dxa"/>
          <w:right w:w="62" w:type="dxa"/>
        </w:tblCellMar>
        <w:tblLook w:val="0000"/>
      </w:tblPr>
      <w:tblGrid>
        <w:gridCol w:w="1890"/>
        <w:gridCol w:w="6570"/>
      </w:tblGrid>
      <w:tr w:rsidTr="001A32A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9.3)</w:t>
            </w:r>
          </w:p>
        </w:tc>
      </w:tr>
      <w:tr w:rsidTr="001A32A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This unit should be assessed as it relates to nor</w:t>
            </w:r>
            <w:r w:rsidRPr="00B04C95">
              <w:t>mal work practice using procedures, information and resources typical of a workplace. This should include:</w:t>
            </w:r>
          </w:p>
          <w:p w:rsidR="00000000" w:rsidRPr="00B04C95" w:rsidP="00B04C95">
            <w:pPr>
              <w:pStyle w:val="ListBullet"/>
            </w:pPr>
            <w:r w:rsidRPr="00B04C95">
              <w:t>OHS policy and work procedures and instructions.</w:t>
            </w:r>
          </w:p>
          <w:p w:rsidR="00000000" w:rsidRPr="00B04C95" w:rsidP="00B04C95">
            <w:pPr>
              <w:pStyle w:val="ListBullet"/>
            </w:pPr>
            <w:r w:rsidRPr="00B04C95">
              <w:t>Suitable work environment, facilities, equipment and materials to undertake actual installation and maintenance of oil and gas pressure systems for specialised underground cables.</w:t>
            </w:r>
          </w:p>
          <w:p w:rsidR="00000000" w:rsidRPr="00B04C95" w:rsidP="00B04C95">
            <w:pPr>
              <w:pStyle w:val="BodyText"/>
            </w:pPr>
            <w:r w:rsidRPr="00B04C95">
              <w:t>In addition to the resources listed above, in context of and specific resour</w:t>
            </w:r>
            <w:r w:rsidRPr="00B04C95">
              <w:t xml:space="preserve">ces for assessment, evidence should show demonstrated competency working at realistic heights above ground i.e. above 3 metres, in limited spaces, with different structural/construction types and method and in a variety of environments. </w:t>
            </w:r>
          </w:p>
        </w:tc>
      </w:tr>
    </w:tbl>
    <w:p w:rsidR="00000000" w:rsidRPr="00B04C95" w:rsidP="00B04C95">
      <w:pPr>
        <w:pStyle w:val="BodyText"/>
      </w:pPr>
    </w:p>
    <w:tbl>
      <w:tblPr>
        <w:tblW w:w="0" w:type="auto"/>
        <w:tblLayout w:type="fixed"/>
        <w:tblCellMar>
          <w:left w:w="62" w:type="dxa"/>
          <w:right w:w="62" w:type="dxa"/>
        </w:tblCellMar>
        <w:tblLook w:val="0000"/>
      </w:tblPr>
      <w:tblGrid>
        <w:gridCol w:w="1890"/>
        <w:gridCol w:w="6570"/>
      </w:tblGrid>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Method of assess</w:t>
            </w:r>
            <w:r w:rsidRPr="00B04C95">
              <w:rPr>
                <w:rStyle w:val="SpecialBold"/>
              </w:rPr>
              <w:t>ment</w:t>
            </w:r>
          </w:p>
        </w:tc>
        <w:tc>
          <w:tcPr>
            <w:tcW w:w="657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9.4)</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This Competency Standard Unit shall be assessed by methods given in Volume 1, Part 3 “Assessment Guidelines”.</w:t>
            </w:r>
          </w:p>
          <w:p w:rsidR="00000000" w:rsidRPr="00B04C95" w:rsidP="00B04C95">
            <w:pPr>
              <w:pStyle w:val="BodyText"/>
            </w:pPr>
            <w:r w:rsidRPr="00B04C95">
              <w:t>Note:</w:t>
            </w:r>
          </w:p>
          <w:p w:rsidR="00000000" w:rsidRPr="00B04C95" w:rsidP="00B04C95">
            <w:pPr>
              <w:pStyle w:val="BodyText"/>
            </w:pPr>
            <w:r w:rsidRPr="00B04C95">
              <w:t>Competent performance with inherent safe working practices is expected in the Industry to which this Competency Standard Unit ap</w:t>
            </w:r>
            <w:r w:rsidRPr="00B04C95">
              <w:t>plies. This requires that the specified essential knowledge and associated skills are assessed in a structured environment which is primarily intended for learning/assessment and incorporates all necessary equipment and facilities for learners to develop a</w:t>
            </w:r>
            <w:r w:rsidRPr="00B04C95">
              <w:t>nd demonstrate the essential knowledge and associated skills described in this unit.</w:t>
            </w:r>
          </w:p>
        </w:tc>
      </w:tr>
    </w:tbl>
    <w:p w:rsidR="00000000" w:rsidRPr="00B04C95" w:rsidP="00B04C95">
      <w:pPr>
        <w:pStyle w:val="BodyText"/>
      </w:pPr>
    </w:p>
    <w:tbl>
      <w:tblPr>
        <w:tblW w:w="0" w:type="auto"/>
        <w:tblLayout w:type="fixed"/>
        <w:tblCellMar>
          <w:left w:w="62" w:type="dxa"/>
          <w:right w:w="62" w:type="dxa"/>
        </w:tblCellMar>
        <w:tblLook w:val="0000"/>
      </w:tblPr>
      <w:tblGrid>
        <w:gridCol w:w="1890"/>
        <w:gridCol w:w="1530"/>
        <w:gridCol w:w="5040"/>
      </w:tblGrid>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9.5)</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 xml:space="preserve">For optimisation of training and assessment effort, competence in this unit may be assessed concurrently with the following units: </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UETTDRCJ29A</w:t>
            </w:r>
          </w:p>
        </w:tc>
        <w:tc>
          <w:tcPr>
            <w:tcW w:w="504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Install gas and oil filled specialised underground cables</w:t>
            </w:r>
          </w:p>
        </w:tc>
      </w:tr>
      <w:tr w:rsidTr="001A32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t>UETTDRCJ31A</w:t>
            </w:r>
          </w:p>
        </w:tc>
        <w:tc>
          <w:tcPr>
            <w:tcW w:w="504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Install and maintain polymeric specialised underground cables</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11" w:name="O_461984"/>
      <w:bookmarkEnd w:id="11"/>
      <w:r w:rsidRPr="00B04C95">
        <w:t>Range Statement</w:t>
      </w:r>
    </w:p>
    <w:tbl>
      <w:tblPr>
        <w:tblW w:w="0" w:type="auto"/>
        <w:tblLayout w:type="fixed"/>
        <w:tblCellMar>
          <w:left w:w="62" w:type="dxa"/>
          <w:right w:w="62" w:type="dxa"/>
        </w:tblCellMar>
        <w:tblLook w:val="0000"/>
      </w:tblPr>
      <w:tblGrid>
        <w:gridCol w:w="8460"/>
      </w:tblGrid>
      <w:tr w:rsidTr="001A32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RANGE STATEMENT</w:t>
            </w:r>
          </w:p>
        </w:tc>
      </w:tr>
      <w:tr w:rsidTr="001A32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10)</w:t>
            </w:r>
            <w:r w:rsidRPr="00B04C95">
              <w:t xml:space="preserve"> This relates to the unit of competency as a whole providing the range of contexts and conditions </w:t>
            </w:r>
            <w:r w:rsidRPr="00B04C95">
              <w:t>to which the performance criteria apply. It allows for different work environments and situations that will affect performance.</w:t>
            </w:r>
          </w:p>
          <w:p w:rsidR="00000000" w:rsidRPr="00B04C95" w:rsidP="00B04C95">
            <w:pPr>
              <w:pStyle w:val="BodyText"/>
            </w:pPr>
            <w:r w:rsidRPr="00B04C95">
              <w:t>This Competency Standard Unit shall be demonstrated in relation to the installation and maintenance of oil and gas pressure syst</w:t>
            </w:r>
            <w:r w:rsidRPr="00B04C95">
              <w:t xml:space="preserve">ems for specialised underground cables. It covers the installation of pressure control cubicles, pressure lines, oil and gas tanks/cylinders and flow control equipment. Maintenance of pressure systems including routine maintenance activities and equipment </w:t>
            </w:r>
            <w:r w:rsidRPr="00B04C95">
              <w:t>testing. Leak location activities including cable freezing and flow rate comparison tests.</w:t>
            </w:r>
          </w:p>
          <w:p w:rsidR="00000000" w:rsidRPr="00B04C95" w:rsidP="00B04C95">
            <w:pPr>
              <w:pStyle w:val="BodyText"/>
            </w:pPr>
            <w:r w:rsidRPr="00B04C95">
              <w:t>It also encompasses the processing of cable oil and basic testing and sampling of oil.</w:t>
            </w:r>
          </w:p>
          <w:p w:rsidR="00000000" w:rsidRPr="00B04C95" w:rsidP="00B04C95">
            <w:pPr>
              <w:pStyle w:val="BodyText"/>
            </w:pPr>
            <w:r w:rsidRPr="00B04C95">
              <w:t>Oil processing and control equipment may include: Oil de-gasification units, o</w:t>
            </w:r>
            <w:r w:rsidRPr="00B04C95">
              <w:t>il trays and pumps, vacuum pumps, accessory impregnation equipment, RGP meters &amp; equipment, manometers, vacuum meters, flow boards, oil sampling flasks and extraction plant, liquid nitrogen cylinders and associated cable freezing equipment, oil pressure ta</w:t>
            </w:r>
            <w:r w:rsidRPr="00B04C95">
              <w:t xml:space="preserve">nks, oil piping ,fittings and valves, oil control cubicles </w:t>
            </w:r>
          </w:p>
          <w:p w:rsidR="00000000" w:rsidRPr="00B04C95" w:rsidP="00B04C95">
            <w:pPr>
              <w:pStyle w:val="BodyText"/>
            </w:pPr>
            <w:r w:rsidRPr="00B04C95">
              <w:t>Gas processing &amp; control equipment may include: Dry nitrogen cylinders, gas piping, fittings and valves, pressure meters and transducers, gas control cubicles.</w:t>
            </w:r>
          </w:p>
          <w:p w:rsidR="00000000" w:rsidRPr="00B04C95" w:rsidP="00B04C95">
            <w:pPr>
              <w:pStyle w:val="BodyText"/>
            </w:pPr>
            <w:r w:rsidRPr="00B04C95">
              <w:t>The following constants and variable</w:t>
            </w:r>
            <w:r w:rsidRPr="00B04C95">
              <w:t>s included in the element/performance criteria in this unit are fully described in the Definitions Section 1 of this volume and form an integral part of the Range Statement of this unit:</w:t>
            </w:r>
          </w:p>
          <w:p w:rsidR="00000000" w:rsidRPr="00B04C95" w:rsidP="00B04C95">
            <w:pPr>
              <w:pStyle w:val="ListBullet3"/>
            </w:pPr>
            <w:r w:rsidRPr="00B04C95">
              <w:t>Appropriate and relevant persons (see Personnel)</w:t>
            </w:r>
          </w:p>
          <w:p w:rsidR="00000000" w:rsidRPr="00B04C95" w:rsidP="00B04C95">
            <w:pPr>
              <w:pStyle w:val="ListBullet3"/>
            </w:pPr>
            <w:r w:rsidRPr="00B04C95">
              <w:t>Appropriate authorities</w:t>
            </w:r>
          </w:p>
          <w:p w:rsidR="00000000" w:rsidRPr="00B04C95" w:rsidP="00B04C95">
            <w:pPr>
              <w:pStyle w:val="ListBullet3"/>
            </w:pPr>
            <w:r w:rsidRPr="00B04C95">
              <w:t>Appropriate work platform</w:t>
            </w:r>
          </w:p>
          <w:p w:rsidR="00000000" w:rsidRPr="00B04C95" w:rsidP="00B04C95">
            <w:pPr>
              <w:pStyle w:val="ListBullet3"/>
            </w:pPr>
            <w:r w:rsidRPr="00B04C95">
              <w:t>Assessing risk</w:t>
            </w:r>
          </w:p>
          <w:p w:rsidR="00000000" w:rsidRPr="00B04C95" w:rsidP="00B04C95">
            <w:pPr>
              <w:pStyle w:val="ListBullet3"/>
            </w:pPr>
            <w:r w:rsidRPr="00B04C95">
              <w:t>Assessment</w:t>
            </w:r>
          </w:p>
          <w:p w:rsidR="00000000" w:rsidRPr="00B04C95" w:rsidP="00B04C95">
            <w:pPr>
              <w:pStyle w:val="ListBullet3"/>
            </w:pPr>
            <w:r w:rsidRPr="00B04C95">
              <w:t>Authorisation</w:t>
            </w:r>
          </w:p>
          <w:p w:rsidR="00000000" w:rsidRPr="00B04C95" w:rsidP="00B04C95">
            <w:pPr>
              <w:pStyle w:val="ListBullet3"/>
            </w:pPr>
            <w:r w:rsidRPr="00B04C95">
              <w:t>Confined space</w:t>
            </w:r>
          </w:p>
          <w:p w:rsidR="00000000" w:rsidRPr="00B04C95" w:rsidP="00B04C95">
            <w:pPr>
              <w:pStyle w:val="ListBullet3"/>
            </w:pPr>
            <w:r w:rsidRPr="00B04C95">
              <w:t>Diagnostic, testing and restoration</w:t>
            </w:r>
          </w:p>
          <w:p w:rsidR="00000000" w:rsidRPr="00B04C95" w:rsidP="00B04C95">
            <w:pPr>
              <w:pStyle w:val="ListBullet3"/>
            </w:pPr>
            <w:r w:rsidRPr="00B04C95">
              <w:t>Documenting detail work events, record keeping and or storage of information</w:t>
            </w:r>
          </w:p>
          <w:p w:rsidR="00000000" w:rsidRPr="00B04C95" w:rsidP="00B04C95">
            <w:pPr>
              <w:pStyle w:val="ListBullet3"/>
            </w:pPr>
            <w:r w:rsidRPr="00B04C95">
              <w:t>Drawings and specifications</w:t>
            </w:r>
          </w:p>
          <w:p w:rsidR="00000000" w:rsidRPr="00B04C95" w:rsidP="00B04C95">
            <w:pPr>
              <w:pStyle w:val="ListBullet3"/>
            </w:pPr>
            <w:r w:rsidRPr="00B04C95">
              <w:t>Emergency</w:t>
            </w:r>
          </w:p>
          <w:p w:rsidR="00000000" w:rsidRPr="00B04C95" w:rsidP="00B04C95">
            <w:pPr>
              <w:pStyle w:val="ListBullet3"/>
            </w:pPr>
            <w:r w:rsidRPr="00B04C95">
              <w:t>Environmental and sustainable energy procedures</w:t>
            </w:r>
          </w:p>
          <w:p w:rsidR="00000000" w:rsidRPr="00B04C95" w:rsidP="00B04C95">
            <w:pPr>
              <w:pStyle w:val="ListBullet3"/>
            </w:pPr>
            <w:r w:rsidRPr="00B04C95">
              <w:t>Environmental legislation</w:t>
            </w:r>
          </w:p>
          <w:p w:rsidR="00000000" w:rsidRPr="00B04C95" w:rsidP="00B04C95">
            <w:pPr>
              <w:pStyle w:val="ListBullet3"/>
            </w:pPr>
            <w:r w:rsidRPr="00B04C95">
              <w:t>Environmental management documentation</w:t>
            </w:r>
          </w:p>
          <w:p w:rsidR="00000000" w:rsidRPr="00B04C95" w:rsidP="00B04C95">
            <w:pPr>
              <w:pStyle w:val="ListBullet3"/>
            </w:pPr>
            <w:r w:rsidRPr="00B04C95">
              <w:t>Established procedures</w:t>
            </w:r>
          </w:p>
          <w:p w:rsidR="00000000" w:rsidRPr="00B04C95" w:rsidP="00B04C95">
            <w:pPr>
              <w:pStyle w:val="ListBullet3"/>
            </w:pPr>
            <w:r w:rsidRPr="00B04C95">
              <w:t>Fall prevention</w:t>
            </w:r>
          </w:p>
          <w:p w:rsidR="00000000" w:rsidRPr="00B04C95" w:rsidP="00B04C95">
            <w:pPr>
              <w:pStyle w:val="ListBullet3"/>
            </w:pPr>
            <w:r w:rsidRPr="00B04C95">
              <w:t>Hazards</w:t>
            </w:r>
          </w:p>
          <w:p w:rsidR="00000000" w:rsidRPr="00B04C95" w:rsidP="00B04C95">
            <w:pPr>
              <w:pStyle w:val="ListBullet3"/>
            </w:pPr>
            <w:r w:rsidRPr="00B04C95">
              <w:t>Identifying hazards</w:t>
            </w:r>
          </w:p>
          <w:p w:rsidR="00000000" w:rsidRPr="00B04C95" w:rsidP="00B04C95">
            <w:pPr>
              <w:pStyle w:val="ListBullet3"/>
            </w:pPr>
            <w:r w:rsidRPr="00B04C95">
              <w:t>Inspect</w:t>
            </w:r>
          </w:p>
          <w:p w:rsidR="00000000" w:rsidRPr="00B04C95" w:rsidP="00B04C95">
            <w:pPr>
              <w:pStyle w:val="ListBullet3"/>
            </w:pPr>
            <w:r w:rsidRPr="00B04C95">
              <w:t>Legislation</w:t>
            </w:r>
          </w:p>
          <w:p w:rsidR="00000000" w:rsidRPr="00B04C95" w:rsidP="00B04C95">
            <w:pPr>
              <w:pStyle w:val="ListBullet3"/>
            </w:pPr>
            <w:r w:rsidRPr="00B04C95">
              <w:t>MSDS</w:t>
            </w:r>
          </w:p>
          <w:p w:rsidR="00000000" w:rsidRPr="00B04C95" w:rsidP="00B04C95">
            <w:pPr>
              <w:pStyle w:val="ListBullet3"/>
            </w:pPr>
            <w:r w:rsidRPr="00B04C95">
              <w:t>Notification.</w:t>
            </w:r>
          </w:p>
          <w:p w:rsidR="00000000" w:rsidRPr="00B04C95" w:rsidP="00B04C95">
            <w:pPr>
              <w:pStyle w:val="ListBullet3"/>
            </w:pPr>
            <w:r w:rsidRPr="00B04C95">
              <w:t>OHS practices</w:t>
            </w:r>
          </w:p>
          <w:p w:rsidR="00000000" w:rsidRPr="00B04C95" w:rsidP="00B04C95">
            <w:pPr>
              <w:pStyle w:val="ListBullet3"/>
            </w:pPr>
            <w:r w:rsidRPr="00B04C95">
              <w:t>OHS issues</w:t>
            </w:r>
          </w:p>
          <w:p w:rsidR="00000000" w:rsidRPr="00B04C95" w:rsidP="00B04C95">
            <w:pPr>
              <w:pStyle w:val="ListBullet3"/>
            </w:pPr>
            <w:r w:rsidRPr="00B04C95">
              <w:t>Permits and/or permits to work</w:t>
            </w:r>
          </w:p>
          <w:p w:rsidR="00000000" w:rsidRPr="00B04C95" w:rsidP="00B04C95">
            <w:pPr>
              <w:pStyle w:val="ListBullet3"/>
            </w:pPr>
            <w:r w:rsidRPr="00B04C95">
              <w:t>Personnel</w:t>
            </w:r>
          </w:p>
          <w:p w:rsidR="00000000" w:rsidRPr="00B04C95" w:rsidP="00B04C95">
            <w:pPr>
              <w:pStyle w:val="ListBullet3"/>
            </w:pPr>
            <w:r w:rsidRPr="00B04C95">
              <w:t>Quality assurance systems</w:t>
            </w:r>
          </w:p>
          <w:p w:rsidR="00000000" w:rsidRPr="00B04C95" w:rsidP="00B04C95">
            <w:pPr>
              <w:pStyle w:val="ListBullet3"/>
            </w:pPr>
            <w:r w:rsidRPr="00B04C95">
              <w:t>Requirements</w:t>
            </w:r>
          </w:p>
          <w:p w:rsidR="00000000" w:rsidRPr="00B04C95" w:rsidP="00B04C95">
            <w:pPr>
              <w:pStyle w:val="ListBullet3"/>
            </w:pPr>
            <w:r w:rsidRPr="00B04C95">
              <w:t>Testing procedures</w:t>
            </w:r>
          </w:p>
          <w:p w:rsidR="00000000" w:rsidRPr="00B04C95" w:rsidP="00B04C95">
            <w:pPr>
              <w:pStyle w:val="ListBullet3"/>
            </w:pPr>
            <w:r w:rsidRPr="00B04C95">
              <w:t>Work clearance systems</w:t>
            </w:r>
          </w:p>
        </w:tc>
      </w:tr>
    </w:tbl>
    <w:p w:rsidR="00000000" w:rsidRPr="00B04C95" w:rsidP="00B04C95">
      <w:pPr>
        <w:pStyle w:val="BodyText"/>
      </w:pPr>
    </w:p>
    <w:p w:rsidR="00000000" w:rsidRPr="00B04C95" w:rsidP="00B04C95">
      <w:pPr>
        <w:pStyle w:val="AllowPageBreak"/>
      </w:pPr>
    </w:p>
    <w:p w:rsidR="00000000" w:rsidRPr="00B04C95" w:rsidP="00B04C95">
      <w:pPr>
        <w:pStyle w:val="Heading1"/>
      </w:pPr>
      <w:bookmarkStart w:id="12" w:name="O_461987"/>
      <w:bookmarkEnd w:id="12"/>
      <w:r w:rsidRPr="00B04C95">
        <w:t>Unit Sector(s)</w:t>
      </w:r>
    </w:p>
    <w:p w:rsidR="00000000" w:rsidRPr="00B04C95" w:rsidP="00B04C95">
      <w:pPr>
        <w:pStyle w:val="BodyText"/>
      </w:pPr>
      <w:r w:rsidRPr="00B04C95">
        <w:t>Not applicable.</w:t>
      </w:r>
    </w:p>
    <w:p w:rsidR="00000000" w:rsidRPr="00B04C95" w:rsidP="00B04C95">
      <w:pPr>
        <w:pStyle w:val="AllowPageBreak"/>
      </w:pPr>
    </w:p>
    <w:p w:rsidR="00000000" w:rsidRPr="00B04C95" w:rsidP="00B04C95">
      <w:pPr>
        <w:pStyle w:val="Heading1"/>
      </w:pPr>
      <w:bookmarkStart w:id="13" w:name="O_461976"/>
      <w:bookmarkEnd w:id="13"/>
      <w:r w:rsidRPr="00B04C95">
        <w:t>Competency Field</w:t>
      </w:r>
    </w:p>
    <w:tbl>
      <w:tblPr>
        <w:tblW w:w="0" w:type="auto"/>
        <w:tblLayout w:type="fixed"/>
        <w:tblCellMar>
          <w:left w:w="62" w:type="dxa"/>
          <w:right w:w="62" w:type="dxa"/>
        </w:tblCellMar>
        <w:tblLook w:val="0000"/>
      </w:tblPr>
      <w:tblGrid>
        <w:gridCol w:w="2700"/>
        <w:gridCol w:w="5760"/>
      </w:tblGrid>
      <w:tr w:rsidTr="001A32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4C95">
            <w:pPr>
              <w:pStyle w:val="BodyText"/>
              <w:rPr>
                <w:lang w:val="en-NZ"/>
              </w:rPr>
            </w:pPr>
            <w:r w:rsidRPr="00B04C95">
              <w:rPr>
                <w:rStyle w:val="SpecialBold"/>
              </w:rPr>
              <w:t xml:space="preserve">11) </w:t>
            </w:r>
          </w:p>
        </w:tc>
      </w:tr>
      <w:tr w:rsidTr="001A32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C95" w:rsidP="00B04C95">
            <w:pPr>
              <w:pStyle w:val="BodyText"/>
            </w:pPr>
            <w:r w:rsidRPr="00B04C95">
              <w:t>Cable Jointing</w:t>
            </w:r>
          </w:p>
        </w:tc>
      </w:tr>
    </w:tbl>
    <w:p w:rsidR="00000000" w:rsidRPr="00B04C95" w:rsidP="00B04C95">
      <w:pPr>
        <w:pStyle w:val="BodyText"/>
      </w:pPr>
    </w:p>
    <w:p w:rsidR="00000000" w:rsidRPr="00B04C95" w:rsidP="00B04C95"/>
    <w:sectPr w:rsidSect="00B04C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2AA" w:rsidP="001A32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AA" w:rsidP="00B04C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A32AA" w:rsidP="00B04C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A32AA" w:rsidP="00B04C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95" w:rsidRPr="001A32AA" w:rsidP="001A32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AA" w:rsidRPr="002D2AF8" w:rsidP="00B04C95">
    <w:pPr>
      <w:pStyle w:val="Header"/>
      <w:framePr w:wrap="around"/>
    </w:pPr>
    <w:r>
      <w:fldChar w:fldCharType="begin"/>
    </w:r>
    <w:r>
      <w:instrText xml:space="preserve"> TITLE   \* MERGEFORMAT </w:instrText>
    </w:r>
    <w:r>
      <w:fldChar w:fldCharType="separate"/>
    </w:r>
    <w:r>
      <w:t>UETTDRCJ32A Install and maintain gas and oil pressure systems for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A32AA" w:rsidP="00B04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28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05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4E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C95"/>
    <w:pPr>
      <w:spacing w:before="360" w:after="60"/>
      <w:outlineLvl w:val="0"/>
    </w:pPr>
    <w:rPr>
      <w:sz w:val="32"/>
    </w:rPr>
  </w:style>
  <w:style w:type="paragraph" w:styleId="Heading2">
    <w:name w:val="heading 2"/>
    <w:basedOn w:val="HeadingBase"/>
    <w:next w:val="BodyText"/>
    <w:link w:val="Heading2Char"/>
    <w:qFormat/>
    <w:rsid w:val="00B04C95"/>
    <w:pPr>
      <w:keepLines/>
      <w:spacing w:before="240" w:after="120"/>
      <w:outlineLvl w:val="1"/>
    </w:pPr>
    <w:rPr>
      <w:sz w:val="28"/>
      <w:szCs w:val="40"/>
    </w:rPr>
  </w:style>
  <w:style w:type="paragraph" w:styleId="Heading3">
    <w:name w:val="heading 3"/>
    <w:basedOn w:val="HeadingBase"/>
    <w:next w:val="BodyText"/>
    <w:link w:val="Heading3Char"/>
    <w:qFormat/>
    <w:rsid w:val="00B04C95"/>
    <w:pPr>
      <w:spacing w:before="180" w:after="120"/>
      <w:outlineLvl w:val="2"/>
    </w:pPr>
    <w:rPr>
      <w:spacing w:val="-10"/>
      <w:kern w:val="32"/>
    </w:rPr>
  </w:style>
  <w:style w:type="paragraph" w:styleId="Heading4">
    <w:name w:val="heading 4"/>
    <w:basedOn w:val="HeadingBase"/>
    <w:next w:val="BodyText"/>
    <w:link w:val="Heading4Char"/>
    <w:qFormat/>
    <w:rsid w:val="00B04C95"/>
    <w:pPr>
      <w:spacing w:before="160" w:after="120"/>
      <w:outlineLvl w:val="3"/>
    </w:pPr>
    <w:rPr>
      <w:sz w:val="22"/>
    </w:rPr>
  </w:style>
  <w:style w:type="paragraph" w:styleId="Heading5">
    <w:name w:val="heading 5"/>
    <w:basedOn w:val="HeadingBase"/>
    <w:next w:val="Normal"/>
    <w:link w:val="Heading5Char"/>
    <w:qFormat/>
    <w:rsid w:val="00B04C95"/>
    <w:pPr>
      <w:spacing w:before="80"/>
      <w:outlineLvl w:val="4"/>
    </w:pPr>
    <w:rPr>
      <w:color w:val="918585"/>
      <w:sz w:val="20"/>
    </w:rPr>
  </w:style>
  <w:style w:type="paragraph" w:styleId="Heading6">
    <w:name w:val="heading 6"/>
    <w:basedOn w:val="HeadingBase"/>
    <w:next w:val="Normal"/>
    <w:link w:val="Heading6Char"/>
    <w:qFormat/>
    <w:rsid w:val="00B04C95"/>
    <w:pPr>
      <w:spacing w:before="60"/>
      <w:outlineLvl w:val="5"/>
    </w:pPr>
    <w:rPr>
      <w:color w:val="918585"/>
      <w:sz w:val="20"/>
    </w:rPr>
  </w:style>
  <w:style w:type="paragraph" w:styleId="Heading7">
    <w:name w:val="heading 7"/>
    <w:basedOn w:val="Normal"/>
    <w:next w:val="Normal"/>
    <w:link w:val="Heading7Char"/>
    <w:qFormat/>
    <w:rsid w:val="00B04C95"/>
    <w:pPr>
      <w:ind w:left="720"/>
      <w:outlineLvl w:val="6"/>
    </w:pPr>
    <w:rPr>
      <w:i/>
    </w:rPr>
  </w:style>
  <w:style w:type="paragraph" w:styleId="Heading8">
    <w:name w:val="heading 8"/>
    <w:basedOn w:val="Normal"/>
    <w:next w:val="Normal"/>
    <w:link w:val="Heading8Char"/>
    <w:qFormat/>
    <w:rsid w:val="00B04C95"/>
    <w:pPr>
      <w:ind w:left="720"/>
      <w:outlineLvl w:val="7"/>
    </w:pPr>
    <w:rPr>
      <w:i/>
    </w:rPr>
  </w:style>
  <w:style w:type="paragraph" w:styleId="Heading9">
    <w:name w:val="heading 9"/>
    <w:basedOn w:val="Normal"/>
    <w:next w:val="Normal"/>
    <w:link w:val="Heading9Char"/>
    <w:qFormat/>
    <w:rsid w:val="00B04C95"/>
    <w:pPr>
      <w:ind w:left="720"/>
      <w:outlineLvl w:val="8"/>
    </w:pPr>
    <w:rPr>
      <w:i/>
    </w:rPr>
  </w:style>
  <w:style w:type="character" w:default="1" w:styleId="DefaultParagraphFont">
    <w:name w:val="Default Paragraph Font"/>
    <w:uiPriority w:val="1"/>
    <w:unhideWhenUsed/>
    <w:rsid w:val="00B04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C95"/>
  </w:style>
  <w:style w:type="character" w:customStyle="1" w:styleId="Heading1Char">
    <w:name w:val="Heading 1 Char"/>
    <w:basedOn w:val="DefaultParagraphFont"/>
    <w:link w:val="Heading1"/>
    <w:rsid w:val="00B04C95"/>
    <w:rPr>
      <w:rFonts w:ascii="Times New Roman" w:eastAsia="Times New Roman" w:hAnsi="Times New Roman" w:cs="Times New Roman"/>
      <w:b/>
      <w:sz w:val="32"/>
      <w:szCs w:val="20"/>
      <w:lang w:eastAsia="en-US"/>
    </w:rPr>
  </w:style>
  <w:style w:type="paragraph" w:styleId="BodyText">
    <w:name w:val="Body Text"/>
    <w:basedOn w:val="Normal"/>
    <w:link w:val="BodyTextChar"/>
    <w:rsid w:val="00B04C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C95"/>
    <w:rPr>
      <w:rFonts w:ascii="Times New Roman" w:eastAsia="Times New Roman" w:hAnsi="Times New Roman" w:cs="Times New Roman"/>
      <w:sz w:val="24"/>
      <w:lang w:eastAsia="en-US"/>
    </w:rPr>
  </w:style>
  <w:style w:type="paragraph" w:styleId="Footer">
    <w:name w:val="footer"/>
    <w:basedOn w:val="Normal"/>
    <w:link w:val="FooterChar"/>
    <w:rsid w:val="00B04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C95"/>
    <w:rPr>
      <w:rFonts w:ascii="Times New Roman" w:eastAsia="Times New Roman" w:hAnsi="Times New Roman" w:cs="Times New Roman"/>
      <w:sz w:val="16"/>
      <w:lang w:eastAsia="en-US"/>
    </w:rPr>
  </w:style>
  <w:style w:type="paragraph" w:styleId="ListBullet">
    <w:name w:val="List Bullet"/>
    <w:basedOn w:val="List"/>
    <w:rsid w:val="00B04C95"/>
    <w:pPr>
      <w:numPr>
        <w:numId w:val="14"/>
      </w:numPr>
      <w:tabs>
        <w:tab w:val="clear" w:pos="340"/>
      </w:tabs>
      <w:spacing w:before="40" w:after="40"/>
    </w:pPr>
  </w:style>
  <w:style w:type="character" w:customStyle="1" w:styleId="SpecialBold">
    <w:name w:val="Special Bold"/>
    <w:basedOn w:val="DefaultParagraphFont"/>
    <w:rsid w:val="00B04C95"/>
    <w:rPr>
      <w:b/>
      <w:spacing w:val="0"/>
    </w:rPr>
  </w:style>
  <w:style w:type="paragraph" w:styleId="ListBullet2">
    <w:name w:val="List Bullet 2"/>
    <w:basedOn w:val="List2"/>
    <w:rsid w:val="00B04C95"/>
    <w:pPr>
      <w:numPr>
        <w:numId w:val="15"/>
      </w:numPr>
      <w:tabs>
        <w:tab w:val="clear" w:pos="680"/>
      </w:tabs>
    </w:pPr>
  </w:style>
  <w:style w:type="paragraph" w:customStyle="1" w:styleId="SuperHeading">
    <w:name w:val="SuperHeading"/>
    <w:basedOn w:val="Normal"/>
    <w:rsid w:val="00B04C95"/>
    <w:pPr>
      <w:spacing w:before="240" w:after="120"/>
      <w:outlineLvl w:val="0"/>
    </w:pPr>
    <w:rPr>
      <w:rFonts w:ascii="Times New Roman" w:hAnsi="Times New Roman"/>
      <w:b/>
      <w:sz w:val="28"/>
    </w:rPr>
  </w:style>
  <w:style w:type="paragraph" w:customStyle="1" w:styleId="AllowPageBreak">
    <w:name w:val="AllowPageBreak"/>
    <w:rsid w:val="00B04C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4C95"/>
    <w:pPr>
      <w:numPr>
        <w:numId w:val="3"/>
      </w:numPr>
      <w:tabs>
        <w:tab w:val="clear" w:pos="1021"/>
      </w:tabs>
      <w:ind w:left="1037" w:hanging="357"/>
    </w:pPr>
  </w:style>
  <w:style w:type="character" w:customStyle="1" w:styleId="Heading2Char">
    <w:name w:val="Heading 2 Char"/>
    <w:basedOn w:val="DefaultParagraphFont"/>
    <w:link w:val="Heading2"/>
    <w:rsid w:val="00B04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C95"/>
    <w:rPr>
      <w:rFonts w:ascii="Courier New" w:eastAsia="Times New Roman" w:hAnsi="Courier New" w:cs="Times New Roman"/>
      <w:i/>
      <w:szCs w:val="20"/>
      <w:lang w:eastAsia="en-US"/>
    </w:rPr>
  </w:style>
  <w:style w:type="paragraph" w:customStyle="1" w:styleId="HeadingBase">
    <w:name w:val="Heading Base"/>
    <w:rsid w:val="00B04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C95"/>
    <w:pPr>
      <w:tabs>
        <w:tab w:val="right" w:leader="dot" w:pos="9072"/>
      </w:tabs>
      <w:ind w:left="567"/>
    </w:pPr>
    <w:rPr>
      <w:szCs w:val="22"/>
    </w:rPr>
  </w:style>
  <w:style w:type="paragraph" w:customStyle="1" w:styleId="TOCBase">
    <w:name w:val="TOC Base"/>
    <w:rsid w:val="00B04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C95"/>
    <w:pPr>
      <w:tabs>
        <w:tab w:val="right" w:leader="dot" w:pos="9072"/>
      </w:tabs>
      <w:spacing w:before="40" w:after="40"/>
      <w:ind w:left="284"/>
    </w:pPr>
    <w:rPr>
      <w:rFonts w:ascii="Times New Roman" w:hAnsi="Times New Roman"/>
    </w:rPr>
  </w:style>
  <w:style w:type="paragraph" w:styleId="TOC1">
    <w:name w:val="toc 1"/>
    <w:basedOn w:val="TOCBase"/>
    <w:next w:val="Normal"/>
    <w:rsid w:val="00B04C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C95"/>
    <w:pPr>
      <w:spacing w:before="5040"/>
      <w:jc w:val="center"/>
    </w:pPr>
    <w:rPr>
      <w:sz w:val="48"/>
      <w:szCs w:val="72"/>
      <w:lang w:val="en-US"/>
    </w:rPr>
  </w:style>
  <w:style w:type="character" w:customStyle="1" w:styleId="TitleChar">
    <w:name w:val="Title Char"/>
    <w:basedOn w:val="DefaultParagraphFont"/>
    <w:link w:val="Title"/>
    <w:rsid w:val="00B04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C95"/>
    <w:pPr>
      <w:tabs>
        <w:tab w:val="left" w:pos="3600"/>
        <w:tab w:val="left" w:pos="3958"/>
      </w:tabs>
    </w:pPr>
  </w:style>
  <w:style w:type="paragraph" w:styleId="List">
    <w:name w:val="List"/>
    <w:basedOn w:val="BodyText"/>
    <w:next w:val="BodyText"/>
    <w:rsid w:val="00B04C95"/>
    <w:pPr>
      <w:tabs>
        <w:tab w:val="left" w:pos="340"/>
      </w:tabs>
      <w:spacing w:before="60" w:after="60"/>
      <w:ind w:left="340" w:hanging="340"/>
    </w:pPr>
  </w:style>
  <w:style w:type="paragraph" w:customStyle="1" w:styleId="Note">
    <w:name w:val="Note"/>
    <w:basedOn w:val="BodyText"/>
    <w:rsid w:val="00B04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C95"/>
    <w:pPr>
      <w:framePr w:wrap="auto" w:hAnchor="text" w:y="6049"/>
    </w:pPr>
    <w:rPr>
      <w:color w:val="000000"/>
      <w:sz w:val="40"/>
    </w:rPr>
  </w:style>
  <w:style w:type="paragraph" w:customStyle="1" w:styleId="TOCTitle">
    <w:name w:val="TOCTitle"/>
    <w:basedOn w:val="Heading1"/>
    <w:rsid w:val="00B04C95"/>
    <w:pPr>
      <w:spacing w:after="240"/>
      <w:jc w:val="center"/>
      <w:outlineLvl w:val="9"/>
    </w:pPr>
    <w:rPr>
      <w:caps/>
    </w:rPr>
  </w:style>
  <w:style w:type="paragraph" w:customStyle="1" w:styleId="Version">
    <w:name w:val="Version"/>
    <w:rsid w:val="00B04C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C95"/>
    <w:pPr>
      <w:keepNext w:val="0"/>
      <w:tabs>
        <w:tab w:val="right" w:pos="4176"/>
      </w:tabs>
      <w:ind w:left="198" w:hanging="198"/>
    </w:pPr>
    <w:rPr>
      <w:rFonts w:ascii="Garamond" w:hAnsi="Garamond"/>
    </w:rPr>
  </w:style>
  <w:style w:type="paragraph" w:styleId="IndexHeading">
    <w:name w:val="index heading"/>
    <w:basedOn w:val="Normal"/>
    <w:next w:val="Index1"/>
    <w:semiHidden/>
    <w:rsid w:val="00B04C95"/>
    <w:pPr>
      <w:spacing w:before="120" w:after="120"/>
    </w:pPr>
    <w:rPr>
      <w:rFonts w:ascii="Arial" w:hAnsi="Arial"/>
      <w:b/>
      <w:color w:val="918585"/>
      <w:sz w:val="24"/>
    </w:rPr>
  </w:style>
  <w:style w:type="paragraph" w:styleId="Header">
    <w:name w:val="header"/>
    <w:basedOn w:val="Normal"/>
    <w:link w:val="HeaderChar"/>
    <w:rsid w:val="00B04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C95"/>
    <w:rPr>
      <w:rFonts w:ascii="Times New Roman" w:eastAsia="Times New Roman" w:hAnsi="Times New Roman" w:cs="Times New Roman"/>
      <w:sz w:val="16"/>
      <w:szCs w:val="20"/>
      <w:lang w:val="en-GB" w:eastAsia="en-US"/>
    </w:rPr>
  </w:style>
  <w:style w:type="paragraph" w:customStyle="1" w:styleId="Chapter">
    <w:name w:val="Chapter"/>
    <w:basedOn w:val="Normal"/>
    <w:rsid w:val="00B04C95"/>
    <w:pPr>
      <w:spacing w:before="240"/>
    </w:pPr>
    <w:rPr>
      <w:rFonts w:ascii="Times New Roman" w:hAnsi="Times New Roman"/>
      <w:smallCaps/>
      <w:spacing w:val="80"/>
      <w:sz w:val="28"/>
    </w:rPr>
  </w:style>
  <w:style w:type="paragraph" w:customStyle="1" w:styleId="InChapter">
    <w:name w:val="InChapter"/>
    <w:basedOn w:val="Heading3"/>
    <w:rsid w:val="00B04C95"/>
    <w:pPr>
      <w:spacing w:after="240"/>
      <w:outlineLvl w:val="9"/>
    </w:pPr>
    <w:rPr>
      <w:noProof/>
    </w:rPr>
  </w:style>
  <w:style w:type="paragraph" w:styleId="Index2">
    <w:name w:val="index 2"/>
    <w:basedOn w:val="Normal"/>
    <w:next w:val="Normal"/>
    <w:semiHidden/>
    <w:rsid w:val="00B04C95"/>
    <w:pPr>
      <w:tabs>
        <w:tab w:val="right" w:pos="4176"/>
      </w:tabs>
      <w:ind w:left="568" w:hanging="284"/>
    </w:pPr>
    <w:rPr>
      <w:rFonts w:ascii="Garamond" w:hAnsi="Garamond"/>
    </w:rPr>
  </w:style>
  <w:style w:type="paragraph" w:customStyle="1" w:styleId="Byline">
    <w:name w:val="Byline"/>
    <w:rsid w:val="00B04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C95"/>
    <w:pPr>
      <w:tabs>
        <w:tab w:val="clear" w:pos="3600"/>
        <w:tab w:val="clear" w:pos="3958"/>
      </w:tabs>
      <w:jc w:val="right"/>
    </w:pPr>
  </w:style>
  <w:style w:type="character" w:styleId="Emphasis">
    <w:name w:val="Emphasis"/>
    <w:basedOn w:val="DefaultParagraphFont"/>
    <w:qFormat/>
    <w:rsid w:val="00B04C95"/>
    <w:rPr>
      <w:i/>
    </w:rPr>
  </w:style>
  <w:style w:type="paragraph" w:styleId="Caption">
    <w:name w:val="caption"/>
    <w:basedOn w:val="BodyText"/>
    <w:next w:val="Normal"/>
    <w:qFormat/>
    <w:rsid w:val="00B04C95"/>
    <w:pPr>
      <w:framePr w:w="2268" w:hSpace="181" w:vSpace="181" w:wrap="around" w:vAnchor="text" w:hAnchor="page" w:x="1135" w:y="285" w:anchorLock="1"/>
    </w:pPr>
    <w:rPr>
      <w:i/>
    </w:rPr>
  </w:style>
  <w:style w:type="paragraph" w:customStyle="1" w:styleId="MiniTOCTitle">
    <w:name w:val="MiniTOCTitle"/>
    <w:basedOn w:val="Heading4"/>
    <w:rsid w:val="00B04C95"/>
    <w:pPr>
      <w:spacing w:before="240"/>
      <w:outlineLvl w:val="9"/>
    </w:pPr>
    <w:rPr>
      <w:noProof/>
      <w:sz w:val="24"/>
    </w:rPr>
  </w:style>
  <w:style w:type="paragraph" w:customStyle="1" w:styleId="MiniTOCItem">
    <w:name w:val="MiniTOCItem"/>
    <w:basedOn w:val="ListBullet"/>
    <w:rsid w:val="00B04C95"/>
    <w:pPr>
      <w:numPr>
        <w:numId w:val="0"/>
      </w:numPr>
      <w:tabs>
        <w:tab w:val="right" w:leader="dot" w:pos="6521"/>
      </w:tabs>
      <w:spacing w:before="0" w:after="0"/>
    </w:pPr>
  </w:style>
  <w:style w:type="paragraph" w:customStyle="1" w:styleId="TOFTitle">
    <w:name w:val="TOFTitle"/>
    <w:basedOn w:val="TOCTitle"/>
    <w:rsid w:val="00B04C95"/>
  </w:style>
  <w:style w:type="paragraph" w:styleId="TableofFigures">
    <w:name w:val="table of figures"/>
    <w:basedOn w:val="Normal"/>
    <w:next w:val="Normal"/>
    <w:semiHidden/>
    <w:rsid w:val="00B04C95"/>
    <w:pPr>
      <w:tabs>
        <w:tab w:val="right" w:leader="dot" w:pos="9072"/>
      </w:tabs>
      <w:ind w:left="970" w:hanging="403"/>
    </w:pPr>
    <w:rPr>
      <w:rFonts w:ascii="Times New Roman" w:hAnsi="Times New Roman"/>
      <w:b/>
    </w:rPr>
  </w:style>
  <w:style w:type="paragraph" w:styleId="ListNumber">
    <w:name w:val="List Number"/>
    <w:basedOn w:val="List"/>
    <w:rsid w:val="00B04C95"/>
    <w:pPr>
      <w:numPr>
        <w:numId w:val="12"/>
      </w:numPr>
    </w:pPr>
  </w:style>
  <w:style w:type="character" w:customStyle="1" w:styleId="WingdingSymbols">
    <w:name w:val="Wingding Symbols"/>
    <w:rsid w:val="00B04C95"/>
    <w:rPr>
      <w:rFonts w:ascii="Wingdings" w:hAnsi="Wingdings"/>
    </w:rPr>
  </w:style>
  <w:style w:type="paragraph" w:customStyle="1" w:styleId="TableHeading">
    <w:name w:val="Table Heading"/>
    <w:basedOn w:val="HeadingBase"/>
    <w:rsid w:val="00B04C95"/>
    <w:pPr>
      <w:keepLines/>
      <w:pBdr>
        <w:bottom w:val="single" w:sz="6" w:space="1" w:color="918585"/>
      </w:pBdr>
      <w:spacing w:before="240"/>
    </w:pPr>
  </w:style>
  <w:style w:type="character" w:customStyle="1" w:styleId="HotSpot">
    <w:name w:val="HotSpot"/>
    <w:rsid w:val="00B04C95"/>
    <w:rPr>
      <w:color w:val="0033CC"/>
      <w:u w:val="none"/>
    </w:rPr>
  </w:style>
  <w:style w:type="paragraph" w:customStyle="1" w:styleId="BodyTextRight">
    <w:name w:val="Body Text Right"/>
    <w:basedOn w:val="BodyText"/>
    <w:rsid w:val="00B04C95"/>
    <w:pPr>
      <w:spacing w:before="0" w:after="0"/>
      <w:jc w:val="right"/>
    </w:pPr>
  </w:style>
  <w:style w:type="paragraph" w:styleId="Index3">
    <w:name w:val="index 3"/>
    <w:basedOn w:val="ListNumber2"/>
    <w:next w:val="Normal"/>
    <w:semiHidden/>
    <w:rsid w:val="00B04C95"/>
    <w:pPr>
      <w:numPr>
        <w:numId w:val="0"/>
      </w:numPr>
      <w:tabs>
        <w:tab w:val="right" w:leader="dot" w:pos="4176"/>
      </w:tabs>
    </w:pPr>
  </w:style>
  <w:style w:type="paragraph" w:styleId="ListNumber2">
    <w:name w:val="List Number 2"/>
    <w:basedOn w:val="List2"/>
    <w:rsid w:val="00B04C95"/>
    <w:pPr>
      <w:numPr>
        <w:numId w:val="11"/>
      </w:numPr>
      <w:tabs>
        <w:tab w:val="clear" w:pos="1060"/>
      </w:tabs>
    </w:pPr>
  </w:style>
  <w:style w:type="paragraph" w:customStyle="1" w:styleId="MarginNote">
    <w:name w:val="Margin Note"/>
    <w:basedOn w:val="BodyText"/>
    <w:rsid w:val="00B04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C95"/>
    <w:rPr>
      <w:sz w:val="32"/>
    </w:rPr>
  </w:style>
  <w:style w:type="paragraph" w:customStyle="1" w:styleId="HeadingProcedure">
    <w:name w:val="Heading Procedure"/>
    <w:basedOn w:val="HeadingBase"/>
    <w:next w:val="Normal"/>
    <w:rsid w:val="00B04C95"/>
    <w:pPr>
      <w:tabs>
        <w:tab w:val="left" w:pos="0"/>
      </w:tabs>
      <w:spacing w:before="120" w:after="60"/>
    </w:pPr>
    <w:rPr>
      <w:i/>
      <w:color w:val="918585"/>
      <w:sz w:val="22"/>
    </w:rPr>
  </w:style>
  <w:style w:type="paragraph" w:customStyle="1" w:styleId="TableBodyText">
    <w:name w:val="Table Body Text"/>
    <w:basedOn w:val="BodyText"/>
    <w:rsid w:val="00B04C95"/>
    <w:pPr>
      <w:spacing w:before="60" w:after="60"/>
    </w:pPr>
  </w:style>
  <w:style w:type="paragraph" w:styleId="ListContinue">
    <w:name w:val="List Continue"/>
    <w:basedOn w:val="List"/>
    <w:rsid w:val="00B04C95"/>
    <w:pPr>
      <w:ind w:firstLine="0"/>
    </w:pPr>
  </w:style>
  <w:style w:type="paragraph" w:customStyle="1" w:styleId="ListNote">
    <w:name w:val="List Note"/>
    <w:basedOn w:val="List"/>
    <w:rsid w:val="00B04C95"/>
    <w:pPr>
      <w:pBdr>
        <w:top w:val="single" w:sz="6" w:space="2" w:color="918585"/>
        <w:bottom w:val="single" w:sz="6" w:space="2" w:color="918585"/>
      </w:pBdr>
      <w:tabs>
        <w:tab w:val="left" w:pos="1021"/>
      </w:tabs>
      <w:ind w:firstLine="0"/>
    </w:pPr>
  </w:style>
  <w:style w:type="paragraph" w:customStyle="1" w:styleId="Warning">
    <w:name w:val="Warning"/>
    <w:basedOn w:val="BodyText"/>
    <w:rsid w:val="00B04C95"/>
    <w:pPr>
      <w:shd w:val="clear" w:color="auto" w:fill="D9D9D9"/>
      <w:tabs>
        <w:tab w:val="left" w:pos="992"/>
      </w:tabs>
      <w:ind w:left="119" w:right="119"/>
    </w:pPr>
    <w:rPr>
      <w:sz w:val="20"/>
    </w:rPr>
  </w:style>
  <w:style w:type="paragraph" w:customStyle="1" w:styleId="MarginIcons">
    <w:name w:val="Margin Icons"/>
    <w:basedOn w:val="BodyText"/>
    <w:rsid w:val="00B04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C95"/>
    <w:rPr>
      <w:rFonts w:ascii="Courier New" w:hAnsi="Courier New"/>
    </w:rPr>
  </w:style>
  <w:style w:type="paragraph" w:customStyle="1" w:styleId="NoteBullet">
    <w:name w:val="Note Bullet"/>
    <w:basedOn w:val="Note"/>
    <w:rsid w:val="00B04C95"/>
    <w:pPr>
      <w:tabs>
        <w:tab w:val="clear" w:pos="680"/>
      </w:tabs>
      <w:spacing w:before="60" w:after="60"/>
    </w:pPr>
  </w:style>
  <w:style w:type="paragraph" w:customStyle="1" w:styleId="SubHeading2">
    <w:name w:val="SubHeading2"/>
    <w:basedOn w:val="HeadingBase"/>
    <w:rsid w:val="00B04C95"/>
    <w:pPr>
      <w:spacing w:before="240" w:after="60"/>
    </w:pPr>
    <w:rPr>
      <w:sz w:val="20"/>
    </w:rPr>
  </w:style>
  <w:style w:type="paragraph" w:customStyle="1" w:styleId="SubHeading1">
    <w:name w:val="SubHeading1"/>
    <w:basedOn w:val="HeadingBase"/>
    <w:rsid w:val="00B04C95"/>
    <w:pPr>
      <w:spacing w:before="240" w:after="60"/>
    </w:pPr>
    <w:rPr>
      <w:color w:val="918585"/>
      <w:sz w:val="22"/>
    </w:rPr>
  </w:style>
  <w:style w:type="paragraph" w:customStyle="1" w:styleId="SideHeading">
    <w:name w:val="Side Heading"/>
    <w:basedOn w:val="HeadingBase"/>
    <w:rsid w:val="00B04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C95"/>
    <w:pPr>
      <w:numPr>
        <w:numId w:val="13"/>
      </w:numPr>
    </w:pPr>
  </w:style>
  <w:style w:type="paragraph" w:styleId="PlainText">
    <w:name w:val="Plain Text"/>
    <w:basedOn w:val="Normal"/>
    <w:link w:val="PlainTextChar"/>
    <w:rsid w:val="00B04C95"/>
    <w:rPr>
      <w:sz w:val="20"/>
    </w:rPr>
  </w:style>
  <w:style w:type="character" w:customStyle="1" w:styleId="PlainTextChar">
    <w:name w:val="Plain Text Char"/>
    <w:basedOn w:val="DefaultParagraphFont"/>
    <w:link w:val="PlainText"/>
    <w:rsid w:val="00B04C95"/>
    <w:rPr>
      <w:rFonts w:ascii="Courier New" w:eastAsia="Times New Roman" w:hAnsi="Courier New" w:cs="Times New Roman"/>
      <w:sz w:val="20"/>
      <w:szCs w:val="20"/>
      <w:lang w:eastAsia="en-US"/>
    </w:rPr>
  </w:style>
  <w:style w:type="character" w:customStyle="1" w:styleId="MenuOption">
    <w:name w:val="Menu Option"/>
    <w:basedOn w:val="DefaultParagraphFont"/>
    <w:rsid w:val="00B04C95"/>
    <w:rPr>
      <w:b/>
      <w:smallCaps/>
    </w:rPr>
  </w:style>
  <w:style w:type="paragraph" w:customStyle="1" w:styleId="TableListNumber">
    <w:name w:val="Table List Number"/>
    <w:basedOn w:val="ListNumber"/>
    <w:rsid w:val="00B04C95"/>
    <w:pPr>
      <w:numPr>
        <w:numId w:val="0"/>
      </w:numPr>
    </w:pPr>
  </w:style>
  <w:style w:type="paragraph" w:styleId="TOC4">
    <w:name w:val="toc 4"/>
    <w:basedOn w:val="TOCBase"/>
    <w:next w:val="Normal"/>
    <w:semiHidden/>
    <w:rsid w:val="00B04C95"/>
    <w:pPr>
      <w:tabs>
        <w:tab w:val="right" w:leader="dot" w:pos="9071"/>
      </w:tabs>
      <w:ind w:left="1701"/>
    </w:pPr>
  </w:style>
  <w:style w:type="paragraph" w:customStyle="1" w:styleId="ListAlpha">
    <w:name w:val="List Alpha"/>
    <w:basedOn w:val="List"/>
    <w:rsid w:val="00B04C95"/>
    <w:pPr>
      <w:numPr>
        <w:numId w:val="10"/>
      </w:numPr>
    </w:pPr>
  </w:style>
  <w:style w:type="paragraph" w:customStyle="1" w:styleId="ListAlpha2">
    <w:name w:val="List Alpha 2"/>
    <w:basedOn w:val="List2"/>
    <w:rsid w:val="00B04C95"/>
    <w:pPr>
      <w:numPr>
        <w:numId w:val="9"/>
      </w:numPr>
    </w:pPr>
  </w:style>
  <w:style w:type="paragraph" w:styleId="List2">
    <w:name w:val="List 2"/>
    <w:basedOn w:val="BodyText"/>
    <w:rsid w:val="00B04C95"/>
    <w:pPr>
      <w:tabs>
        <w:tab w:val="left" w:pos="680"/>
      </w:tabs>
      <w:spacing w:before="60" w:after="60"/>
      <w:ind w:left="680" w:hanging="340"/>
    </w:pPr>
  </w:style>
  <w:style w:type="paragraph" w:styleId="List3">
    <w:name w:val="List 3"/>
    <w:basedOn w:val="BodyText"/>
    <w:rsid w:val="00B04C95"/>
    <w:pPr>
      <w:tabs>
        <w:tab w:val="left" w:pos="1021"/>
      </w:tabs>
      <w:spacing w:before="60" w:after="60"/>
      <w:ind w:left="1020" w:hanging="340"/>
    </w:pPr>
  </w:style>
  <w:style w:type="paragraph" w:styleId="List4">
    <w:name w:val="List 4"/>
    <w:basedOn w:val="BodyText"/>
    <w:rsid w:val="00B04C95"/>
    <w:pPr>
      <w:tabs>
        <w:tab w:val="left" w:pos="1361"/>
      </w:tabs>
      <w:spacing w:before="60" w:after="60"/>
      <w:ind w:left="1361" w:hanging="340"/>
    </w:pPr>
  </w:style>
  <w:style w:type="paragraph" w:styleId="List5">
    <w:name w:val="List 5"/>
    <w:basedOn w:val="BodyText"/>
    <w:rsid w:val="00B04C95"/>
    <w:pPr>
      <w:tabs>
        <w:tab w:val="left" w:pos="1701"/>
      </w:tabs>
      <w:spacing w:before="60" w:after="60"/>
      <w:ind w:left="1701" w:hanging="340"/>
    </w:pPr>
  </w:style>
  <w:style w:type="paragraph" w:styleId="ListBullet4">
    <w:name w:val="List Bullet 4"/>
    <w:basedOn w:val="List4"/>
    <w:rsid w:val="00B04C95"/>
    <w:pPr>
      <w:numPr>
        <w:numId w:val="4"/>
      </w:numPr>
    </w:pPr>
  </w:style>
  <w:style w:type="paragraph" w:styleId="ListBullet5">
    <w:name w:val="List Bullet 5"/>
    <w:basedOn w:val="List5"/>
    <w:rsid w:val="00B04C95"/>
    <w:pPr>
      <w:numPr>
        <w:numId w:val="5"/>
      </w:numPr>
    </w:pPr>
  </w:style>
  <w:style w:type="paragraph" w:styleId="ListContinue2">
    <w:name w:val="List Continue 2"/>
    <w:basedOn w:val="List2"/>
    <w:rsid w:val="00B04C95"/>
    <w:pPr>
      <w:ind w:firstLine="0"/>
    </w:pPr>
  </w:style>
  <w:style w:type="paragraph" w:styleId="ListContinue3">
    <w:name w:val="List Continue 3"/>
    <w:basedOn w:val="List3"/>
    <w:rsid w:val="00B04C95"/>
    <w:pPr>
      <w:ind w:left="1021" w:firstLine="0"/>
    </w:pPr>
  </w:style>
  <w:style w:type="paragraph" w:styleId="ListContinue4">
    <w:name w:val="List Continue 4"/>
    <w:basedOn w:val="List4"/>
    <w:rsid w:val="00B04C95"/>
    <w:pPr>
      <w:ind w:firstLine="0"/>
    </w:pPr>
  </w:style>
  <w:style w:type="paragraph" w:styleId="ListContinue5">
    <w:name w:val="List Continue 5"/>
    <w:basedOn w:val="List5"/>
    <w:rsid w:val="00B04C95"/>
    <w:pPr>
      <w:ind w:firstLine="0"/>
    </w:pPr>
  </w:style>
  <w:style w:type="paragraph" w:styleId="ListNumber3">
    <w:name w:val="List Number 3"/>
    <w:basedOn w:val="List3"/>
    <w:rsid w:val="00B04C95"/>
    <w:pPr>
      <w:numPr>
        <w:numId w:val="6"/>
      </w:numPr>
    </w:pPr>
  </w:style>
  <w:style w:type="paragraph" w:styleId="ListNumber4">
    <w:name w:val="List Number 4"/>
    <w:basedOn w:val="List4"/>
    <w:rsid w:val="00B04C95"/>
    <w:pPr>
      <w:numPr>
        <w:numId w:val="7"/>
      </w:numPr>
    </w:pPr>
  </w:style>
  <w:style w:type="paragraph" w:styleId="ListNumber5">
    <w:name w:val="List Number 5"/>
    <w:basedOn w:val="List5"/>
    <w:rsid w:val="00B04C95"/>
    <w:pPr>
      <w:numPr>
        <w:numId w:val="8"/>
      </w:numPr>
    </w:pPr>
  </w:style>
  <w:style w:type="paragraph" w:styleId="BlockText">
    <w:name w:val="Block Text"/>
    <w:basedOn w:val="Normal"/>
    <w:rsid w:val="00B04C95"/>
    <w:pPr>
      <w:spacing w:after="120"/>
      <w:ind w:left="1440" w:right="1440"/>
    </w:pPr>
  </w:style>
  <w:style w:type="character" w:customStyle="1" w:styleId="Subscript">
    <w:name w:val="Subscript"/>
    <w:basedOn w:val="DefaultParagraphFont"/>
    <w:rsid w:val="00B04C95"/>
    <w:rPr>
      <w:sz w:val="16"/>
      <w:vertAlign w:val="subscript"/>
    </w:rPr>
  </w:style>
  <w:style w:type="character" w:customStyle="1" w:styleId="Superscript">
    <w:name w:val="Superscript"/>
    <w:basedOn w:val="DefaultParagraphFont"/>
    <w:rsid w:val="00B04C95"/>
    <w:rPr>
      <w:sz w:val="16"/>
      <w:vertAlign w:val="superscript"/>
    </w:rPr>
  </w:style>
  <w:style w:type="character" w:customStyle="1" w:styleId="Symbols">
    <w:name w:val="Symbols"/>
    <w:basedOn w:val="DefaultParagraphFont"/>
    <w:rsid w:val="00B04C95"/>
    <w:rPr>
      <w:rFonts w:ascii="Symbol" w:hAnsi="Symbol"/>
    </w:rPr>
  </w:style>
  <w:style w:type="character" w:customStyle="1" w:styleId="MenuOptions">
    <w:name w:val="Menu Options"/>
    <w:basedOn w:val="DefaultParagraphFont"/>
    <w:rsid w:val="00B04C95"/>
    <w:rPr>
      <w:rFonts w:ascii="Arial Narrow" w:hAnsi="Arial Narrow"/>
      <w:smallCaps/>
    </w:rPr>
  </w:style>
  <w:style w:type="character" w:customStyle="1" w:styleId="Buttons">
    <w:name w:val="Buttons"/>
    <w:basedOn w:val="DefaultParagraphFont"/>
    <w:rsid w:val="00B04C95"/>
    <w:rPr>
      <w:b/>
    </w:rPr>
  </w:style>
  <w:style w:type="character" w:customStyle="1" w:styleId="Underlined">
    <w:name w:val="Underlined"/>
    <w:basedOn w:val="DefaultParagraphFont"/>
    <w:rsid w:val="00B04C95"/>
    <w:rPr>
      <w:u w:val="single"/>
    </w:rPr>
  </w:style>
  <w:style w:type="paragraph" w:customStyle="1" w:styleId="TableBodyTextRight">
    <w:name w:val="Table Body Text Right"/>
    <w:basedOn w:val="TableBodyText"/>
    <w:rsid w:val="00B04C95"/>
    <w:pPr>
      <w:widowControl w:val="0"/>
      <w:autoSpaceDE w:val="0"/>
      <w:autoSpaceDN w:val="0"/>
      <w:adjustRightInd w:val="0"/>
      <w:jc w:val="right"/>
    </w:pPr>
    <w:rPr>
      <w:rFonts w:cs="Arial"/>
      <w:szCs w:val="18"/>
    </w:rPr>
  </w:style>
  <w:style w:type="paragraph" w:customStyle="1" w:styleId="CopyrightText">
    <w:name w:val="Copyright Text"/>
    <w:basedOn w:val="BodyText"/>
    <w:rsid w:val="00B04C95"/>
    <w:rPr>
      <w:sz w:val="18"/>
    </w:rPr>
  </w:style>
  <w:style w:type="paragraph" w:customStyle="1" w:styleId="BodySmallRight">
    <w:name w:val="Body Small Right"/>
    <w:basedOn w:val="BodyTextRight"/>
    <w:rsid w:val="00B04C95"/>
    <w:rPr>
      <w:sz w:val="18"/>
      <w:szCs w:val="18"/>
    </w:rPr>
  </w:style>
  <w:style w:type="paragraph" w:customStyle="1" w:styleId="MarginEdition">
    <w:name w:val="Margin Edition"/>
    <w:basedOn w:val="MarginNote"/>
    <w:rsid w:val="00B04C95"/>
    <w:pPr>
      <w:spacing w:before="0" w:after="0"/>
    </w:pPr>
    <w:rPr>
      <w:rFonts w:ascii="Times New Roman" w:hAnsi="Times New Roman"/>
      <w:color w:val="999999"/>
    </w:rPr>
  </w:style>
  <w:style w:type="paragraph" w:customStyle="1" w:styleId="Spacer">
    <w:name w:val="Spacer"/>
    <w:basedOn w:val="Normal"/>
    <w:rsid w:val="00B04C95"/>
    <w:rPr>
      <w:sz w:val="2"/>
      <w:szCs w:val="2"/>
    </w:rPr>
  </w:style>
  <w:style w:type="character" w:customStyle="1" w:styleId="Small">
    <w:name w:val="Small"/>
    <w:basedOn w:val="DefaultParagraphFont"/>
    <w:rsid w:val="00B04C95"/>
    <w:rPr>
      <w:sz w:val="16"/>
    </w:rPr>
  </w:style>
  <w:style w:type="paragraph" w:customStyle="1" w:styleId="WideTable">
    <w:name w:val="Wide Table"/>
    <w:basedOn w:val="Normal"/>
    <w:rsid w:val="00B04C95"/>
    <w:pPr>
      <w:ind w:left="-1418"/>
    </w:pPr>
    <w:rPr>
      <w:sz w:val="2"/>
      <w:szCs w:val="2"/>
    </w:rPr>
  </w:style>
  <w:style w:type="character" w:styleId="PageNumber">
    <w:name w:val="page number"/>
    <w:basedOn w:val="DefaultParagraphFont"/>
    <w:rsid w:val="00B04C95"/>
  </w:style>
  <w:style w:type="paragraph" w:styleId="Quote">
    <w:name w:val="Quote"/>
    <w:basedOn w:val="Heading1"/>
    <w:link w:val="QuoteChar"/>
    <w:qFormat/>
    <w:rsid w:val="00B04C95"/>
    <w:rPr>
      <w:b w:val="0"/>
      <w:sz w:val="72"/>
      <w:szCs w:val="72"/>
      <w:lang w:val="en-NZ"/>
    </w:rPr>
  </w:style>
  <w:style w:type="character" w:customStyle="1" w:styleId="QuoteChar">
    <w:name w:val="Quote Char"/>
    <w:basedOn w:val="DefaultParagraphFont"/>
    <w:link w:val="Quote"/>
    <w:rsid w:val="00B04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C95"/>
    <w:pPr>
      <w:pageBreakBefore/>
    </w:pPr>
  </w:style>
  <w:style w:type="paragraph" w:customStyle="1" w:styleId="Border">
    <w:name w:val="Border"/>
    <w:basedOn w:val="Normal"/>
    <w:qFormat/>
    <w:rsid w:val="00B04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C95"/>
    <w:rPr>
      <w:b/>
      <w:bCs/>
      <w:i/>
      <w:iCs/>
      <w:color w:val="auto"/>
    </w:rPr>
  </w:style>
  <w:style w:type="paragraph" w:styleId="IntenseQuote">
    <w:name w:val="Intense Quote"/>
    <w:basedOn w:val="Normal"/>
    <w:next w:val="Normal"/>
    <w:link w:val="IntenseQuoteChar"/>
    <w:uiPriority w:val="30"/>
    <w:qFormat/>
    <w:rsid w:val="00B04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C95"/>
    <w:rPr>
      <w:smallCaps/>
      <w:color w:val="auto"/>
      <w:u w:val="single"/>
    </w:rPr>
  </w:style>
  <w:style w:type="character" w:styleId="IntenseReference">
    <w:name w:val="Intense Reference"/>
    <w:basedOn w:val="DefaultParagraphFont"/>
    <w:uiPriority w:val="32"/>
    <w:qFormat/>
    <w:rsid w:val="00B04C95"/>
    <w:rPr>
      <w:b/>
      <w:bCs/>
      <w:smallCaps/>
      <w:color w:val="auto"/>
      <w:spacing w:val="5"/>
      <w:u w:val="single"/>
    </w:rPr>
  </w:style>
  <w:style w:type="paragraph" w:customStyle="1" w:styleId="2ColumnHeading">
    <w:name w:val="2Column Heading"/>
    <w:basedOn w:val="BodyText"/>
    <w:qFormat/>
    <w:rsid w:val="00B04C95"/>
    <w:pPr>
      <w:spacing w:after="60"/>
      <w:ind w:left="-2268"/>
    </w:pPr>
    <w:rPr>
      <w:b/>
    </w:rPr>
  </w:style>
  <w:style w:type="paragraph" w:customStyle="1" w:styleId="Heading1TOC">
    <w:name w:val="Heading1 TOC"/>
    <w:basedOn w:val="Normal"/>
    <w:qFormat/>
    <w:rsid w:val="00B04C95"/>
    <w:pPr>
      <w:spacing w:before="240" w:after="120"/>
    </w:pPr>
    <w:rPr>
      <w:rFonts w:ascii="Times New Roman" w:hAnsi="Times New Roman"/>
      <w:b/>
      <w:sz w:val="32"/>
    </w:rPr>
  </w:style>
  <w:style w:type="paragraph" w:customStyle="1" w:styleId="Heading2TOC">
    <w:name w:val="Heading2 TOC"/>
    <w:basedOn w:val="Normal"/>
    <w:qFormat/>
    <w:rsid w:val="00B04C95"/>
    <w:pPr>
      <w:spacing w:before="240" w:after="60"/>
    </w:pPr>
    <w:rPr>
      <w:rFonts w:ascii="Times New Roman" w:hAnsi="Times New Roman"/>
      <w:b/>
      <w:sz w:val="28"/>
    </w:rPr>
  </w:style>
  <w:style w:type="character" w:customStyle="1" w:styleId="Underline">
    <w:name w:val="Underline"/>
    <w:basedOn w:val="DefaultParagraphFont"/>
    <w:qFormat/>
    <w:rsid w:val="00B04C95"/>
    <w:rPr>
      <w:u w:val="single"/>
    </w:rPr>
  </w:style>
  <w:style w:type="character" w:customStyle="1" w:styleId="BoldandItalics">
    <w:name w:val="Bold and Italics"/>
    <w:qFormat/>
    <w:rsid w:val="00B04C95"/>
    <w:rPr>
      <w:b/>
      <w:i/>
      <w:u w:val="none"/>
    </w:rPr>
  </w:style>
  <w:style w:type="paragraph" w:styleId="BalloonText">
    <w:name w:val="Balloon Text"/>
    <w:basedOn w:val="Normal"/>
    <w:link w:val="BalloonTextChar"/>
    <w:rsid w:val="00B04C95"/>
    <w:rPr>
      <w:rFonts w:ascii="Tahoma" w:hAnsi="Tahoma" w:cs="Tahoma"/>
      <w:sz w:val="16"/>
      <w:szCs w:val="16"/>
    </w:rPr>
  </w:style>
  <w:style w:type="character" w:customStyle="1" w:styleId="BalloonTextChar">
    <w:name w:val="Balloon Text Char"/>
    <w:basedOn w:val="DefaultParagraphFont"/>
    <w:link w:val="BalloonText"/>
    <w:rsid w:val="00B04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C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C95"/>
    <w:rPr>
      <w:b/>
      <w:color w:val="660033"/>
      <w:spacing w:val="0"/>
    </w:rPr>
  </w:style>
  <w:style w:type="paragraph" w:customStyle="1" w:styleId="Nameditemlist">
    <w:name w:val="Named item list"/>
    <w:basedOn w:val="BodyText"/>
    <w:qFormat/>
    <w:rsid w:val="00B04C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3734</Words>
  <Characters>23746</Characters>
  <Application>Microsoft Office Word</Application>
  <DocSecurity>0</DocSecurity>
  <Lines>823</Lines>
  <Paragraphs>322</Paragraphs>
  <ScaleCrop>false</ScaleCrop>
  <Company>Author-it Software Corporation Ltd.</Company>
  <LinksUpToDate>false</LinksUpToDate>
  <CharactersWithSpaces>27266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UETTDRCJ32A Install and maintain gas and oil pressure systems for specialised underground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2012-10-11T22:24:00Z</dcterms:created>
  <dcterms:modified xsi:type="dcterms:W3CDTF">2012-10-11T22:24:00Z</dcterms:modified>
</cp:coreProperties>
</file>