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4AD" w:rsidP="002234AD">
      <w:pPr>
        <w:pStyle w:val="Title"/>
      </w:pPr>
      <w:r>
        <w:fldChar w:fldCharType="begin"/>
      </w:r>
      <w:r>
        <w:instrText xml:space="preserve"> TITLE   \* MERGEFORMAT </w:instrText>
      </w:r>
      <w:r>
        <w:fldChar w:fldCharType="separate"/>
      </w:r>
      <w:r>
        <w:t>UETTDRCJ31A Install and maintain polymeric specialised underground cables</w:t>
      </w:r>
      <w:r>
        <w:fldChar w:fldCharType="end"/>
      </w:r>
    </w:p>
    <w:p w:rsidR="002234AD" w:rsidP="002234AD">
      <w:pPr>
        <w:pStyle w:val="Version"/>
        <w:sectPr w:rsidSect="00720D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0DD1" w:rsidP="00720DD1">
      <w:pPr>
        <w:pStyle w:val="SuperHeading"/>
      </w:pPr>
      <w:r w:rsidRPr="00720DD1">
        <w:t>UETTDRCJ31A Install and maintain polymeric specialised underground cables</w:t>
      </w:r>
    </w:p>
    <w:p w:rsidR="00000000" w:rsidRPr="00720DD1" w:rsidP="00720DD1">
      <w:pPr>
        <w:pStyle w:val="Heading1"/>
      </w:pPr>
      <w:bookmarkStart w:id="1" w:name="O_461935"/>
      <w:bookmarkEnd w:id="1"/>
      <w:r w:rsidRPr="00720DD1">
        <w:t>Modification History</w:t>
      </w:r>
    </w:p>
    <w:p w:rsidR="00000000" w:rsidRPr="00720DD1" w:rsidP="00720DD1">
      <w:pPr>
        <w:pStyle w:val="BodyText"/>
      </w:pPr>
      <w:r w:rsidRPr="00720DD1">
        <w:t>Not applicable.</w:t>
      </w:r>
    </w:p>
    <w:p w:rsidR="00000000" w:rsidRPr="00720DD1" w:rsidP="00720DD1">
      <w:pPr>
        <w:pStyle w:val="AllowPageBreak"/>
      </w:pPr>
    </w:p>
    <w:p w:rsidR="00000000" w:rsidRPr="00720DD1" w:rsidP="00720DD1">
      <w:pPr>
        <w:pStyle w:val="Heading1"/>
      </w:pPr>
      <w:bookmarkStart w:id="2" w:name="O_461933"/>
      <w:bookmarkEnd w:id="2"/>
      <w:r w:rsidRPr="00720DD1">
        <w:t>Unit Descriptor</w:t>
      </w:r>
    </w:p>
    <w:tbl>
      <w:tblPr>
        <w:tblW w:w="0" w:type="auto"/>
        <w:tblLayout w:type="fixed"/>
        <w:tblCellMar>
          <w:left w:w="62" w:type="dxa"/>
          <w:right w:w="62" w:type="dxa"/>
        </w:tblCellMar>
        <w:tblLook w:val="0000"/>
      </w:tblPr>
      <w:tblGrid>
        <w:gridCol w:w="2700"/>
        <w:gridCol w:w="5760"/>
      </w:tblGrid>
      <w:tr w:rsidTr="002234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rPr>
                <w:rStyle w:val="SpecialBold"/>
              </w:rPr>
              <w:t>1)</w:t>
            </w:r>
            <w:r w:rsidRPr="00720DD1">
              <w:t xml:space="preserve"> </w:t>
            </w:r>
            <w:r w:rsidRPr="00720DD1">
              <w:rPr>
                <w:rStyle w:val="SpecialBold"/>
              </w:rPr>
              <w:t>Scope:</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20DD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rPr>
                <w:rStyle w:val="SpecialBold"/>
              </w:rPr>
              <w:t>1.1) Descriptor</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t>This Competency Standard Unit covers the installation, maintenance and repair of polymeric specialised underground cables including XLPE and EPR above 33 kV. It includes jointing and terminating, as well as working under induced voltages and undertaking th</w:t>
            </w:r>
            <w:r w:rsidRPr="00720DD1">
              <w:t>e relevant tests required for jointing. It also encompasses the preparation of the cable jointing bay, the preparation of cables and phasing out, cable identification and spiking, the treatment/handling of, but not jointing fibre optical cables.</w:t>
            </w:r>
          </w:p>
        </w:tc>
      </w:tr>
    </w:tbl>
    <w:p w:rsidR="00000000" w:rsidRPr="00720DD1" w:rsidP="00720DD1">
      <w:pPr>
        <w:pStyle w:val="BodyText"/>
      </w:pPr>
    </w:p>
    <w:p w:rsidR="00000000" w:rsidRPr="00720DD1" w:rsidP="00720DD1">
      <w:pPr>
        <w:pStyle w:val="AllowPageBreak"/>
      </w:pPr>
    </w:p>
    <w:p w:rsidR="00000000" w:rsidRPr="00720DD1" w:rsidP="00720DD1">
      <w:pPr>
        <w:pStyle w:val="Heading1"/>
      </w:pPr>
      <w:bookmarkStart w:id="3" w:name="O_461922"/>
      <w:bookmarkEnd w:id="3"/>
      <w:r w:rsidRPr="00720DD1">
        <w:t>Application of the Unit</w:t>
      </w:r>
    </w:p>
    <w:tbl>
      <w:tblPr>
        <w:tblW w:w="0" w:type="auto"/>
        <w:tblLayout w:type="fixed"/>
        <w:tblCellMar>
          <w:left w:w="62" w:type="dxa"/>
          <w:right w:w="62" w:type="dxa"/>
        </w:tblCellMar>
        <w:tblLook w:val="0000"/>
      </w:tblPr>
      <w:tblGrid>
        <w:gridCol w:w="2672"/>
        <w:gridCol w:w="5699"/>
      </w:tblGrid>
      <w:tr w:rsidTr="002234A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rPr>
                <w:rStyle w:val="SpecialBold"/>
              </w:rPr>
              <w:t>2)</w:t>
            </w:r>
          </w:p>
        </w:tc>
      </w:tr>
      <w:tr w:rsidTr="002234A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t>This Competency Standard Unit is intended to augment formally acquired competencies. It is suitable for employment-based programs under an approved contract of training.</w:t>
            </w:r>
          </w:p>
        </w:tc>
      </w:tr>
    </w:tbl>
    <w:p w:rsidR="00000000" w:rsidRPr="00720DD1" w:rsidP="00720DD1">
      <w:pPr>
        <w:pStyle w:val="BodyText"/>
      </w:pPr>
    </w:p>
    <w:p w:rsidR="00000000" w:rsidRPr="00720DD1" w:rsidP="00720DD1">
      <w:pPr>
        <w:pStyle w:val="AllowPageBreak"/>
      </w:pPr>
    </w:p>
    <w:p w:rsidR="00000000" w:rsidRPr="00720DD1" w:rsidP="00720DD1">
      <w:pPr>
        <w:pStyle w:val="Heading1"/>
      </w:pPr>
      <w:bookmarkStart w:id="4" w:name="O_461929"/>
      <w:bookmarkEnd w:id="4"/>
      <w:r w:rsidRPr="00720DD1">
        <w:t>Licensing/Regulatory Information</w:t>
      </w:r>
    </w:p>
    <w:tbl>
      <w:tblPr>
        <w:tblW w:w="0" w:type="auto"/>
        <w:tblLayout w:type="fixed"/>
        <w:tblCellMar>
          <w:left w:w="62" w:type="dxa"/>
          <w:right w:w="62" w:type="dxa"/>
        </w:tblCellMar>
        <w:tblLook w:val="0000"/>
      </w:tblPr>
      <w:tblGrid>
        <w:gridCol w:w="2700"/>
        <w:gridCol w:w="5760"/>
      </w:tblGrid>
      <w:tr w:rsidTr="002234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rPr>
                <w:rStyle w:val="SpecialBold"/>
              </w:rPr>
              <w:t xml:space="preserve">3) </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t>The skills and knowledge described in this unit may require a licence/registration to practice in the work place subject to regulations for undertaking of electrical work. Practice in workplace and</w:t>
            </w:r>
            <w:r w:rsidRPr="00720DD1">
              <w:t xml:space="preserve"> during training is also subject to </w:t>
            </w:r>
            <w:r w:rsidRPr="00720DD1">
              <w:t>regulations directly related to Occupational Health and Safety, electricity/telecommunications/gas/water industry safety and compliance, industrial relations, environmental protection, anti discrimination and training. C</w:t>
            </w:r>
            <w:r w:rsidRPr="00720DD1">
              <w:t>ommonwealth, State/Territory or Local Government legislation and regulations may exist that limits the age of operating certain equipment.</w:t>
            </w:r>
          </w:p>
        </w:tc>
      </w:tr>
    </w:tbl>
    <w:p w:rsidR="00000000" w:rsidRPr="00720DD1" w:rsidP="00720DD1">
      <w:pPr>
        <w:pStyle w:val="BodyText"/>
      </w:pPr>
    </w:p>
    <w:p w:rsidR="00000000" w:rsidRPr="00720DD1" w:rsidP="00720DD1">
      <w:pPr>
        <w:pStyle w:val="AllowPageBreak"/>
      </w:pPr>
    </w:p>
    <w:p w:rsidR="00000000" w:rsidRPr="00720DD1" w:rsidP="00720DD1">
      <w:pPr>
        <w:pStyle w:val="Heading1"/>
      </w:pPr>
      <w:bookmarkStart w:id="5" w:name="O_461930"/>
      <w:bookmarkEnd w:id="5"/>
      <w:r w:rsidRPr="00720DD1">
        <w:t>Pre-Requisites</w:t>
      </w:r>
    </w:p>
    <w:tbl>
      <w:tblPr>
        <w:tblW w:w="0" w:type="auto"/>
        <w:tblLayout w:type="fixed"/>
        <w:tblCellMar>
          <w:left w:w="62" w:type="dxa"/>
          <w:right w:w="62" w:type="dxa"/>
        </w:tblCellMar>
        <w:tblLook w:val="0000"/>
      </w:tblPr>
      <w:tblGrid>
        <w:gridCol w:w="2700"/>
        <w:gridCol w:w="2070"/>
        <w:gridCol w:w="3690"/>
      </w:tblGrid>
      <w:tr w:rsidTr="002234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rPr>
                <w:rStyle w:val="SpecialBold"/>
              </w:rPr>
              <w:t xml:space="preserve">4) </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rPr>
                <w:rStyle w:val="SpecialBold"/>
              </w:rPr>
              <w:t>4.1)</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t>Granting of competency in this unit shall be made only after competency in the following unit(s) has/have been confirmed.</w:t>
            </w:r>
          </w:p>
          <w:p w:rsidR="00000000" w:rsidRPr="00720DD1" w:rsidP="00720DD1">
            <w:pPr>
              <w:pStyle w:val="BodyText"/>
            </w:pPr>
            <w:r w:rsidRPr="00720DD1">
              <w:t xml:space="preserve">Where pre-requisite pathways have been identified. All competencies in the Common Unit Group must be have been completed plus all the </w:t>
            </w:r>
            <w:r w:rsidRPr="00720DD1">
              <w:t>competencies in one (1) of the identified Pathway Unit Group(s):</w:t>
            </w:r>
          </w:p>
          <w:p w:rsidR="00000000" w:rsidP="00720DD1">
            <w:pPr>
              <w:pStyle w:val="BodyText"/>
              <w:rPr>
                <w:lang w:val="en-NZ"/>
              </w:rPr>
            </w:pPr>
            <w:r w:rsidRPr="00720DD1">
              <w:t>Common Unit Group</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Unit Code</w:t>
            </w:r>
            <w:r w:rsidRPr="00720DD1">
              <w:tab/>
            </w:r>
          </w:p>
        </w:tc>
        <w:tc>
          <w:tcPr>
            <w:tcW w:w="3690" w:type="dxa"/>
            <w:tcBorders>
              <w:top w:val="nil"/>
              <w:left w:val="nil"/>
              <w:bottom w:val="nil"/>
              <w:right w:val="nil"/>
            </w:tcBorders>
            <w:tcMar>
              <w:top w:w="0" w:type="dxa"/>
              <w:left w:w="62" w:type="dxa"/>
              <w:bottom w:w="0" w:type="dxa"/>
              <w:right w:w="62" w:type="dxa"/>
            </w:tcMar>
            <w:vAlign w:val="bottom"/>
          </w:tcPr>
          <w:p w:rsidR="00000000" w:rsidP="00720DD1">
            <w:pPr>
              <w:pStyle w:val="BodyText"/>
              <w:rPr>
                <w:lang w:val="en-NZ"/>
              </w:rPr>
            </w:pPr>
            <w:r w:rsidRPr="00720DD1">
              <w:t>Unit Title</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720DD1">
            <w:pPr>
              <w:pStyle w:val="BodyText"/>
              <w:rPr>
                <w:lang w:val="en-NZ"/>
              </w:rPr>
            </w:pPr>
            <w:r w:rsidRPr="00720DD1">
              <w:t>Apply Occupational Health and Safety regulations, codes and practices in the workplace</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720DD1">
            <w:pPr>
              <w:pStyle w:val="BodyText"/>
              <w:rPr>
                <w:lang w:val="en-NZ"/>
              </w:rPr>
            </w:pPr>
            <w:r w:rsidRPr="00720DD1">
              <w:t>Fabricate, assemble and dismantle utilities industry components</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UEENEEE104A</w:t>
            </w:r>
          </w:p>
        </w:tc>
        <w:tc>
          <w:tcPr>
            <w:tcW w:w="3690" w:type="dxa"/>
            <w:tcBorders>
              <w:top w:val="nil"/>
              <w:left w:val="nil"/>
              <w:bottom w:val="nil"/>
              <w:right w:val="nil"/>
            </w:tcBorders>
            <w:tcMar>
              <w:top w:w="0" w:type="dxa"/>
              <w:left w:w="62" w:type="dxa"/>
              <w:bottom w:w="0" w:type="dxa"/>
              <w:right w:w="62" w:type="dxa"/>
            </w:tcMar>
            <w:vAlign w:val="bottom"/>
          </w:tcPr>
          <w:p w:rsidR="00000000" w:rsidP="00720DD1">
            <w:pPr>
              <w:pStyle w:val="BodyText"/>
              <w:rPr>
                <w:lang w:val="en-NZ"/>
              </w:rPr>
            </w:pPr>
            <w:r w:rsidRPr="00720DD1">
              <w:t>Solve problems in d.c. Circuits</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UEENEEE105A</w:t>
            </w:r>
          </w:p>
        </w:tc>
        <w:tc>
          <w:tcPr>
            <w:tcW w:w="3690" w:type="dxa"/>
            <w:tcBorders>
              <w:top w:val="nil"/>
              <w:left w:val="nil"/>
              <w:bottom w:val="nil"/>
              <w:right w:val="nil"/>
            </w:tcBorders>
            <w:tcMar>
              <w:top w:w="0" w:type="dxa"/>
              <w:left w:w="62" w:type="dxa"/>
              <w:bottom w:w="0" w:type="dxa"/>
              <w:right w:w="62" w:type="dxa"/>
            </w:tcMar>
            <w:vAlign w:val="bottom"/>
          </w:tcPr>
          <w:p w:rsidR="00000000" w:rsidP="00720DD1">
            <w:pPr>
              <w:pStyle w:val="BodyText"/>
              <w:rPr>
                <w:lang w:val="en-NZ"/>
              </w:rPr>
            </w:pPr>
            <w:r w:rsidRPr="00720DD1">
              <w:t>Fix and secure electrotechnology equipment</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720DD1">
            <w:pPr>
              <w:pStyle w:val="BodyText"/>
              <w:rPr>
                <w:lang w:val="en-NZ"/>
              </w:rPr>
            </w:pPr>
            <w:r w:rsidRPr="00720DD1">
              <w:t>Use drawings, diagrams, schedules, standards, codes and specifications</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UE</w:t>
            </w:r>
            <w:r w:rsidRPr="00720DD1">
              <w:t>ENEEG101A</w:t>
            </w:r>
          </w:p>
        </w:tc>
        <w:tc>
          <w:tcPr>
            <w:tcW w:w="3690" w:type="dxa"/>
            <w:tcBorders>
              <w:top w:val="nil"/>
              <w:left w:val="nil"/>
              <w:bottom w:val="nil"/>
              <w:right w:val="nil"/>
            </w:tcBorders>
            <w:tcMar>
              <w:top w:w="0" w:type="dxa"/>
              <w:left w:w="62" w:type="dxa"/>
              <w:bottom w:w="0" w:type="dxa"/>
              <w:right w:w="62" w:type="dxa"/>
            </w:tcMar>
            <w:vAlign w:val="bottom"/>
          </w:tcPr>
          <w:p w:rsidR="00000000" w:rsidP="00720DD1">
            <w:pPr>
              <w:pStyle w:val="BodyText"/>
              <w:rPr>
                <w:lang w:val="en-NZ"/>
              </w:rPr>
            </w:pPr>
            <w:r w:rsidRPr="00720DD1">
              <w:t>Solve problems in electromagnetic devices and related circuits</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UEENEEG102A</w:t>
            </w:r>
          </w:p>
        </w:tc>
        <w:tc>
          <w:tcPr>
            <w:tcW w:w="3690" w:type="dxa"/>
            <w:tcBorders>
              <w:top w:val="nil"/>
              <w:left w:val="nil"/>
              <w:bottom w:val="nil"/>
              <w:right w:val="nil"/>
            </w:tcBorders>
            <w:tcMar>
              <w:top w:w="0" w:type="dxa"/>
              <w:left w:w="62" w:type="dxa"/>
              <w:bottom w:w="0" w:type="dxa"/>
              <w:right w:w="62" w:type="dxa"/>
            </w:tcMar>
            <w:vAlign w:val="bottom"/>
          </w:tcPr>
          <w:p w:rsidR="00000000" w:rsidP="00720DD1">
            <w:pPr>
              <w:pStyle w:val="BodyText"/>
              <w:rPr>
                <w:lang w:val="en-NZ"/>
              </w:rPr>
            </w:pPr>
            <w:r w:rsidRPr="00720DD1">
              <w:t>Solve problems in low voltage a.c. Circuits</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720DD1">
            <w:pPr>
              <w:pStyle w:val="BodyText"/>
              <w:rPr>
                <w:lang w:val="en-NZ"/>
              </w:rPr>
            </w:pPr>
            <w:r w:rsidRPr="00720DD1">
              <w:t>UETTDRCJ21A</w:t>
            </w:r>
          </w:p>
        </w:tc>
        <w:tc>
          <w:tcPr>
            <w:tcW w:w="3690" w:type="dxa"/>
            <w:tcBorders>
              <w:top w:val="nil"/>
              <w:left w:val="nil"/>
              <w:bottom w:val="nil"/>
              <w:right w:val="nil"/>
            </w:tcBorders>
            <w:tcMar>
              <w:top w:w="0" w:type="dxa"/>
              <w:left w:w="62" w:type="dxa"/>
              <w:bottom w:w="0" w:type="dxa"/>
              <w:right w:w="62" w:type="dxa"/>
            </w:tcMar>
            <w:vAlign w:val="bottom"/>
          </w:tcPr>
          <w:p w:rsidR="00000000" w:rsidP="00720DD1">
            <w:pPr>
              <w:pStyle w:val="BodyText"/>
              <w:rPr>
                <w:lang w:val="en-NZ"/>
              </w:rPr>
            </w:pPr>
            <w:r w:rsidRPr="00720DD1">
              <w:t xml:space="preserve">Lay ESI electrical cables </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UETTDRCJ23A</w:t>
            </w:r>
          </w:p>
        </w:tc>
        <w:tc>
          <w:tcPr>
            <w:tcW w:w="3690" w:type="dxa"/>
            <w:tcBorders>
              <w:top w:val="nil"/>
              <w:left w:val="nil"/>
              <w:bottom w:val="nil"/>
              <w:right w:val="nil"/>
            </w:tcBorders>
            <w:tcMar>
              <w:top w:w="0" w:type="dxa"/>
              <w:left w:w="62" w:type="dxa"/>
              <w:bottom w:w="0" w:type="dxa"/>
              <w:right w:w="62" w:type="dxa"/>
            </w:tcMar>
            <w:vAlign w:val="bottom"/>
          </w:tcPr>
          <w:p w:rsidR="00000000" w:rsidP="00720DD1">
            <w:pPr>
              <w:pStyle w:val="BodyText"/>
              <w:rPr>
                <w:lang w:val="en-NZ"/>
              </w:rPr>
            </w:pPr>
            <w:r w:rsidRPr="00720DD1">
              <w:t>Install and maintain de-energised high voltage underground paper insulated cables.</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UETTDRCJ26A</w:t>
            </w:r>
          </w:p>
        </w:tc>
        <w:tc>
          <w:tcPr>
            <w:tcW w:w="3690" w:type="dxa"/>
            <w:tcBorders>
              <w:top w:val="nil"/>
              <w:left w:val="nil"/>
              <w:bottom w:val="nil"/>
              <w:right w:val="nil"/>
            </w:tcBorders>
            <w:tcMar>
              <w:top w:w="0" w:type="dxa"/>
              <w:left w:w="62" w:type="dxa"/>
              <w:bottom w:w="0" w:type="dxa"/>
              <w:right w:w="62" w:type="dxa"/>
            </w:tcMar>
            <w:vAlign w:val="bottom"/>
          </w:tcPr>
          <w:p w:rsidR="00000000" w:rsidP="00720DD1">
            <w:pPr>
              <w:pStyle w:val="BodyText"/>
              <w:rPr>
                <w:lang w:val="en-NZ"/>
              </w:rPr>
            </w:pPr>
            <w:r w:rsidRPr="00720DD1">
              <w:t xml:space="preserve">Install and maintain de-energised low voltage underground polymeric cables. </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UETTDRCJ27A</w:t>
            </w:r>
          </w:p>
        </w:tc>
        <w:tc>
          <w:tcPr>
            <w:tcW w:w="3690" w:type="dxa"/>
            <w:tcBorders>
              <w:top w:val="nil"/>
              <w:left w:val="nil"/>
              <w:bottom w:val="nil"/>
              <w:right w:val="nil"/>
            </w:tcBorders>
            <w:tcMar>
              <w:top w:w="0" w:type="dxa"/>
              <w:left w:w="62" w:type="dxa"/>
              <w:bottom w:w="0" w:type="dxa"/>
              <w:right w:w="62" w:type="dxa"/>
            </w:tcMar>
            <w:vAlign w:val="bottom"/>
          </w:tcPr>
          <w:p w:rsidR="00000000" w:rsidP="00720DD1">
            <w:pPr>
              <w:pStyle w:val="BodyText"/>
              <w:rPr>
                <w:lang w:val="en-NZ"/>
              </w:rPr>
            </w:pPr>
            <w:r w:rsidRPr="00720DD1">
              <w:t xml:space="preserve">Install and maintain de-energised high voltage underground polymeric cables. </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UETTDRCJ99A</w:t>
            </w:r>
          </w:p>
        </w:tc>
        <w:tc>
          <w:tcPr>
            <w:tcW w:w="3690" w:type="dxa"/>
            <w:tcBorders>
              <w:top w:val="nil"/>
              <w:left w:val="nil"/>
              <w:bottom w:val="nil"/>
              <w:right w:val="nil"/>
            </w:tcBorders>
            <w:tcMar>
              <w:top w:w="0" w:type="dxa"/>
              <w:left w:w="62" w:type="dxa"/>
              <w:bottom w:w="0" w:type="dxa"/>
              <w:right w:w="62" w:type="dxa"/>
            </w:tcMar>
            <w:vAlign w:val="bottom"/>
          </w:tcPr>
          <w:p w:rsidR="00000000" w:rsidP="00720DD1">
            <w:pPr>
              <w:pStyle w:val="BodyText"/>
              <w:rPr>
                <w:lang w:val="en-NZ"/>
              </w:rPr>
            </w:pPr>
            <w:r w:rsidRPr="00720DD1">
              <w:t>Test and verify distribution cable jointing installations</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UETTDREL11A</w:t>
            </w:r>
          </w:p>
        </w:tc>
        <w:tc>
          <w:tcPr>
            <w:tcW w:w="3690" w:type="dxa"/>
            <w:tcBorders>
              <w:top w:val="nil"/>
              <w:left w:val="nil"/>
              <w:bottom w:val="nil"/>
              <w:right w:val="nil"/>
            </w:tcBorders>
            <w:tcMar>
              <w:top w:w="0" w:type="dxa"/>
              <w:left w:w="62" w:type="dxa"/>
              <w:bottom w:w="0" w:type="dxa"/>
              <w:right w:w="62" w:type="dxa"/>
            </w:tcMar>
            <w:vAlign w:val="bottom"/>
          </w:tcPr>
          <w:p w:rsidR="00000000" w:rsidP="00720DD1">
            <w:pPr>
              <w:pStyle w:val="BodyText"/>
              <w:rPr>
                <w:lang w:val="en-NZ"/>
              </w:rPr>
            </w:pPr>
            <w:r w:rsidRPr="00720DD1">
              <w:t xml:space="preserve">Apply sustainable energy and environmental procedures </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UETTDREL12A</w:t>
            </w:r>
          </w:p>
        </w:tc>
        <w:tc>
          <w:tcPr>
            <w:tcW w:w="3690" w:type="dxa"/>
            <w:tcBorders>
              <w:top w:val="nil"/>
              <w:left w:val="nil"/>
              <w:bottom w:val="nil"/>
              <w:right w:val="nil"/>
            </w:tcBorders>
            <w:tcMar>
              <w:top w:w="0" w:type="dxa"/>
              <w:left w:w="62" w:type="dxa"/>
              <w:bottom w:w="0" w:type="dxa"/>
              <w:right w:w="62" w:type="dxa"/>
            </w:tcMar>
            <w:vAlign w:val="bottom"/>
          </w:tcPr>
          <w:p w:rsidR="00000000" w:rsidP="00720DD1">
            <w:pPr>
              <w:pStyle w:val="BodyText"/>
              <w:rPr>
                <w:lang w:val="en-NZ"/>
              </w:rPr>
            </w:pPr>
            <w:r w:rsidRPr="00720DD1">
              <w:t>Operate plant and equip</w:t>
            </w:r>
            <w:r w:rsidRPr="00720DD1">
              <w:t xml:space="preserve">ment near live electrical conductors and apparatus </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UETTDREL16A</w:t>
            </w:r>
          </w:p>
        </w:tc>
        <w:tc>
          <w:tcPr>
            <w:tcW w:w="3690" w:type="dxa"/>
            <w:tcBorders>
              <w:top w:val="nil"/>
              <w:left w:val="nil"/>
              <w:bottom w:val="nil"/>
              <w:right w:val="nil"/>
            </w:tcBorders>
            <w:tcMar>
              <w:top w:w="0" w:type="dxa"/>
              <w:left w:w="62" w:type="dxa"/>
              <w:bottom w:w="0" w:type="dxa"/>
              <w:right w:w="62" w:type="dxa"/>
            </w:tcMar>
            <w:vAlign w:val="bottom"/>
          </w:tcPr>
          <w:p w:rsidR="00000000" w:rsidP="00720DD1">
            <w:pPr>
              <w:pStyle w:val="BodyText"/>
              <w:rPr>
                <w:lang w:val="en-NZ"/>
              </w:rPr>
            </w:pPr>
            <w:r w:rsidRPr="00720DD1">
              <w:t xml:space="preserve">Working safely near live electrical apparatus </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UETTDRIS41A</w:t>
            </w:r>
          </w:p>
        </w:tc>
        <w:tc>
          <w:tcPr>
            <w:tcW w:w="3690" w:type="dxa"/>
            <w:tcBorders>
              <w:top w:val="nil"/>
              <w:left w:val="nil"/>
              <w:bottom w:val="nil"/>
              <w:right w:val="nil"/>
            </w:tcBorders>
            <w:tcMar>
              <w:top w:w="0" w:type="dxa"/>
              <w:left w:w="62" w:type="dxa"/>
              <w:bottom w:w="0" w:type="dxa"/>
              <w:right w:w="62" w:type="dxa"/>
            </w:tcMar>
            <w:vAlign w:val="bottom"/>
          </w:tcPr>
          <w:p w:rsidR="00000000" w:rsidP="00720DD1">
            <w:pPr>
              <w:pStyle w:val="BodyText"/>
              <w:rPr>
                <w:lang w:val="en-NZ"/>
              </w:rPr>
            </w:pPr>
            <w:r w:rsidRPr="00720DD1">
              <w:t xml:space="preserve">Install network infrastructure electrical equipment </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UETTDRIS42A</w:t>
            </w:r>
          </w:p>
        </w:tc>
        <w:tc>
          <w:tcPr>
            <w:tcW w:w="3690" w:type="dxa"/>
            <w:tcBorders>
              <w:top w:val="nil"/>
              <w:left w:val="nil"/>
              <w:bottom w:val="nil"/>
              <w:right w:val="nil"/>
            </w:tcBorders>
            <w:tcMar>
              <w:top w:w="0" w:type="dxa"/>
              <w:left w:w="62" w:type="dxa"/>
              <w:bottom w:w="0" w:type="dxa"/>
              <w:right w:w="62" w:type="dxa"/>
            </w:tcMar>
            <w:vAlign w:val="bottom"/>
          </w:tcPr>
          <w:p w:rsidR="00000000" w:rsidP="00720DD1">
            <w:pPr>
              <w:pStyle w:val="BodyText"/>
              <w:rPr>
                <w:lang w:val="en-NZ"/>
              </w:rPr>
            </w:pPr>
            <w:r w:rsidRPr="00720DD1">
              <w:t xml:space="preserve">Maintain network infrastructure electrical equipment </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UETTDRIS55A</w:t>
            </w:r>
          </w:p>
        </w:tc>
        <w:tc>
          <w:tcPr>
            <w:tcW w:w="3690" w:type="dxa"/>
            <w:tcBorders>
              <w:top w:val="nil"/>
              <w:left w:val="nil"/>
              <w:bottom w:val="nil"/>
              <w:right w:val="nil"/>
            </w:tcBorders>
            <w:tcMar>
              <w:top w:w="0" w:type="dxa"/>
              <w:left w:w="62" w:type="dxa"/>
              <w:bottom w:w="0" w:type="dxa"/>
              <w:right w:w="62" w:type="dxa"/>
            </w:tcMar>
            <w:vAlign w:val="bottom"/>
          </w:tcPr>
          <w:p w:rsidR="00000000" w:rsidRPr="00720DD1" w:rsidP="00720DD1">
            <w:pPr>
              <w:pStyle w:val="BodyText"/>
            </w:pPr>
            <w:r w:rsidRPr="00720DD1">
              <w:t xml:space="preserve">Install and maintain low voltage underground services </w:t>
            </w:r>
          </w:p>
        </w:tc>
      </w:tr>
    </w:tbl>
    <w:p w:rsidR="00000000" w:rsidRPr="00720DD1" w:rsidP="00720DD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234A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rPr>
                <w:rStyle w:val="SpecialBold"/>
              </w:rPr>
              <w:t xml:space="preserve">4.2) </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Participants are best equipped to achieve this unit if they have reading, writing and numeracy skills indicated by the following scales. Description of each scale is given in Volume 2, Part 3 “Literacy and Numeracy”.</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Reading</w:t>
            </w:r>
          </w:p>
        </w:tc>
        <w:tc>
          <w:tcPr>
            <w:tcW w:w="81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4</w:t>
            </w:r>
          </w:p>
        </w:tc>
        <w:tc>
          <w:tcPr>
            <w:tcW w:w="99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Writing</w:t>
            </w:r>
          </w:p>
        </w:tc>
        <w:tc>
          <w:tcPr>
            <w:tcW w:w="90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4</w:t>
            </w:r>
          </w:p>
        </w:tc>
        <w:tc>
          <w:tcPr>
            <w:tcW w:w="126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Numeracy</w:t>
            </w:r>
          </w:p>
        </w:tc>
        <w:tc>
          <w:tcPr>
            <w:tcW w:w="72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t>4</w:t>
            </w:r>
          </w:p>
        </w:tc>
      </w:tr>
    </w:tbl>
    <w:p w:rsidR="00000000" w:rsidRPr="00720DD1" w:rsidP="00720DD1">
      <w:pPr>
        <w:pStyle w:val="BodyText"/>
      </w:pPr>
    </w:p>
    <w:p w:rsidR="00000000" w:rsidRPr="00720DD1" w:rsidP="00720DD1">
      <w:pPr>
        <w:pStyle w:val="AllowPageBreak"/>
      </w:pPr>
    </w:p>
    <w:p w:rsidR="00000000" w:rsidRPr="00720DD1" w:rsidP="00720DD1">
      <w:pPr>
        <w:pStyle w:val="Heading1"/>
      </w:pPr>
      <w:bookmarkStart w:id="6" w:name="O_461926"/>
      <w:bookmarkEnd w:id="6"/>
      <w:r w:rsidRPr="00720DD1">
        <w:t>Employability Skills Information</w:t>
      </w:r>
    </w:p>
    <w:tbl>
      <w:tblPr>
        <w:tblW w:w="0" w:type="auto"/>
        <w:tblLayout w:type="fixed"/>
        <w:tblCellMar>
          <w:left w:w="62" w:type="dxa"/>
          <w:right w:w="62" w:type="dxa"/>
        </w:tblCellMar>
        <w:tblLook w:val="0000"/>
      </w:tblPr>
      <w:tblGrid>
        <w:gridCol w:w="2700"/>
        <w:gridCol w:w="5760"/>
      </w:tblGrid>
      <w:tr w:rsidTr="002234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rPr>
                <w:rStyle w:val="SpecialBold"/>
              </w:rPr>
              <w:t xml:space="preserve">5) </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t xml:space="preserve">The required outcomes described in this unit of competency contain applicable facets of Employability Skills. The Employability Skills Summary of the qualification in which this </w:t>
            </w:r>
            <w:r w:rsidRPr="00720DD1">
              <w:t>unit of competency is packaged will assist in identifying Employability Skill requirements.</w:t>
            </w:r>
          </w:p>
        </w:tc>
      </w:tr>
    </w:tbl>
    <w:p w:rsidR="00000000" w:rsidRPr="00720DD1" w:rsidP="00720DD1">
      <w:pPr>
        <w:pStyle w:val="BodyText"/>
      </w:pPr>
    </w:p>
    <w:p w:rsidR="00000000" w:rsidRPr="00720DD1" w:rsidP="00720DD1">
      <w:pPr>
        <w:pStyle w:val="AllowPageBreak"/>
      </w:pPr>
    </w:p>
    <w:p w:rsidR="00000000" w:rsidRPr="00720DD1" w:rsidP="00720DD1">
      <w:pPr>
        <w:pStyle w:val="Heading1"/>
      </w:pPr>
      <w:bookmarkStart w:id="7" w:name="O_461925"/>
      <w:bookmarkEnd w:id="7"/>
      <w:r w:rsidRPr="00720DD1">
        <w:t>Elements and Performance Criteria Pre-Content</w:t>
      </w:r>
    </w:p>
    <w:tbl>
      <w:tblPr>
        <w:tblW w:w="0" w:type="auto"/>
        <w:tblLayout w:type="fixed"/>
        <w:tblCellMar>
          <w:left w:w="62" w:type="dxa"/>
          <w:right w:w="62" w:type="dxa"/>
        </w:tblCellMar>
        <w:tblLook w:val="0000"/>
      </w:tblPr>
      <w:tblGrid>
        <w:gridCol w:w="2700"/>
        <w:gridCol w:w="5760"/>
      </w:tblGrid>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rPr>
                <w:rStyle w:val="SpecialBold"/>
              </w:rPr>
              <w:t>6)</w:t>
            </w:r>
            <w:r w:rsidRPr="00720DD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t>Performance Criteria describe the required performance needed to demonstrate achievement of the element. Assessment of performance is to be consistent with the Evidence Guide.</w:t>
            </w:r>
          </w:p>
        </w:tc>
      </w:tr>
    </w:tbl>
    <w:p w:rsidR="00000000" w:rsidRPr="00720DD1" w:rsidP="00720DD1">
      <w:pPr>
        <w:pStyle w:val="BodyText"/>
      </w:pPr>
    </w:p>
    <w:p w:rsidR="00000000" w:rsidRPr="00720DD1" w:rsidP="00720DD1">
      <w:pPr>
        <w:pStyle w:val="AllowPageBreak"/>
      </w:pPr>
    </w:p>
    <w:p w:rsidR="00000000" w:rsidRPr="00720DD1" w:rsidP="00720DD1">
      <w:pPr>
        <w:pStyle w:val="Heading1"/>
      </w:pPr>
      <w:bookmarkStart w:id="8" w:name="O_461924"/>
      <w:bookmarkEnd w:id="8"/>
      <w:r w:rsidRPr="00720DD1">
        <w:t>Elements and Performance Criteria</w:t>
      </w:r>
    </w:p>
    <w:tbl>
      <w:tblPr>
        <w:tblW w:w="0" w:type="auto"/>
        <w:tblLayout w:type="fixed"/>
        <w:tblCellMar>
          <w:left w:w="62" w:type="dxa"/>
          <w:right w:w="62" w:type="dxa"/>
        </w:tblCellMar>
        <w:tblLook w:val="0000"/>
      </w:tblPr>
      <w:tblGrid>
        <w:gridCol w:w="411"/>
        <w:gridCol w:w="2271"/>
        <w:gridCol w:w="18"/>
        <w:gridCol w:w="953"/>
        <w:gridCol w:w="4747"/>
        <w:gridCol w:w="60"/>
      </w:tblGrid>
      <w:tr w:rsidTr="002234AD">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rPr>
                <w:rStyle w:val="SpecialBold"/>
              </w:rPr>
              <w:t>PERFORMANCE CRITER</w:t>
            </w:r>
            <w:r w:rsidRPr="00720DD1">
              <w:rPr>
                <w:rStyle w:val="SpecialBold"/>
              </w:rPr>
              <w:t>IA</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1</w:t>
            </w:r>
          </w:p>
        </w:tc>
        <w:tc>
          <w:tcPr>
            <w:tcW w:w="2271" w:type="dxa"/>
            <w:vMerge w:val="restart"/>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Prepare/Plan to install and maintain polymeric specialised underground cables</w:t>
            </w: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1.1</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 xml:space="preserve">Works schedule(s), including drawings, plans, requirements, established procedures, and material lists, are obtained, analysed, if necessary, </w:t>
            </w:r>
            <w:r w:rsidRPr="00720DD1">
              <w:t>by site inspection and the extent of the preparation of the work determined for planning and coordination.</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1.2</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Relevant requirements and established procedures for the work are communicated to all personnel and identified for all work sites.</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1.3</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Hazards are identified, OHS risks assessed and control measures are prioritised, implemented and monitored including emergency exits kept clear, to ensure safe systems of work are followed and according to established procedures.</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1.4</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Work is prioritised</w:t>
            </w:r>
            <w:r w:rsidRPr="00720DD1">
              <w:t xml:space="preserve"> and sequenced for the most efficient and effective outcome following consultation with others for completion within acceptable timeframes, to a quality standard and in accordance with established procedures.</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1.5</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Risk control measures are identified, pr</w:t>
            </w:r>
            <w:r w:rsidRPr="00720DD1">
              <w:t>ioritised and evaluated against the work schedule.</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1.6</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Relevant work permits are secured to coordinate the performance of work according to requirements and/or established procedures.</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1.7</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Resources including personnel, equipment, tools and personal protective equipment required for the job are identified, scheduled and coordinated and confirmed in a safe and technical working order.</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1.8</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Clients/customers are provided with possible soluti</w:t>
            </w:r>
            <w:r w:rsidRPr="00720DD1">
              <w:t>ons and/or options within the scope, acceptable cost and requirements.</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1.9</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Liaison and communication issues with other/authorised personnel, authorities, clients and land owners are resolved and activities coordinated to carry out work.</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1.10</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Site is prepared according to the work schedule and to minimise risk and damage to property, commerce, and individuals in accordance with established procedures.</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1.11</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Personnel participating in the work, including plant operators and contractors, are fu</w:t>
            </w:r>
            <w:r w:rsidRPr="00720DD1">
              <w:t>lly briefed and respective responsibilities coordinated and authorised where applicable in accordance with established procedures.</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1.12</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Positioning of road signs, barriers and warning devices is planned and coordinated in accordance with requirements.</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2</w:t>
            </w:r>
          </w:p>
        </w:tc>
        <w:tc>
          <w:tcPr>
            <w:tcW w:w="2271" w:type="dxa"/>
            <w:vMerge w:val="restart"/>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Carry out the installation and maintenance of polymeric specialised underground cables</w:t>
            </w: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2.1</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OHS and sustainable energy principles and practices to reduce the incidents of accidents and minimise waste are monitored and actioned in accordance with requireme</w:t>
            </w:r>
            <w:r w:rsidRPr="00720DD1">
              <w:t>nts and/or established procedures.</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2.2</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First Aid, Rescue and other related work procedures are performed according to requirements and/or established procedures.</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2.3</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Lifting, climbing, working in confined spaces and aloft, and use of power tools/equipment, techniques and practices are safely exercised according to requirements.</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2.4</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 xml:space="preserve">Hazard warnings and safety signs </w:t>
            </w:r>
            <w:r w:rsidRPr="00720DD1">
              <w:t>are recognised and hazards and assessed OHS risks are reported to the immediate authorised persons for directions according to established procedures.</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2.5</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Remedial actions are taken to overcome any shortfalls encountered in the work schedule according t</w:t>
            </w:r>
            <w:r w:rsidRPr="00720DD1">
              <w:t>o requirements and/or established procedures.</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2.6</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Installation and\or maintenance of polymeric specialised underground cables is carried out, in accordance with the work schedule and requirements and/or established procedures.</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2.7</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Essential knowledge</w:t>
            </w:r>
            <w:r w:rsidRPr="00720DD1">
              <w:t xml:space="preserve"> and associated skills are applied in the safe installation and\or maintenance of polymeric specialised underground cables to ensure completion in an agreed timeframe and, to quality standards with a minimum of waste according to requirements.</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2.8</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Solutions to non-routine problems are identified and actioned using acquired essential knowledge and associated skills according to requirements.</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2.9</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Ongoing checks of quality of the work are undertaken in accordance with requirements and established pr</w:t>
            </w:r>
            <w:r w:rsidRPr="00720DD1">
              <w:t>ocedures to ensure a quality like outcome is achieved for the client/customer and to a community/industry standard.</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3</w:t>
            </w:r>
          </w:p>
        </w:tc>
        <w:tc>
          <w:tcPr>
            <w:tcW w:w="2271" w:type="dxa"/>
            <w:vMerge w:val="restart"/>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Complete the installation and maintenance of polymeric specialised underground cables</w:t>
            </w: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3.1</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Work undertaken is checked against works schedu</w:t>
            </w:r>
            <w:r w:rsidRPr="00720DD1">
              <w:t>le for conformance with requirements, anomalies reported and solutions identified in accordance with established procedures.</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3.2</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Accidents and/or injuries are reported in accordance with requirements/established procedures.</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3.3</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Work site is rehabilitated, cleaned up and confirmed safe in accordance with established procedures.</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3.4</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Tools, equipment and any surplus resources and materials are, where appropriate, cleaned, checked and returned to storage in accordance with establi</w:t>
            </w:r>
            <w:r w:rsidRPr="00720DD1">
              <w:t>shed procedures.</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3.5</w:t>
            </w:r>
          </w:p>
        </w:tc>
        <w:tc>
          <w:tcPr>
            <w:tcW w:w="4747"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Relevant work permit(s) are signed off and, underground cables are returned to service and advised to client/customer in accordance with requirements.</w:t>
            </w:r>
          </w:p>
        </w:tc>
      </w:tr>
      <w:tr w:rsidTr="002234AD">
        <w:tblPrEx>
          <w:tblW w:w="0" w:type="auto"/>
          <w:tblLayout w:type="fixed"/>
          <w:tblCellMar>
            <w:left w:w="62" w:type="dxa"/>
            <w:right w:w="62" w:type="dxa"/>
          </w:tblCellMar>
          <w:tblLook w:val="0000"/>
        </w:tblPrEx>
        <w:trPr>
          <w:gridAfter w:val="1"/>
          <w:wAfter w:w="60" w:type="dxa"/>
        </w:trPr>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3.6</w:t>
            </w:r>
          </w:p>
        </w:tc>
        <w:tc>
          <w:tcPr>
            <w:tcW w:w="4747"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t>Works co</w:t>
            </w:r>
            <w:r w:rsidRPr="00720DD1">
              <w:t>mpletion records, reports, as installed /modified drawing(s) and/or documentation and information are confirmed, processed and appropriate personnel notified.</w:t>
            </w:r>
          </w:p>
        </w:tc>
      </w:tr>
    </w:tbl>
    <w:p w:rsidR="00000000" w:rsidRPr="00720DD1" w:rsidP="00720DD1">
      <w:pPr>
        <w:pStyle w:val="BodyText"/>
      </w:pPr>
    </w:p>
    <w:p w:rsidR="00000000" w:rsidRPr="00720DD1" w:rsidP="00720DD1">
      <w:pPr>
        <w:pStyle w:val="AllowPageBreak"/>
      </w:pPr>
    </w:p>
    <w:p w:rsidR="00000000" w:rsidRPr="00720DD1" w:rsidP="00720DD1">
      <w:pPr>
        <w:pStyle w:val="Heading1"/>
      </w:pPr>
      <w:bookmarkStart w:id="9" w:name="O_461932"/>
      <w:bookmarkEnd w:id="9"/>
      <w:r w:rsidRPr="00720DD1">
        <w:t>Required Skills and Knowledge</w:t>
      </w:r>
    </w:p>
    <w:tbl>
      <w:tblPr>
        <w:tblW w:w="0" w:type="auto"/>
        <w:tblLayout w:type="fixed"/>
        <w:tblCellMar>
          <w:left w:w="62" w:type="dxa"/>
          <w:right w:w="62" w:type="dxa"/>
        </w:tblCellMar>
        <w:tblLook w:val="0000"/>
      </w:tblPr>
      <w:tblGrid>
        <w:gridCol w:w="8460"/>
      </w:tblGrid>
      <w:tr w:rsidTr="002234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rPr>
                <w:rStyle w:val="SpecialBold"/>
              </w:rPr>
              <w:t>REQUIRED SKILLS AND KNOWLEDGE</w:t>
            </w:r>
          </w:p>
        </w:tc>
      </w:tr>
      <w:tr w:rsidTr="002234A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rPr>
                <w:rStyle w:val="SpecialBold"/>
              </w:rPr>
              <w:t>8)</w:t>
            </w:r>
            <w:r w:rsidRPr="00720DD1">
              <w:t xml:space="preserve"> Essential know</w:t>
            </w:r>
            <w:r w:rsidRPr="00720DD1">
              <w:t>ledge and associated skills (EKAS): This describes the essential skills and knowledge and their level, required for this unit.</w:t>
            </w:r>
          </w:p>
          <w:p w:rsidR="00000000" w:rsidRPr="00720DD1" w:rsidP="00720DD1">
            <w:pPr>
              <w:pStyle w:val="BodyText"/>
            </w:pPr>
            <w:r w:rsidRPr="00720DD1">
              <w:t>Evidence shall show that knowledge has been acquired of installing and maintaining polymeric specialised underground cables</w:t>
            </w:r>
          </w:p>
          <w:p w:rsidR="00000000" w:rsidRPr="00720DD1" w:rsidP="00720DD1">
            <w:pPr>
              <w:pStyle w:val="BodyText"/>
            </w:pPr>
            <w:r w:rsidRPr="00720DD1">
              <w:t>All knowledge and skills detailed in this unit should be contextualised to current industry practices and technologies.</w:t>
            </w:r>
          </w:p>
          <w:p w:rsidR="00000000" w:rsidRPr="00720DD1" w:rsidP="00720DD1">
            <w:pPr>
              <w:pStyle w:val="BodyText"/>
            </w:pPr>
            <w:r w:rsidRPr="00720DD1">
              <w:t>KS01-TCJ31A</w:t>
            </w:r>
            <w:r w:rsidRPr="00720DD1">
              <w:tab/>
              <w:t>Polymeric specialised underground cables</w:t>
            </w:r>
          </w:p>
          <w:p w:rsidR="00000000" w:rsidRPr="00720DD1" w:rsidP="00720DD1">
            <w:pPr>
              <w:pStyle w:val="BodyText"/>
            </w:pPr>
            <w:r w:rsidRPr="00720DD1">
              <w:t>Evidence shall show an understanding of principles, installation and maintenance an</w:t>
            </w:r>
            <w:r w:rsidRPr="00720DD1">
              <w:t>d jointing of polymeric specialised underground cables to an extent indicated by the following aspects:</w:t>
            </w:r>
          </w:p>
          <w:p w:rsidR="00000000" w:rsidRPr="00720DD1" w:rsidP="00720DD1">
            <w:pPr>
              <w:pStyle w:val="BodyText"/>
            </w:pPr>
            <w:r w:rsidRPr="00720DD1">
              <w:t>T1</w:t>
            </w:r>
            <w:r w:rsidRPr="00720DD1">
              <w:tab/>
              <w:t>Polymeric specialised underground cables principles encompassing:</w:t>
            </w:r>
          </w:p>
          <w:p w:rsidR="00000000" w:rsidRPr="00720DD1" w:rsidP="00720DD1">
            <w:pPr>
              <w:pStyle w:val="ListBullet"/>
            </w:pPr>
            <w:r w:rsidRPr="00720DD1">
              <w:t>Legislation, Standards, codes, legislation, supply authority regulations and or en</w:t>
            </w:r>
            <w:r w:rsidRPr="00720DD1">
              <w:t>terprise requirements pertaining to the working with polymeric specialised underground cables</w:t>
            </w:r>
          </w:p>
          <w:p w:rsidR="00000000" w:rsidRPr="00720DD1" w:rsidP="00720DD1">
            <w:pPr>
              <w:pStyle w:val="ListBullet"/>
            </w:pPr>
            <w:r w:rsidRPr="00720DD1">
              <w:t>Types of polymeric specialised underground cables – construction, characteristics and capabilities of the polymeric specialised cable, pressure/volume characteris</w:t>
            </w:r>
            <w:r w:rsidRPr="00720DD1">
              <w:t>tics of oil and gas, precautions when handling</w:t>
            </w:r>
          </w:p>
          <w:p w:rsidR="00000000" w:rsidRPr="00720DD1" w:rsidP="00720DD1">
            <w:pPr>
              <w:pStyle w:val="ListBullet"/>
            </w:pPr>
            <w:r w:rsidRPr="00720DD1">
              <w:t>Types and functions of tools and equipment used on polymeric specialised underground cables</w:t>
            </w:r>
          </w:p>
          <w:p w:rsidR="00000000" w:rsidRPr="00720DD1" w:rsidP="00720DD1">
            <w:pPr>
              <w:pStyle w:val="ListBullet"/>
            </w:pPr>
            <w:r w:rsidRPr="00720DD1">
              <w:t>Techniques when handling polymeric specialised underground cables</w:t>
            </w:r>
          </w:p>
          <w:p w:rsidR="00000000" w:rsidRPr="00720DD1" w:rsidP="00720DD1">
            <w:pPr>
              <w:pStyle w:val="BodyText"/>
            </w:pPr>
            <w:r w:rsidRPr="00720DD1">
              <w:t>T2</w:t>
            </w:r>
            <w:r w:rsidRPr="00720DD1">
              <w:tab/>
              <w:t>Installation and maintenance of polymeric specia</w:t>
            </w:r>
            <w:r w:rsidRPr="00720DD1">
              <w:t>lised underground cables encompassing:</w:t>
            </w:r>
          </w:p>
          <w:p w:rsidR="00000000" w:rsidRPr="00720DD1" w:rsidP="00720DD1">
            <w:pPr>
              <w:pStyle w:val="ListBullet"/>
            </w:pPr>
            <w:r w:rsidRPr="00720DD1">
              <w:t>Legislation, Standards, codes, legislation, supply authority regulations and or enterprise requirements pertaining to the installation and maintenance of polymeric specialised underground cables</w:t>
            </w:r>
          </w:p>
          <w:p w:rsidR="00000000" w:rsidRPr="00720DD1" w:rsidP="00720DD1">
            <w:pPr>
              <w:pStyle w:val="ListBullet"/>
            </w:pPr>
            <w:r w:rsidRPr="00720DD1">
              <w:t>Safety precautions of</w:t>
            </w:r>
            <w:r w:rsidRPr="00720DD1">
              <w:t xml:space="preserve"> working with polymeric specialised underground cables - safe operation procedures, Occupational Health and Safety hazards and precautions, dangers of working in confined spaces, identification of OHS hazards, assessing and controlling risks, types, select</w:t>
            </w:r>
            <w:r w:rsidRPr="00720DD1">
              <w:t>ion, maintenance, storage and uses of personnel protective equipment, authorisation to work systems and isolation procedures, safe working policies, procedures and practices when using/operating specialised equipment, emergency response and rescue includin</w:t>
            </w:r>
            <w:r w:rsidRPr="00720DD1">
              <w:t>g First Aid etc</w:t>
            </w:r>
          </w:p>
          <w:p w:rsidR="00000000" w:rsidRPr="00720DD1" w:rsidP="00720DD1">
            <w:pPr>
              <w:pStyle w:val="ListBullet"/>
            </w:pPr>
            <w:r w:rsidRPr="00720DD1">
              <w:t>Types, function and serviceability of tools and equipment used for the installation of polymeric specialised underground cables</w:t>
            </w:r>
          </w:p>
          <w:p w:rsidR="00000000" w:rsidRPr="00720DD1" w:rsidP="00720DD1">
            <w:pPr>
              <w:pStyle w:val="ListBullet"/>
            </w:pPr>
            <w:r w:rsidRPr="00720DD1">
              <w:t>Techniques in the safe installation of polymeric specialised underground cables</w:t>
            </w:r>
          </w:p>
          <w:p w:rsidR="00000000" w:rsidRPr="00720DD1" w:rsidP="00720DD1">
            <w:pPr>
              <w:pStyle w:val="ListBullet"/>
            </w:pPr>
            <w:r w:rsidRPr="00720DD1">
              <w:t>Techniques in the safe maintenan</w:t>
            </w:r>
            <w:r w:rsidRPr="00720DD1">
              <w:t>ce of polymeric specialised underground cables</w:t>
            </w:r>
          </w:p>
          <w:p w:rsidR="00000000" w:rsidRPr="00720DD1" w:rsidP="00720DD1">
            <w:pPr>
              <w:pStyle w:val="ListBullet"/>
            </w:pPr>
            <w:r w:rsidRPr="00720DD1">
              <w:t>Techniques in the safe testing/inspection of the polymeric specialised underground cables to ensure successful installation and/or maintenance has occurred</w:t>
            </w:r>
          </w:p>
          <w:p w:rsidR="00000000" w:rsidRPr="00720DD1" w:rsidP="00720DD1">
            <w:pPr>
              <w:pStyle w:val="BodyText"/>
            </w:pPr>
            <w:r w:rsidRPr="00720DD1">
              <w:t>T3</w:t>
            </w:r>
            <w:r w:rsidRPr="00720DD1">
              <w:tab/>
              <w:t xml:space="preserve">Jointing and termination of polymeric specialised </w:t>
            </w:r>
            <w:r w:rsidRPr="00720DD1">
              <w:t>underground cables encompassing:</w:t>
            </w:r>
          </w:p>
          <w:p w:rsidR="00000000" w:rsidRPr="00720DD1" w:rsidP="00720DD1">
            <w:pPr>
              <w:pStyle w:val="ListBullet"/>
            </w:pPr>
            <w:r w:rsidRPr="00720DD1">
              <w:t>Legislation, Standards, codes, legislation, supply authority regulations and or enterprise requirements pertaining to the working with polymeric specialised underground cables</w:t>
            </w:r>
          </w:p>
          <w:p w:rsidR="00000000" w:rsidRPr="00720DD1" w:rsidP="00720DD1">
            <w:pPr>
              <w:pStyle w:val="ListBullet"/>
            </w:pPr>
            <w:r w:rsidRPr="00720DD1">
              <w:t>Safety precautions of working with polymeric s</w:t>
            </w:r>
            <w:r w:rsidRPr="00720DD1">
              <w:t>pecialised underground cables - safe operation procedures, Occupational Health and Safety hazards and precautions, dangers of working in confined spaces, identification of OHS hazards, assessing and controlling risks, types, selection, maintenance, storage</w:t>
            </w:r>
            <w:r w:rsidRPr="00720DD1">
              <w:t xml:space="preserve"> and uses of personnel protective equipment, authorisation to work systems and isolation procedures, safe working policies, procedures and practices when using/operating specialised equipment, emergency response and rescue including First Aid etc</w:t>
            </w:r>
          </w:p>
          <w:p w:rsidR="00000000" w:rsidRPr="00720DD1" w:rsidP="00720DD1">
            <w:pPr>
              <w:pStyle w:val="ListBullet"/>
            </w:pPr>
            <w:r w:rsidRPr="00720DD1">
              <w:t>Types, fu</w:t>
            </w:r>
            <w:r w:rsidRPr="00720DD1">
              <w:t>nction and serviceability of tools and equipment used for the jointing and terminating of polymeric specialised underground cables</w:t>
            </w:r>
          </w:p>
          <w:p w:rsidR="00000000" w:rsidRPr="00720DD1" w:rsidP="00720DD1">
            <w:pPr>
              <w:pStyle w:val="ListBullet"/>
            </w:pPr>
            <w:r w:rsidRPr="00720DD1">
              <w:t>Techniques in the safe jointing and terminating polymeric specialised underground cables</w:t>
            </w:r>
          </w:p>
          <w:p w:rsidR="00000000" w:rsidRPr="00720DD1" w:rsidP="00720DD1">
            <w:pPr>
              <w:pStyle w:val="ListBullet"/>
            </w:pPr>
            <w:r w:rsidRPr="00720DD1">
              <w:t>Techniques in the safe testing of the polymeric specialised underground cables to ensure successful jointing and/or termination has occurred</w:t>
            </w:r>
          </w:p>
          <w:p w:rsidR="00000000" w:rsidRPr="00720DD1" w:rsidP="00720DD1">
            <w:pPr>
              <w:pStyle w:val="BodyText"/>
            </w:pPr>
            <w:r w:rsidRPr="00720DD1">
              <w:t>T4</w:t>
            </w:r>
            <w:r w:rsidRPr="00720DD1">
              <w:tab/>
              <w:t>Enterprise specific — policy and procedure instructions encompassing:</w:t>
            </w:r>
          </w:p>
          <w:p w:rsidR="00000000" w:rsidRPr="00720DD1" w:rsidP="00720DD1">
            <w:pPr>
              <w:pStyle w:val="ListBullet"/>
            </w:pPr>
            <w:r w:rsidRPr="00720DD1">
              <w:t>Responsibilities and duty of care of empl</w:t>
            </w:r>
            <w:r w:rsidRPr="00720DD1">
              <w:t>oyer and employee relationship</w:t>
            </w:r>
          </w:p>
          <w:p w:rsidR="00000000" w:rsidRPr="00720DD1" w:rsidP="00720DD1">
            <w:pPr>
              <w:pStyle w:val="ListBullet"/>
            </w:pPr>
            <w:r w:rsidRPr="00720DD1">
              <w:t>Methods of obtaining the up-to-date information on enterprise policy and procedures</w:t>
            </w:r>
          </w:p>
          <w:p w:rsidR="00000000" w:rsidRPr="00720DD1" w:rsidP="00720DD1">
            <w:pPr>
              <w:pStyle w:val="ListBullet"/>
            </w:pPr>
            <w:r w:rsidRPr="00720DD1">
              <w:t>Rules and regulations</w:t>
            </w:r>
          </w:p>
          <w:p w:rsidR="00000000" w:rsidRPr="00720DD1" w:rsidP="00720DD1">
            <w:pPr>
              <w:pStyle w:val="ListBullet"/>
            </w:pPr>
            <w:r w:rsidRPr="00720DD1">
              <w:t>Induction into workplace - location of work area and storage area, timetable, uniform, personal well-being, housekeepin</w:t>
            </w:r>
            <w:r w:rsidRPr="00720DD1">
              <w:t>g rules, emergency procedures, evacuation procedures</w:t>
            </w:r>
          </w:p>
          <w:p w:rsidR="00000000" w:rsidRPr="00720DD1" w:rsidP="00720DD1">
            <w:pPr>
              <w:pStyle w:val="ListBullet"/>
            </w:pPr>
            <w:r w:rsidRPr="00720DD1">
              <w:t>Techniques when deal with others - working in teams, customer relation, complaint and issues procedures.</w:t>
            </w:r>
          </w:p>
          <w:p w:rsidR="00000000" w:rsidRPr="00720DD1" w:rsidP="00720DD1">
            <w:pPr>
              <w:pStyle w:val="ListBullet"/>
            </w:pPr>
            <w:r w:rsidRPr="00720DD1">
              <w:t>Overview of enterprise professional development - fire fighting procedures, fatigue management, tr</w:t>
            </w:r>
            <w:r w:rsidRPr="00720DD1">
              <w:t>aining and competency development - understanding and promotion</w:t>
            </w:r>
          </w:p>
          <w:p w:rsidR="00000000" w:rsidRPr="00720DD1" w:rsidP="00720DD1">
            <w:pPr>
              <w:pStyle w:val="BodyText"/>
            </w:pPr>
            <w:r w:rsidRPr="00720DD1">
              <w:t>T5</w:t>
            </w:r>
            <w:r w:rsidRPr="00720DD1">
              <w:tab/>
              <w:t>Enterprises specific — OHS instructions encompassing:</w:t>
            </w:r>
          </w:p>
          <w:p w:rsidR="00000000" w:rsidRPr="00720DD1" w:rsidP="00720DD1">
            <w:pPr>
              <w:pStyle w:val="ListBullet"/>
            </w:pPr>
            <w:r w:rsidRPr="00720DD1">
              <w:t>Standards, codes, legislation, supply authority regulations and specific enterprise regulations pertaining to the OHS policies and pro</w:t>
            </w:r>
            <w:r w:rsidRPr="00720DD1">
              <w:t>cedures</w:t>
            </w:r>
          </w:p>
          <w:p w:rsidR="00000000" w:rsidRPr="00720DD1" w:rsidP="00720DD1">
            <w:pPr>
              <w:pStyle w:val="ListBullet"/>
            </w:pPr>
            <w:r w:rsidRPr="00720DD1">
              <w:t>Methods of obtaining the up-to-date information on enterprise OHS policy and procedures</w:t>
            </w:r>
          </w:p>
          <w:p w:rsidR="00000000" w:rsidRPr="00720DD1" w:rsidP="00720DD1">
            <w:pPr>
              <w:pStyle w:val="ListBullet"/>
            </w:pPr>
            <w:r w:rsidRPr="00720DD1">
              <w:t>Specific enterprise personal protection equipment - type and application, where and when to be used, method of replacement, responsibility of maintenance includ</w:t>
            </w:r>
            <w:r w:rsidRPr="00720DD1">
              <w:t>ing cleaning inspection and testing, emergency response, rescue, evacuation and First Aid procedures</w:t>
            </w:r>
          </w:p>
          <w:p w:rsidR="00000000" w:rsidRPr="00720DD1" w:rsidP="00720DD1">
            <w:pPr>
              <w:pStyle w:val="ListBullet"/>
            </w:pPr>
            <w:r w:rsidRPr="00720DD1">
              <w:t>Personal well-being – hygiene, fatigue/stress management, drugs/alcohol</w:t>
            </w:r>
          </w:p>
          <w:p w:rsidR="00000000" w:rsidRPr="00720DD1" w:rsidP="00720DD1">
            <w:pPr>
              <w:pStyle w:val="ListBullet"/>
            </w:pPr>
            <w:r w:rsidRPr="00720DD1">
              <w:t>OHS training - induction training, specific hazard training, specific task or equip</w:t>
            </w:r>
            <w:r w:rsidRPr="00720DD1">
              <w:t>ment training, emergency and evacuation training, training as part of broader programs such as equipment operation</w:t>
            </w:r>
          </w:p>
          <w:p w:rsidR="00000000" w:rsidRPr="00720DD1" w:rsidP="00720DD1">
            <w:pPr>
              <w:pStyle w:val="ListBullet"/>
            </w:pPr>
            <w:r w:rsidRPr="00720DD1">
              <w:t>OHS records including audits, inspection reports, workplace health and environmental monitoring records, training and instruction records, ma</w:t>
            </w:r>
            <w:r w:rsidRPr="00720DD1">
              <w:t>nufacturers and suppliers information such as MSDSs, registers, maintenance reports, workers compensation and rehabilitation records and First Aid/medical records</w:t>
            </w:r>
          </w:p>
          <w:p w:rsidR="00000000" w:rsidRPr="00720DD1" w:rsidP="00720DD1">
            <w:pPr>
              <w:pStyle w:val="BodyText"/>
            </w:pPr>
            <w:r w:rsidRPr="00720DD1">
              <w:t>T6</w:t>
            </w:r>
            <w:r w:rsidRPr="00720DD1">
              <w:tab/>
              <w:t>Enterprises specific — technical drawing and documents encompassing:</w:t>
            </w:r>
          </w:p>
          <w:p w:rsidR="00000000" w:rsidRPr="00720DD1" w:rsidP="00720DD1">
            <w:pPr>
              <w:pStyle w:val="ListBullet"/>
            </w:pPr>
            <w:r w:rsidRPr="00720DD1">
              <w:t>Types and applicatio</w:t>
            </w:r>
            <w:r w:rsidRPr="00720DD1">
              <w:t>n of enterprise specific drawings and documents - electrical and electronic drawings, mechanical drawings, project charts, schedules, graphs, technical manuals and catalogues</w:t>
            </w:r>
          </w:p>
          <w:p w:rsidR="00000000" w:rsidRPr="00720DD1" w:rsidP="00720DD1">
            <w:pPr>
              <w:pStyle w:val="ListBullet"/>
            </w:pPr>
            <w:r w:rsidRPr="00720DD1">
              <w:t>Instruction/worksheets sheets - types and application of enterprise specific symb</w:t>
            </w:r>
            <w:r w:rsidRPr="00720DD1">
              <w:t>ols and diagrams</w:t>
            </w:r>
          </w:p>
          <w:p w:rsidR="00000000" w:rsidRPr="00720DD1" w:rsidP="00720DD1">
            <w:pPr>
              <w:pStyle w:val="ListBullet"/>
            </w:pPr>
            <w:r w:rsidRPr="00720DD1">
              <w:t>Title box - description of parts and version control</w:t>
            </w:r>
          </w:p>
        </w:tc>
      </w:tr>
    </w:tbl>
    <w:p w:rsidR="00000000" w:rsidRPr="00720DD1" w:rsidP="00720DD1">
      <w:pPr>
        <w:pStyle w:val="BodyText"/>
      </w:pPr>
    </w:p>
    <w:p w:rsidR="00000000" w:rsidRPr="00720DD1" w:rsidP="00720DD1">
      <w:pPr>
        <w:pStyle w:val="AllowPageBreak"/>
      </w:pPr>
    </w:p>
    <w:p w:rsidR="00000000" w:rsidRPr="00720DD1" w:rsidP="00720DD1">
      <w:pPr>
        <w:pStyle w:val="Heading1"/>
      </w:pPr>
      <w:bookmarkStart w:id="10" w:name="O_461927"/>
      <w:bookmarkEnd w:id="10"/>
      <w:r w:rsidRPr="00720DD1">
        <w:t>Evidence Guide</w:t>
      </w:r>
    </w:p>
    <w:tbl>
      <w:tblPr>
        <w:tblW w:w="0" w:type="auto"/>
        <w:tblLayout w:type="fixed"/>
        <w:tblCellMar>
          <w:left w:w="62" w:type="dxa"/>
          <w:right w:w="62" w:type="dxa"/>
        </w:tblCellMar>
        <w:tblLook w:val="0000"/>
      </w:tblPr>
      <w:tblGrid>
        <w:gridCol w:w="8460"/>
      </w:tblGrid>
      <w:tr w:rsidTr="002234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rPr>
                <w:rStyle w:val="SpecialBold"/>
              </w:rPr>
              <w:t>EVIDENCE GUIDE</w:t>
            </w:r>
          </w:p>
        </w:tc>
      </w:tr>
      <w:tr w:rsidTr="002234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rPr>
                <w:rStyle w:val="SpecialBold"/>
              </w:rPr>
              <w:t>9)</w:t>
            </w:r>
            <w:r w:rsidRPr="00720DD1">
              <w:t xml:space="preserve"> This provides essential advice for assessment of the unit of competency and must be read in conjunction </w:t>
            </w:r>
            <w:r w:rsidRPr="00720DD1">
              <w:t>with the performance criteria and the range statement of the unit of competency and the Training Package Assessment Guidelines.</w:t>
            </w:r>
          </w:p>
          <w:p w:rsidR="00000000" w:rsidRPr="00720DD1" w:rsidP="00720DD1">
            <w:pPr>
              <w:pStyle w:val="BodyText"/>
            </w:pPr>
            <w:r w:rsidRPr="00720DD1">
              <w:t>The Evidence Guide forms an integral part of this Competency Standard Unit and shall be used in conjunction with all component p</w:t>
            </w:r>
            <w:r w:rsidRPr="00720DD1">
              <w:t>arts of this unit and, performed in accordance with the Assessment Guidelines of this Training Package.</w:t>
            </w:r>
          </w:p>
        </w:tc>
      </w:tr>
    </w:tbl>
    <w:p w:rsidR="00000000" w:rsidRPr="00720DD1" w:rsidP="00720DD1">
      <w:pPr>
        <w:pStyle w:val="BodyText"/>
      </w:pPr>
    </w:p>
    <w:tbl>
      <w:tblPr>
        <w:tblW w:w="0" w:type="auto"/>
        <w:tblLayout w:type="fixed"/>
        <w:tblCellMar>
          <w:left w:w="62" w:type="dxa"/>
          <w:right w:w="62" w:type="dxa"/>
        </w:tblCellMar>
        <w:tblLook w:val="0000"/>
      </w:tblPr>
      <w:tblGrid>
        <w:gridCol w:w="1890"/>
        <w:gridCol w:w="6570"/>
      </w:tblGrid>
      <w:tr w:rsidTr="00223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rPr>
                <w:rStyle w:val="SpecialBold"/>
              </w:rPr>
              <w:t>9.1)</w:t>
            </w:r>
          </w:p>
        </w:tc>
      </w:tr>
      <w:tr w:rsidTr="00223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t>Longitudinal competency development approaches to assessment, such as Profiling, require data to be reliably gathered in a form that can be consistently interpreted over time. This approach is best utilised in Apprenticeship programs and reduces assessment</w:t>
            </w:r>
            <w:r w:rsidRPr="00720DD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20DD1">
              <w:t>tency in a realistically simulated work environment. It is recognised that, in some circumstances, assessment in part or full can occur outside the workplace. However, it must be in accord with Industry and, Regulatory policy in this regard.</w:t>
            </w:r>
          </w:p>
          <w:p w:rsidR="00000000" w:rsidRPr="00720DD1" w:rsidP="00720DD1">
            <w:pPr>
              <w:pStyle w:val="BodyText"/>
            </w:pPr>
            <w:r w:rsidRPr="00720DD1">
              <w:t>Methods chosen</w:t>
            </w:r>
            <w:r w:rsidRPr="00720DD1">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720DD1">
              <w:t>equired and the critical nature of the competencies being assessed.</w:t>
            </w:r>
          </w:p>
          <w:p w:rsidR="00000000" w:rsidRPr="00720DD1" w:rsidP="00720DD1">
            <w:pPr>
              <w:pStyle w:val="BodyText"/>
            </w:pPr>
            <w:r w:rsidRPr="00720DD1">
              <w:t>The critical safety nature of working with electricity, electrical equipment, gas or any other hazardous substance/material carries risk in deeming a person competent. Hence, sources of ev</w:t>
            </w:r>
            <w:r w:rsidRPr="00720DD1">
              <w:t>idence need to be ‘rich’ in nature so as to minimise error in judgment.</w:t>
            </w:r>
          </w:p>
          <w:p w:rsidR="00000000" w:rsidRPr="00720DD1" w:rsidP="00720DD1">
            <w:pPr>
              <w:pStyle w:val="BodyText"/>
            </w:pPr>
            <w:r w:rsidRPr="00720DD1">
              <w:t>Activities associated with normal every day work have a bearing on the decision as to how much and how detailed the data gathered will contribute to its ‘richness’. Some skills are mor</w:t>
            </w:r>
            <w:r w:rsidRPr="00720DD1">
              <w:t>e critical to safety and operational requirements while the same skills may be more or less frequently practiced. These points are raised for the assessors to consider when choosing an assessment method and developing assessment instruments. Sample assessm</w:t>
            </w:r>
            <w:r w:rsidRPr="00720DD1">
              <w:t>ent instruments are included for Assessors in the Assessment Guidelines of this Training Package.</w:t>
            </w:r>
          </w:p>
        </w:tc>
      </w:tr>
    </w:tbl>
    <w:p w:rsidR="00000000" w:rsidRPr="00720DD1" w:rsidP="00720DD1">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223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rPr>
                <w:rStyle w:val="SpecialBold"/>
              </w:rPr>
              <w:t>9.2)</w:t>
            </w:r>
          </w:p>
        </w:tc>
      </w:tr>
      <w:tr w:rsidTr="00223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t>Before the critical aspects of evidence are considered all prerequisi</w:t>
            </w:r>
            <w:r w:rsidRPr="00720DD1">
              <w:t>tes shall be met.</w:t>
            </w:r>
          </w:p>
          <w:p w:rsidR="00000000" w:rsidRPr="00720DD1" w:rsidP="00720DD1">
            <w:pPr>
              <w:pStyle w:val="BodyText"/>
            </w:pPr>
            <w:r w:rsidRPr="00720DD1">
              <w:t xml:space="preserve">Evidence for competence in this unit shall be considered holistically. Each element and associated performance criteria shall be demonstrated on at least two occasions in accordance with the “Assessment Guidelines – UET12”. Evidence </w:t>
            </w:r>
            <w:r w:rsidRPr="00720DD1">
              <w:t>shall also comprise:</w:t>
            </w:r>
          </w:p>
          <w:p w:rsidR="00000000" w:rsidRPr="00720DD1" w:rsidP="00720DD1">
            <w:pPr>
              <w:pStyle w:val="ListBullet"/>
            </w:pPr>
            <w:r w:rsidRPr="00720DD1">
              <w:t>A representative body of performance criteria demonstrated within the timeframes typically expected of the discipline, work function and industrial environment. In particular this shall incorporate evidence that shows a candidate is a</w:t>
            </w:r>
            <w:r w:rsidRPr="00720DD1">
              <w:t>ble to:</w:t>
            </w:r>
          </w:p>
          <w:p w:rsidR="00000000" w:rsidRPr="00720DD1" w:rsidP="00720DD1">
            <w:pPr>
              <w:pStyle w:val="ListBullet2"/>
            </w:pPr>
            <w:r w:rsidRPr="00720DD1">
              <w:t>Implement Occupational Health and Safety workplace procedures and practices including the use of risk control measures as specified in the performance criteria and range; and</w:t>
            </w:r>
          </w:p>
          <w:p w:rsidR="00000000" w:rsidRPr="00720DD1" w:rsidP="00720DD1">
            <w:pPr>
              <w:pStyle w:val="ListBullet2"/>
            </w:pPr>
            <w:r w:rsidRPr="00720DD1">
              <w:t>Apply sustainable energy principles and practices as specified in the pe</w:t>
            </w:r>
            <w:r w:rsidRPr="00720DD1">
              <w:t>rformance criteria and range; and</w:t>
            </w:r>
          </w:p>
          <w:p w:rsidR="00000000" w:rsidRPr="00720DD1" w:rsidP="00720DD1">
            <w:pPr>
              <w:pStyle w:val="ListBullet2"/>
            </w:pPr>
            <w:r w:rsidRPr="00720DD1">
              <w:t>Demonstrate an understanding of the essential knowledge and associated skills as described in this unit to such an extent that the learner’s performance outcome is reported in accordance with the preferred approach; namely</w:t>
            </w:r>
            <w:r w:rsidRPr="00720DD1">
              <w:t xml:space="preserve"> a percentile graded result, where required by the regulated environment; and</w:t>
            </w:r>
          </w:p>
          <w:p w:rsidR="00000000" w:rsidRPr="00720DD1" w:rsidP="00720DD1">
            <w:pPr>
              <w:pStyle w:val="ListBullet2"/>
            </w:pPr>
            <w:r w:rsidRPr="00720DD1">
              <w:t>Demonstrate an appropriate level of employability skills; and</w:t>
            </w:r>
          </w:p>
          <w:p w:rsidR="00000000" w:rsidRPr="00720DD1" w:rsidP="00720DD1">
            <w:pPr>
              <w:pStyle w:val="ListBullet"/>
            </w:pPr>
            <w:r w:rsidRPr="00720DD1">
              <w:t>Conduct work observing the relevant Anti Discrimination legislation, regulations, policies and workplace procedures</w:t>
            </w:r>
            <w:r w:rsidRPr="00720DD1">
              <w:t>; and</w:t>
            </w:r>
          </w:p>
          <w:p w:rsidR="00000000" w:rsidP="00720DD1">
            <w:pPr>
              <w:pStyle w:val="ListBullet2"/>
              <w:rPr>
                <w:lang w:val="en-NZ"/>
              </w:rPr>
            </w:pPr>
            <w:r w:rsidRPr="00720DD1">
              <w:t>Demonstrated performance across a representative range of contexts from the prescribed items below:</w:t>
            </w:r>
          </w:p>
        </w:tc>
      </w:tr>
      <w:tr w:rsidTr="00223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720DD1">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DD1">
            <w:pPr>
              <w:pStyle w:val="BodyText"/>
              <w:rPr>
                <w:lang w:val="en-NZ"/>
              </w:rPr>
            </w:pPr>
            <w:r w:rsidRPr="00720DD1">
              <w:rPr>
                <w:rStyle w:val="SpecialBold"/>
              </w:rPr>
              <w:t>Range of tools/equipment/materials/procedures/workplaces/other variables</w:t>
            </w:r>
          </w:p>
        </w:tc>
      </w:tr>
      <w:tr w:rsidTr="00223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720DD1">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DD1" w:rsidP="00720DD1">
            <w:pPr>
              <w:pStyle w:val="BodyText"/>
            </w:pPr>
            <w:r w:rsidRPr="00720DD1">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DD1" w:rsidP="00720DD1">
            <w:pPr>
              <w:pStyle w:val="BodyText"/>
            </w:pPr>
            <w:r w:rsidRPr="00720DD1">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DD1">
            <w:pPr>
              <w:pStyle w:val="BodyText"/>
              <w:rPr>
                <w:lang w:val="en-NZ"/>
              </w:rPr>
            </w:pPr>
            <w:r w:rsidRPr="00720DD1">
              <w:rPr>
                <w:rStyle w:val="SpecialBold"/>
              </w:rPr>
              <w:t>Item List</w:t>
            </w:r>
          </w:p>
        </w:tc>
      </w:tr>
      <w:tr w:rsidTr="00223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DD1">
            <w:pPr>
              <w:pStyle w:val="BodyText"/>
              <w:rPr>
                <w:lang w:val="en-NZ"/>
              </w:rPr>
            </w:pPr>
            <w:r w:rsidRPr="00720DD1">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DD1">
            <w:pPr>
              <w:pStyle w:val="BodyText"/>
              <w:rPr>
                <w:lang w:val="en-NZ"/>
              </w:rPr>
            </w:pPr>
            <w:r w:rsidRPr="00720DD1">
              <w:t>Install and maintain 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DD1" w:rsidP="00720DD1">
            <w:pPr>
              <w:pStyle w:val="BodyText"/>
            </w:pPr>
            <w:r w:rsidRPr="00720DD1">
              <w:t>Specialised XLPE cables above 33 kV</w:t>
            </w:r>
          </w:p>
          <w:p w:rsidR="00000000" w:rsidP="00720DD1">
            <w:pPr>
              <w:pStyle w:val="BodyText"/>
              <w:rPr>
                <w:lang w:val="en-NZ"/>
              </w:rPr>
            </w:pPr>
            <w:r w:rsidRPr="00720DD1">
              <w:t>Specialised EPR cables above 33 kV</w:t>
            </w:r>
          </w:p>
        </w:tc>
      </w:tr>
      <w:tr w:rsidTr="00223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DD1">
            <w:pPr>
              <w:pStyle w:val="BodyText"/>
              <w:rPr>
                <w:lang w:val="en-NZ"/>
              </w:rPr>
            </w:pPr>
            <w:r w:rsidRPr="00720DD1">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DD1">
            <w:pPr>
              <w:pStyle w:val="BodyText"/>
              <w:rPr>
                <w:lang w:val="en-NZ"/>
              </w:rPr>
            </w:pPr>
            <w:r w:rsidRPr="00720DD1">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DD1" w:rsidP="00720DD1">
            <w:pPr>
              <w:pStyle w:val="BodyText"/>
            </w:pPr>
            <w:r w:rsidRPr="00720DD1">
              <w:t>Straight through joints.</w:t>
            </w:r>
          </w:p>
          <w:p w:rsidR="00000000" w:rsidP="00720DD1">
            <w:pPr>
              <w:pStyle w:val="BodyText"/>
              <w:rPr>
                <w:lang w:val="en-NZ"/>
              </w:rPr>
            </w:pPr>
            <w:r w:rsidRPr="00720DD1">
              <w:t>Terminations</w:t>
            </w:r>
          </w:p>
        </w:tc>
      </w:tr>
      <w:tr w:rsidTr="00223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DD1">
            <w:pPr>
              <w:pStyle w:val="BodyText"/>
              <w:rPr>
                <w:lang w:val="en-NZ"/>
              </w:rPr>
            </w:pPr>
            <w:r w:rsidRPr="00720DD1">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DD1">
            <w:pPr>
              <w:pStyle w:val="BodyText"/>
              <w:rPr>
                <w:lang w:val="en-NZ"/>
              </w:rPr>
            </w:pPr>
            <w:r w:rsidRPr="00720DD1">
              <w:t>Use of at least three of the following specialised cable installation equipment: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DD1" w:rsidP="00720DD1">
            <w:pPr>
              <w:pStyle w:val="BodyText"/>
            </w:pPr>
            <w:r w:rsidRPr="00720DD1">
              <w:t xml:space="preserve">Winches </w:t>
            </w:r>
          </w:p>
          <w:p w:rsidR="00000000" w:rsidRPr="00720DD1" w:rsidP="00720DD1">
            <w:pPr>
              <w:pStyle w:val="BodyText"/>
            </w:pPr>
            <w:r w:rsidRPr="00720DD1">
              <w:t xml:space="preserve">Caterpillars </w:t>
            </w:r>
          </w:p>
          <w:p w:rsidR="00000000" w:rsidRPr="00720DD1" w:rsidP="00720DD1">
            <w:pPr>
              <w:pStyle w:val="BodyText"/>
            </w:pPr>
            <w:r w:rsidRPr="00720DD1">
              <w:t>Rollers</w:t>
            </w:r>
          </w:p>
          <w:p w:rsidR="00000000" w:rsidRPr="00720DD1" w:rsidP="00720DD1">
            <w:pPr>
              <w:pStyle w:val="BodyText"/>
            </w:pPr>
            <w:r w:rsidRPr="00720DD1">
              <w:t>Bond lines</w:t>
            </w:r>
          </w:p>
          <w:p w:rsidR="00000000" w:rsidRPr="00720DD1" w:rsidP="00720DD1">
            <w:pPr>
              <w:pStyle w:val="BodyText"/>
            </w:pPr>
            <w:r w:rsidRPr="00720DD1">
              <w:t>Nose pull devices</w:t>
            </w:r>
          </w:p>
          <w:p w:rsidR="00000000" w:rsidP="00720DD1">
            <w:pPr>
              <w:pStyle w:val="BodyText"/>
              <w:rPr>
                <w:lang w:val="en-NZ"/>
              </w:rPr>
            </w:pPr>
            <w:r w:rsidRPr="00720DD1">
              <w:t>Drum jacks</w:t>
            </w:r>
          </w:p>
        </w:tc>
      </w:tr>
      <w:tr w:rsidTr="00223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DD1">
            <w:pPr>
              <w:pStyle w:val="BodyText"/>
              <w:rPr>
                <w:lang w:val="en-NZ"/>
              </w:rPr>
            </w:pPr>
            <w:r w:rsidRPr="00720DD1">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DD1">
            <w:pPr>
              <w:pStyle w:val="BodyText"/>
              <w:rPr>
                <w:lang w:val="en-NZ"/>
              </w:rPr>
            </w:pPr>
            <w:r w:rsidRPr="00720DD1">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DD1" w:rsidP="00720DD1">
            <w:pPr>
              <w:pStyle w:val="BodyText"/>
            </w:pPr>
            <w:r w:rsidRPr="00720DD1">
              <w:t>Connectors</w:t>
            </w:r>
          </w:p>
          <w:p w:rsidR="00000000" w:rsidRPr="00720DD1" w:rsidP="00720DD1">
            <w:pPr>
              <w:pStyle w:val="BodyText"/>
            </w:pPr>
            <w:r w:rsidRPr="00720DD1">
              <w:t>Mechanical connectors</w:t>
            </w:r>
          </w:p>
          <w:p w:rsidR="00000000" w:rsidP="00720DD1">
            <w:pPr>
              <w:pStyle w:val="BodyText"/>
              <w:rPr>
                <w:lang w:val="en-NZ"/>
              </w:rPr>
            </w:pPr>
            <w:r w:rsidRPr="00720DD1">
              <w:t>Compression connectors</w:t>
            </w:r>
          </w:p>
        </w:tc>
      </w:tr>
      <w:tr w:rsidTr="00223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DD1">
            <w:pPr>
              <w:pStyle w:val="BodyText"/>
              <w:rPr>
                <w:lang w:val="en-NZ"/>
              </w:rPr>
            </w:pPr>
            <w:r w:rsidRPr="00720DD1">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DD1">
            <w:pPr>
              <w:pStyle w:val="BodyText"/>
              <w:rPr>
                <w:lang w:val="en-NZ"/>
              </w:rPr>
            </w:pPr>
            <w:r w:rsidRPr="00720DD1">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DD1" w:rsidP="00720DD1">
            <w:pPr>
              <w:pStyle w:val="BodyText"/>
            </w:pPr>
            <w:r w:rsidRPr="00720DD1">
              <w:t>Air boxes</w:t>
            </w:r>
          </w:p>
          <w:p w:rsidR="00000000" w:rsidRPr="00720DD1" w:rsidP="00720DD1">
            <w:pPr>
              <w:pStyle w:val="BodyText"/>
            </w:pPr>
            <w:r w:rsidRPr="00720DD1">
              <w:t>Compound filled boxes</w:t>
            </w:r>
          </w:p>
          <w:p w:rsidR="00000000" w:rsidP="00720DD1">
            <w:pPr>
              <w:pStyle w:val="BodyText"/>
              <w:rPr>
                <w:lang w:val="en-NZ"/>
              </w:rPr>
            </w:pPr>
            <w:r w:rsidRPr="00720DD1">
              <w:t>Gas filled boxes</w:t>
            </w:r>
          </w:p>
        </w:tc>
      </w:tr>
      <w:tr w:rsidTr="00223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DD1">
            <w:pPr>
              <w:pStyle w:val="BodyText"/>
              <w:rPr>
                <w:lang w:val="en-NZ"/>
              </w:rPr>
            </w:pPr>
            <w:r w:rsidRPr="00720DD1">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DD1">
            <w:pPr>
              <w:pStyle w:val="BodyText"/>
              <w:rPr>
                <w:lang w:val="en-NZ"/>
              </w:rPr>
            </w:pPr>
            <w:r w:rsidRPr="00720DD1">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DD1" w:rsidP="00720DD1">
            <w:pPr>
              <w:pStyle w:val="BodyText"/>
            </w:pPr>
            <w:r w:rsidRPr="00720DD1">
              <w:t>Polymeric tape materials</w:t>
            </w:r>
          </w:p>
          <w:p w:rsidR="00000000" w:rsidRPr="00720DD1" w:rsidP="00720DD1">
            <w:pPr>
              <w:pStyle w:val="BodyText"/>
            </w:pPr>
            <w:r w:rsidRPr="00720DD1">
              <w:t>Heat shrink materials</w:t>
            </w:r>
          </w:p>
          <w:p w:rsidR="00000000" w:rsidP="00720DD1">
            <w:pPr>
              <w:pStyle w:val="BodyText"/>
              <w:rPr>
                <w:lang w:val="en-NZ"/>
              </w:rPr>
            </w:pPr>
            <w:r w:rsidRPr="00720DD1">
              <w:t>Moulded components</w:t>
            </w:r>
          </w:p>
        </w:tc>
      </w:tr>
      <w:tr w:rsidTr="00223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DD1">
            <w:pPr>
              <w:pStyle w:val="BodyText"/>
              <w:rPr>
                <w:lang w:val="en-NZ"/>
              </w:rPr>
            </w:pPr>
            <w:r w:rsidRPr="00720DD1">
              <w:t>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DD1">
            <w:pPr>
              <w:pStyle w:val="BodyText"/>
              <w:rPr>
                <w:lang w:val="en-NZ"/>
              </w:rPr>
            </w:pPr>
            <w:r w:rsidRPr="00720DD1">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DD1" w:rsidP="00720DD1">
            <w:pPr>
              <w:pStyle w:val="BodyText"/>
            </w:pPr>
            <w:r w:rsidRPr="00720DD1">
              <w:t>Dealing with an unplanned event by drawing on essential knowledge and associated skills to provide appropriate solutions incorporated in the holistic assessment with the above listed items.</w:t>
            </w:r>
          </w:p>
        </w:tc>
      </w:tr>
    </w:tbl>
    <w:p w:rsidR="00000000" w:rsidRPr="00720DD1" w:rsidP="00720DD1">
      <w:pPr>
        <w:pStyle w:val="BodyText"/>
      </w:pPr>
    </w:p>
    <w:tbl>
      <w:tblPr>
        <w:tblW w:w="0" w:type="auto"/>
        <w:tblLayout w:type="fixed"/>
        <w:tblCellMar>
          <w:left w:w="62" w:type="dxa"/>
          <w:right w:w="62" w:type="dxa"/>
        </w:tblCellMar>
        <w:tblLook w:val="0000"/>
      </w:tblPr>
      <w:tblGrid>
        <w:gridCol w:w="1890"/>
        <w:gridCol w:w="6570"/>
      </w:tblGrid>
      <w:tr w:rsidTr="002234A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rPr>
                <w:rStyle w:val="SpecialBold"/>
              </w:rPr>
              <w:t>9.3)</w:t>
            </w:r>
          </w:p>
        </w:tc>
      </w:tr>
      <w:tr w:rsidTr="002234A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t>This unit should be assessed as it relates to normal work practice using procedures, information and resources typical of a workplace. This should include:</w:t>
            </w:r>
          </w:p>
          <w:p w:rsidR="00000000" w:rsidRPr="00720DD1" w:rsidP="00720DD1">
            <w:pPr>
              <w:pStyle w:val="ListBullet"/>
            </w:pPr>
            <w:r w:rsidRPr="00720DD1">
              <w:t>OHS policy and work procedures and instructions.</w:t>
            </w:r>
          </w:p>
          <w:p w:rsidR="00000000" w:rsidRPr="00720DD1" w:rsidP="00720DD1">
            <w:pPr>
              <w:pStyle w:val="ListBullet"/>
            </w:pPr>
            <w:r w:rsidRPr="00720DD1">
              <w:t>Suitable work environment, facilities, equipment a</w:t>
            </w:r>
            <w:r w:rsidRPr="00720DD1">
              <w:t>nd materials to undertake actual installation and maintenance of polymeric specialised underground cables.</w:t>
            </w:r>
          </w:p>
          <w:p w:rsidR="00000000" w:rsidRPr="00720DD1" w:rsidP="00720DD1">
            <w:pPr>
              <w:pStyle w:val="BodyText"/>
            </w:pPr>
            <w:r w:rsidRPr="00720DD1">
              <w:t xml:space="preserve">In addition to the resources listed above, in context of and specific resources for assessment, evidence should show demonstrated competency working </w:t>
            </w:r>
            <w:r w:rsidRPr="00720DD1">
              <w:t xml:space="preserve">at realistic heights above ground i.e. above 3 metres, in limited spaces, with different structural/construction types and method and in a variety of environments. </w:t>
            </w:r>
          </w:p>
        </w:tc>
      </w:tr>
    </w:tbl>
    <w:p w:rsidR="00000000" w:rsidRPr="00720DD1" w:rsidP="00720DD1">
      <w:pPr>
        <w:pStyle w:val="BodyText"/>
      </w:pPr>
    </w:p>
    <w:tbl>
      <w:tblPr>
        <w:tblW w:w="0" w:type="auto"/>
        <w:tblLayout w:type="fixed"/>
        <w:tblCellMar>
          <w:left w:w="62" w:type="dxa"/>
          <w:right w:w="62" w:type="dxa"/>
        </w:tblCellMar>
        <w:tblLook w:val="0000"/>
      </w:tblPr>
      <w:tblGrid>
        <w:gridCol w:w="1890"/>
        <w:gridCol w:w="6570"/>
      </w:tblGrid>
      <w:tr w:rsidTr="00223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rPr>
                <w:rStyle w:val="SpecialBold"/>
              </w:rPr>
              <w:t>9.4)</w:t>
            </w:r>
          </w:p>
        </w:tc>
      </w:tr>
      <w:tr w:rsidTr="00223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t>This Competency Standard Unit shall be assessed by methods given in Volume 1, Part 3 “Assessment Guidelines”.</w:t>
            </w:r>
          </w:p>
          <w:p w:rsidR="00000000" w:rsidRPr="00720DD1" w:rsidP="00720DD1">
            <w:pPr>
              <w:pStyle w:val="BodyText"/>
            </w:pPr>
            <w:r w:rsidRPr="00720DD1">
              <w:t>Note:</w:t>
            </w:r>
          </w:p>
          <w:p w:rsidR="00000000" w:rsidRPr="00720DD1" w:rsidP="00720DD1">
            <w:pPr>
              <w:pStyle w:val="BodyText"/>
            </w:pPr>
            <w:r w:rsidRPr="00720DD1">
              <w:t xml:space="preserve">Competent performance with inherent safe working practices is expected in the Industry to which this Competency Standard Unit applies. This </w:t>
            </w:r>
            <w:r w:rsidRPr="00720DD1">
              <w:t>requires that the specified essential knowledge and associated skills are assessed in a structured environment which is primarily intended for learning/assessment and incorporates all necessary equipment and facilities for learners to develop and demonstra</w:t>
            </w:r>
            <w:r w:rsidRPr="00720DD1">
              <w:t>te the essential knowledge and associated skills described in this unit.</w:t>
            </w:r>
          </w:p>
        </w:tc>
      </w:tr>
    </w:tbl>
    <w:p w:rsidR="00000000" w:rsidRPr="00720DD1" w:rsidP="00720DD1">
      <w:pPr>
        <w:pStyle w:val="BodyText"/>
      </w:pPr>
    </w:p>
    <w:tbl>
      <w:tblPr>
        <w:tblW w:w="0" w:type="auto"/>
        <w:tblLayout w:type="fixed"/>
        <w:tblCellMar>
          <w:left w:w="62" w:type="dxa"/>
          <w:right w:w="62" w:type="dxa"/>
        </w:tblCellMar>
        <w:tblLook w:val="0000"/>
      </w:tblPr>
      <w:tblGrid>
        <w:gridCol w:w="1890"/>
        <w:gridCol w:w="1530"/>
        <w:gridCol w:w="5040"/>
      </w:tblGrid>
      <w:tr w:rsidTr="00223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rPr>
                <w:rStyle w:val="SpecialBold"/>
              </w:rPr>
              <w:t>9.5)</w:t>
            </w:r>
          </w:p>
        </w:tc>
      </w:tr>
      <w:tr w:rsidTr="00223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For optimisation of training and assessment effort, competence in this unit may be assessed concurrently with the fol</w:t>
            </w:r>
            <w:r w:rsidRPr="00720DD1">
              <w:t xml:space="preserve">lowing units: </w:t>
            </w:r>
          </w:p>
        </w:tc>
      </w:tr>
      <w:tr w:rsidTr="00223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UETTDRCJ29A</w:t>
            </w:r>
          </w:p>
        </w:tc>
        <w:tc>
          <w:tcPr>
            <w:tcW w:w="504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Install gas and oil filled specialised underground cables</w:t>
            </w:r>
          </w:p>
        </w:tc>
      </w:tr>
      <w:tr w:rsidTr="00223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UETTDRCJ30A</w:t>
            </w:r>
          </w:p>
        </w:tc>
        <w:tc>
          <w:tcPr>
            <w:tcW w:w="504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Maintain gas and oil filled specialised underground cables</w:t>
            </w:r>
          </w:p>
        </w:tc>
      </w:tr>
      <w:tr w:rsidTr="002234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t>UETTDRCJ32A</w:t>
            </w:r>
          </w:p>
        </w:tc>
        <w:tc>
          <w:tcPr>
            <w:tcW w:w="504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t>Install and maintain gas and oil pressure systems for specialised underground cables</w:t>
            </w:r>
          </w:p>
        </w:tc>
      </w:tr>
    </w:tbl>
    <w:p w:rsidR="00000000" w:rsidRPr="00720DD1" w:rsidP="00720DD1">
      <w:pPr>
        <w:pStyle w:val="BodyText"/>
      </w:pPr>
    </w:p>
    <w:p w:rsidR="00000000" w:rsidRPr="00720DD1" w:rsidP="00720DD1">
      <w:pPr>
        <w:pStyle w:val="AllowPageBreak"/>
      </w:pPr>
    </w:p>
    <w:p w:rsidR="00000000" w:rsidRPr="00720DD1" w:rsidP="00720DD1">
      <w:pPr>
        <w:pStyle w:val="Heading1"/>
      </w:pPr>
      <w:bookmarkStart w:id="11" w:name="O_461931"/>
      <w:bookmarkEnd w:id="11"/>
      <w:r w:rsidRPr="00720DD1">
        <w:t>Range Statement</w:t>
      </w:r>
    </w:p>
    <w:tbl>
      <w:tblPr>
        <w:tblW w:w="0" w:type="auto"/>
        <w:tblLayout w:type="fixed"/>
        <w:tblCellMar>
          <w:left w:w="62" w:type="dxa"/>
          <w:right w:w="62" w:type="dxa"/>
        </w:tblCellMar>
        <w:tblLook w:val="0000"/>
      </w:tblPr>
      <w:tblGrid>
        <w:gridCol w:w="8460"/>
      </w:tblGrid>
      <w:tr w:rsidTr="002234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rPr>
                <w:rStyle w:val="SpecialBold"/>
              </w:rPr>
              <w:t>RANGE STATEMENT</w:t>
            </w:r>
          </w:p>
        </w:tc>
      </w:tr>
      <w:tr w:rsidTr="002234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rPr>
                <w:rStyle w:val="SpecialBold"/>
              </w:rPr>
              <w:t>10)</w:t>
            </w:r>
            <w:r w:rsidRPr="00720DD1">
              <w:t xml:space="preserve"> This relates to the unit of competency as a whole providing the range of contexts and conditions </w:t>
            </w:r>
            <w:r w:rsidRPr="00720DD1">
              <w:t>to which the performance criteria apply. It allows for different work environments and situations that will affect performance.</w:t>
            </w:r>
          </w:p>
          <w:p w:rsidR="00000000" w:rsidRPr="00720DD1" w:rsidP="00720DD1">
            <w:pPr>
              <w:pStyle w:val="BodyText"/>
            </w:pPr>
            <w:r w:rsidRPr="00720DD1">
              <w:t>This Competency Standard Unit shall be demonstrated in relation to polymeric specialised underground cables including XLPE and E</w:t>
            </w:r>
            <w:r w:rsidRPr="00720DD1">
              <w:t>PR above 33 kV, and covers the installation, jointing, terminating, repair and replacement of cables used in systems and circuits and the issuing/accepting of relevant permits.</w:t>
            </w:r>
          </w:p>
          <w:p w:rsidR="00000000" w:rsidRPr="00720DD1" w:rsidP="00720DD1">
            <w:pPr>
              <w:pStyle w:val="BodyText"/>
            </w:pPr>
            <w:r w:rsidRPr="00720DD1">
              <w:t xml:space="preserve">It also encompasses the preparation of the cable jointing bay, the preparation </w:t>
            </w:r>
            <w:r w:rsidRPr="00720DD1">
              <w:t xml:space="preserve">of cables and phasing out, the treatment/handling, but not jointing of fibre optical cables. Also cable identification and spiking are included. </w:t>
            </w:r>
          </w:p>
          <w:p w:rsidR="00000000" w:rsidRPr="00720DD1" w:rsidP="00720DD1">
            <w:pPr>
              <w:pStyle w:val="BodyText"/>
            </w:pPr>
            <w:r w:rsidRPr="00720DD1">
              <w:t>Underground equipment may include switchgear, transformers, specialised cable joints and termination kits, spe</w:t>
            </w:r>
            <w:r w:rsidRPr="00720DD1">
              <w:t xml:space="preserve">cialised cable installation equipment, specialised cable heating equipment and tooling. </w:t>
            </w:r>
          </w:p>
          <w:p w:rsidR="00000000" w:rsidRPr="00720DD1" w:rsidP="00720DD1">
            <w:pPr>
              <w:pStyle w:val="BodyText"/>
            </w:pPr>
            <w:r w:rsidRPr="00720DD1">
              <w:t>Test and recording equipment includes voltage detectors, cable identification equipment, cable spiking equipment and insulation resistance testers.</w:t>
            </w:r>
          </w:p>
          <w:p w:rsidR="00000000" w:rsidRPr="00720DD1" w:rsidP="00720DD1">
            <w:pPr>
              <w:pStyle w:val="BodyText"/>
            </w:pPr>
            <w:r w:rsidRPr="00720DD1">
              <w:t>Jointing and termin</w:t>
            </w:r>
            <w:r w:rsidRPr="00720DD1">
              <w:t>ating materials include compound and resin filled boxes, polymeric tape materials, polymeric heat shrink materials, "slip-on" moulded components and pre-stretched polymeric materials, welded, compression and Mechanical connectors.</w:t>
            </w:r>
          </w:p>
          <w:p w:rsidR="00000000" w:rsidRPr="00720DD1" w:rsidP="00720DD1">
            <w:pPr>
              <w:pStyle w:val="BodyText"/>
            </w:pPr>
            <w:r w:rsidRPr="00720DD1">
              <w:t>The following constants a</w:t>
            </w:r>
            <w:r w:rsidRPr="00720DD1">
              <w:t>nd variables included in the element/performance criteria in this unit are fully described in the Definitions Section 1 of this volume and form an integral part of the Range Statement of this unit:</w:t>
            </w:r>
          </w:p>
          <w:p w:rsidR="00000000" w:rsidRPr="00720DD1" w:rsidP="00720DD1">
            <w:pPr>
              <w:pStyle w:val="ListBullet3"/>
            </w:pPr>
            <w:r w:rsidRPr="00720DD1">
              <w:t>Appropriate and relevant persons (see Personnel)</w:t>
            </w:r>
          </w:p>
          <w:p w:rsidR="00000000" w:rsidRPr="00720DD1" w:rsidP="00720DD1">
            <w:pPr>
              <w:pStyle w:val="ListBullet3"/>
            </w:pPr>
            <w:r w:rsidRPr="00720DD1">
              <w:t>Appropri</w:t>
            </w:r>
            <w:r w:rsidRPr="00720DD1">
              <w:t>ate authorities</w:t>
            </w:r>
          </w:p>
          <w:p w:rsidR="00000000" w:rsidRPr="00720DD1" w:rsidP="00720DD1">
            <w:pPr>
              <w:pStyle w:val="ListBullet3"/>
            </w:pPr>
            <w:r w:rsidRPr="00720DD1">
              <w:t>Appropriate work platform</w:t>
            </w:r>
          </w:p>
          <w:p w:rsidR="00000000" w:rsidRPr="00720DD1" w:rsidP="00720DD1">
            <w:pPr>
              <w:pStyle w:val="ListBullet3"/>
            </w:pPr>
            <w:r w:rsidRPr="00720DD1">
              <w:t>Assessing risk</w:t>
            </w:r>
          </w:p>
          <w:p w:rsidR="00000000" w:rsidRPr="00720DD1" w:rsidP="00720DD1">
            <w:pPr>
              <w:pStyle w:val="ListBullet3"/>
            </w:pPr>
            <w:r w:rsidRPr="00720DD1">
              <w:t>Assessment</w:t>
            </w:r>
          </w:p>
          <w:p w:rsidR="00000000" w:rsidRPr="00720DD1" w:rsidP="00720DD1">
            <w:pPr>
              <w:pStyle w:val="ListBullet3"/>
            </w:pPr>
            <w:r w:rsidRPr="00720DD1">
              <w:t>Authorisation</w:t>
            </w:r>
          </w:p>
          <w:p w:rsidR="00000000" w:rsidRPr="00720DD1" w:rsidP="00720DD1">
            <w:pPr>
              <w:pStyle w:val="ListBullet3"/>
            </w:pPr>
            <w:r w:rsidRPr="00720DD1">
              <w:t>Confined space</w:t>
            </w:r>
          </w:p>
          <w:p w:rsidR="00000000" w:rsidRPr="00720DD1" w:rsidP="00720DD1">
            <w:pPr>
              <w:pStyle w:val="ListBullet3"/>
            </w:pPr>
            <w:r w:rsidRPr="00720DD1">
              <w:t>Diagnostic, testing and restoration</w:t>
            </w:r>
          </w:p>
          <w:p w:rsidR="00000000" w:rsidRPr="00720DD1" w:rsidP="00720DD1">
            <w:pPr>
              <w:pStyle w:val="ListBullet3"/>
            </w:pPr>
            <w:r w:rsidRPr="00720DD1">
              <w:t>Documenting detail work events, record keeping and or storage of information</w:t>
            </w:r>
          </w:p>
          <w:p w:rsidR="00000000" w:rsidRPr="00720DD1" w:rsidP="00720DD1">
            <w:pPr>
              <w:pStyle w:val="ListBullet3"/>
            </w:pPr>
            <w:r w:rsidRPr="00720DD1">
              <w:t xml:space="preserve">Drawings and specifications </w:t>
            </w:r>
          </w:p>
          <w:p w:rsidR="00000000" w:rsidRPr="00720DD1" w:rsidP="00720DD1">
            <w:pPr>
              <w:pStyle w:val="ListBullet3"/>
            </w:pPr>
            <w:r w:rsidRPr="00720DD1">
              <w:t>Emergency</w:t>
            </w:r>
          </w:p>
          <w:p w:rsidR="00000000" w:rsidRPr="00720DD1" w:rsidP="00720DD1">
            <w:pPr>
              <w:pStyle w:val="ListBullet3"/>
            </w:pPr>
            <w:r w:rsidRPr="00720DD1">
              <w:t>Environmental and sustainable energy procedures</w:t>
            </w:r>
          </w:p>
          <w:p w:rsidR="00000000" w:rsidRPr="00720DD1" w:rsidP="00720DD1">
            <w:pPr>
              <w:pStyle w:val="ListBullet3"/>
            </w:pPr>
            <w:r w:rsidRPr="00720DD1">
              <w:t>Environmental legislation</w:t>
            </w:r>
          </w:p>
          <w:p w:rsidR="00000000" w:rsidRPr="00720DD1" w:rsidP="00720DD1">
            <w:pPr>
              <w:pStyle w:val="ListBullet3"/>
            </w:pPr>
            <w:r w:rsidRPr="00720DD1">
              <w:t>Environmental management documentation</w:t>
            </w:r>
          </w:p>
          <w:p w:rsidR="00000000" w:rsidRPr="00720DD1" w:rsidP="00720DD1">
            <w:pPr>
              <w:pStyle w:val="ListBullet3"/>
            </w:pPr>
            <w:r w:rsidRPr="00720DD1">
              <w:t>Established procedures</w:t>
            </w:r>
          </w:p>
          <w:p w:rsidR="00000000" w:rsidRPr="00720DD1" w:rsidP="00720DD1">
            <w:pPr>
              <w:pStyle w:val="ListBullet3"/>
            </w:pPr>
            <w:r w:rsidRPr="00720DD1">
              <w:t>Fall prevention</w:t>
            </w:r>
          </w:p>
          <w:p w:rsidR="00000000" w:rsidRPr="00720DD1" w:rsidP="00720DD1">
            <w:pPr>
              <w:pStyle w:val="ListBullet3"/>
            </w:pPr>
            <w:r w:rsidRPr="00720DD1">
              <w:t>Hazards</w:t>
            </w:r>
          </w:p>
          <w:p w:rsidR="00000000" w:rsidRPr="00720DD1" w:rsidP="00720DD1">
            <w:pPr>
              <w:pStyle w:val="ListBullet3"/>
            </w:pPr>
            <w:r w:rsidRPr="00720DD1">
              <w:t>Identifying hazards</w:t>
            </w:r>
          </w:p>
          <w:p w:rsidR="00000000" w:rsidRPr="00720DD1" w:rsidP="00720DD1">
            <w:pPr>
              <w:pStyle w:val="ListBullet3"/>
            </w:pPr>
            <w:r w:rsidRPr="00720DD1">
              <w:t>Inspect</w:t>
            </w:r>
          </w:p>
          <w:p w:rsidR="00000000" w:rsidRPr="00720DD1" w:rsidP="00720DD1">
            <w:pPr>
              <w:pStyle w:val="ListBullet3"/>
            </w:pPr>
            <w:r w:rsidRPr="00720DD1">
              <w:t>Legislation</w:t>
            </w:r>
          </w:p>
          <w:p w:rsidR="00000000" w:rsidRPr="00720DD1" w:rsidP="00720DD1">
            <w:pPr>
              <w:pStyle w:val="ListBullet3"/>
            </w:pPr>
            <w:r w:rsidRPr="00720DD1">
              <w:t>MSDS</w:t>
            </w:r>
          </w:p>
          <w:p w:rsidR="00000000" w:rsidRPr="00720DD1" w:rsidP="00720DD1">
            <w:pPr>
              <w:pStyle w:val="ListBullet3"/>
            </w:pPr>
            <w:r w:rsidRPr="00720DD1">
              <w:t>Notification</w:t>
            </w:r>
          </w:p>
          <w:p w:rsidR="00000000" w:rsidRPr="00720DD1" w:rsidP="00720DD1">
            <w:pPr>
              <w:pStyle w:val="ListBullet3"/>
            </w:pPr>
            <w:r w:rsidRPr="00720DD1">
              <w:t>OHS practices</w:t>
            </w:r>
          </w:p>
          <w:p w:rsidR="00000000" w:rsidRPr="00720DD1" w:rsidP="00720DD1">
            <w:pPr>
              <w:pStyle w:val="ListBullet3"/>
            </w:pPr>
            <w:r w:rsidRPr="00720DD1">
              <w:t>OHS issues</w:t>
            </w:r>
          </w:p>
          <w:p w:rsidR="00000000" w:rsidRPr="00720DD1" w:rsidP="00720DD1">
            <w:pPr>
              <w:pStyle w:val="ListBullet3"/>
            </w:pPr>
            <w:r w:rsidRPr="00720DD1">
              <w:t>Permits and/or permits to work</w:t>
            </w:r>
          </w:p>
          <w:p w:rsidR="00000000" w:rsidRPr="00720DD1" w:rsidP="00720DD1">
            <w:pPr>
              <w:pStyle w:val="ListBullet3"/>
            </w:pPr>
            <w:r w:rsidRPr="00720DD1">
              <w:t>Personnel</w:t>
            </w:r>
          </w:p>
          <w:p w:rsidR="00000000" w:rsidRPr="00720DD1" w:rsidP="00720DD1">
            <w:pPr>
              <w:pStyle w:val="ListBullet3"/>
            </w:pPr>
            <w:r w:rsidRPr="00720DD1">
              <w:t>Quality assurance systems</w:t>
            </w:r>
          </w:p>
          <w:p w:rsidR="00000000" w:rsidRPr="00720DD1" w:rsidP="00720DD1">
            <w:pPr>
              <w:pStyle w:val="ListBullet3"/>
            </w:pPr>
            <w:r w:rsidRPr="00720DD1">
              <w:t>Requirements</w:t>
            </w:r>
          </w:p>
          <w:p w:rsidR="00000000" w:rsidRPr="00720DD1" w:rsidP="00720DD1">
            <w:pPr>
              <w:pStyle w:val="ListBullet3"/>
            </w:pPr>
            <w:r w:rsidRPr="00720DD1">
              <w:t>Testing procedures</w:t>
            </w:r>
          </w:p>
          <w:p w:rsidR="00000000" w:rsidRPr="00720DD1" w:rsidP="00720DD1">
            <w:pPr>
              <w:pStyle w:val="ListBullet3"/>
            </w:pPr>
            <w:r w:rsidRPr="00720DD1">
              <w:t>Work clearance systems</w:t>
            </w:r>
          </w:p>
        </w:tc>
      </w:tr>
    </w:tbl>
    <w:p w:rsidR="00000000" w:rsidRPr="00720DD1" w:rsidP="00720DD1">
      <w:pPr>
        <w:pStyle w:val="BodyText"/>
      </w:pPr>
    </w:p>
    <w:p w:rsidR="00000000" w:rsidRPr="00720DD1" w:rsidP="00720DD1">
      <w:pPr>
        <w:pStyle w:val="AllowPageBreak"/>
      </w:pPr>
    </w:p>
    <w:p w:rsidR="00000000" w:rsidRPr="00720DD1" w:rsidP="00720DD1">
      <w:pPr>
        <w:pStyle w:val="Heading1"/>
      </w:pPr>
      <w:bookmarkStart w:id="12" w:name="O_461934"/>
      <w:bookmarkEnd w:id="12"/>
      <w:r w:rsidRPr="00720DD1">
        <w:t>Unit Sector(s)</w:t>
      </w:r>
    </w:p>
    <w:p w:rsidR="00000000" w:rsidRPr="00720DD1" w:rsidP="00720DD1">
      <w:pPr>
        <w:pStyle w:val="BodyText"/>
      </w:pPr>
      <w:r w:rsidRPr="00720DD1">
        <w:t>Not applicable.</w:t>
      </w:r>
    </w:p>
    <w:p w:rsidR="00000000" w:rsidRPr="00720DD1" w:rsidP="00720DD1">
      <w:pPr>
        <w:pStyle w:val="AllowPageBreak"/>
      </w:pPr>
    </w:p>
    <w:p w:rsidR="00000000" w:rsidRPr="00720DD1" w:rsidP="00720DD1">
      <w:pPr>
        <w:pStyle w:val="Heading1"/>
      </w:pPr>
      <w:bookmarkStart w:id="13" w:name="O_461923"/>
      <w:bookmarkEnd w:id="13"/>
      <w:r w:rsidRPr="00720DD1">
        <w:t>Competency Field</w:t>
      </w:r>
    </w:p>
    <w:tbl>
      <w:tblPr>
        <w:tblW w:w="0" w:type="auto"/>
        <w:tblLayout w:type="fixed"/>
        <w:tblCellMar>
          <w:left w:w="62" w:type="dxa"/>
          <w:right w:w="62" w:type="dxa"/>
        </w:tblCellMar>
        <w:tblLook w:val="0000"/>
      </w:tblPr>
      <w:tblGrid>
        <w:gridCol w:w="2700"/>
        <w:gridCol w:w="5760"/>
      </w:tblGrid>
      <w:tr w:rsidTr="002234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20DD1">
            <w:pPr>
              <w:pStyle w:val="BodyText"/>
              <w:rPr>
                <w:lang w:val="en-NZ"/>
              </w:rPr>
            </w:pPr>
            <w:r w:rsidRPr="00720DD1">
              <w:rPr>
                <w:rStyle w:val="SpecialBold"/>
              </w:rPr>
              <w:t xml:space="preserve">11) </w:t>
            </w:r>
          </w:p>
        </w:tc>
      </w:tr>
      <w:tr w:rsidTr="002234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0DD1" w:rsidP="00720DD1">
            <w:pPr>
              <w:pStyle w:val="BodyText"/>
            </w:pPr>
            <w:r w:rsidRPr="00720DD1">
              <w:t>Cable Jointing</w:t>
            </w:r>
          </w:p>
        </w:tc>
      </w:tr>
    </w:tbl>
    <w:p w:rsidR="00000000" w:rsidRPr="00720DD1" w:rsidP="00720DD1">
      <w:pPr>
        <w:pStyle w:val="BodyText"/>
      </w:pPr>
    </w:p>
    <w:p w:rsidR="00000000" w:rsidRPr="00720DD1" w:rsidP="00720DD1"/>
    <w:sectPr w:rsidSect="00720D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D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34AD" w:rsidP="002234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D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AD" w:rsidP="00720D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234AD" w:rsidP="00720D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234AD" w:rsidP="00720D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D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34AD" w:rsidP="002234A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D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AD" w:rsidP="00720DD1">
    <w:pPr>
      <w:pStyle w:val="Header"/>
      <w:framePr w:wrap="around"/>
    </w:pPr>
    <w:r>
      <w:fldChar w:fldCharType="begin"/>
    </w:r>
    <w:r>
      <w:instrText xml:space="preserve"> TITLE   \* MERGEFORMAT </w:instrText>
    </w:r>
    <w:r>
      <w:fldChar w:fldCharType="separate"/>
    </w:r>
    <w:r>
      <w:t>UETTDRCJ31A Install and maintain polymeric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234AD" w:rsidP="00720D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303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A479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54EF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D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0DD1"/>
    <w:pPr>
      <w:spacing w:before="360" w:after="60"/>
      <w:outlineLvl w:val="0"/>
    </w:pPr>
    <w:rPr>
      <w:sz w:val="32"/>
    </w:rPr>
  </w:style>
  <w:style w:type="paragraph" w:styleId="Heading2">
    <w:name w:val="heading 2"/>
    <w:basedOn w:val="HeadingBase"/>
    <w:next w:val="BodyText"/>
    <w:link w:val="Heading2Char"/>
    <w:qFormat/>
    <w:rsid w:val="00720DD1"/>
    <w:pPr>
      <w:keepLines/>
      <w:spacing w:before="240" w:after="120"/>
      <w:outlineLvl w:val="1"/>
    </w:pPr>
    <w:rPr>
      <w:sz w:val="28"/>
      <w:szCs w:val="40"/>
    </w:rPr>
  </w:style>
  <w:style w:type="paragraph" w:styleId="Heading3">
    <w:name w:val="heading 3"/>
    <w:basedOn w:val="HeadingBase"/>
    <w:next w:val="BodyText"/>
    <w:link w:val="Heading3Char"/>
    <w:qFormat/>
    <w:rsid w:val="00720DD1"/>
    <w:pPr>
      <w:spacing w:before="180" w:after="120"/>
      <w:outlineLvl w:val="2"/>
    </w:pPr>
    <w:rPr>
      <w:spacing w:val="-10"/>
      <w:kern w:val="32"/>
    </w:rPr>
  </w:style>
  <w:style w:type="paragraph" w:styleId="Heading4">
    <w:name w:val="heading 4"/>
    <w:basedOn w:val="HeadingBase"/>
    <w:next w:val="BodyText"/>
    <w:link w:val="Heading4Char"/>
    <w:qFormat/>
    <w:rsid w:val="00720DD1"/>
    <w:pPr>
      <w:spacing w:before="160" w:after="120"/>
      <w:outlineLvl w:val="3"/>
    </w:pPr>
    <w:rPr>
      <w:sz w:val="22"/>
    </w:rPr>
  </w:style>
  <w:style w:type="paragraph" w:styleId="Heading5">
    <w:name w:val="heading 5"/>
    <w:basedOn w:val="HeadingBase"/>
    <w:next w:val="Normal"/>
    <w:link w:val="Heading5Char"/>
    <w:qFormat/>
    <w:rsid w:val="00720DD1"/>
    <w:pPr>
      <w:spacing w:before="80"/>
      <w:outlineLvl w:val="4"/>
    </w:pPr>
    <w:rPr>
      <w:color w:val="918585"/>
      <w:sz w:val="20"/>
    </w:rPr>
  </w:style>
  <w:style w:type="paragraph" w:styleId="Heading6">
    <w:name w:val="heading 6"/>
    <w:basedOn w:val="HeadingBase"/>
    <w:next w:val="Normal"/>
    <w:link w:val="Heading6Char"/>
    <w:qFormat/>
    <w:rsid w:val="00720DD1"/>
    <w:pPr>
      <w:spacing w:before="60"/>
      <w:outlineLvl w:val="5"/>
    </w:pPr>
    <w:rPr>
      <w:color w:val="918585"/>
      <w:sz w:val="20"/>
    </w:rPr>
  </w:style>
  <w:style w:type="paragraph" w:styleId="Heading7">
    <w:name w:val="heading 7"/>
    <w:basedOn w:val="Normal"/>
    <w:next w:val="Normal"/>
    <w:link w:val="Heading7Char"/>
    <w:qFormat/>
    <w:rsid w:val="00720DD1"/>
    <w:pPr>
      <w:ind w:left="720"/>
      <w:outlineLvl w:val="6"/>
    </w:pPr>
    <w:rPr>
      <w:i/>
    </w:rPr>
  </w:style>
  <w:style w:type="paragraph" w:styleId="Heading8">
    <w:name w:val="heading 8"/>
    <w:basedOn w:val="Normal"/>
    <w:next w:val="Normal"/>
    <w:link w:val="Heading8Char"/>
    <w:qFormat/>
    <w:rsid w:val="00720DD1"/>
    <w:pPr>
      <w:ind w:left="720"/>
      <w:outlineLvl w:val="7"/>
    </w:pPr>
    <w:rPr>
      <w:i/>
    </w:rPr>
  </w:style>
  <w:style w:type="paragraph" w:styleId="Heading9">
    <w:name w:val="heading 9"/>
    <w:basedOn w:val="Normal"/>
    <w:next w:val="Normal"/>
    <w:link w:val="Heading9Char"/>
    <w:qFormat/>
    <w:rsid w:val="00720DD1"/>
    <w:pPr>
      <w:ind w:left="720"/>
      <w:outlineLvl w:val="8"/>
    </w:pPr>
    <w:rPr>
      <w:i/>
    </w:rPr>
  </w:style>
  <w:style w:type="character" w:default="1" w:styleId="DefaultParagraphFont">
    <w:name w:val="Default Paragraph Font"/>
    <w:uiPriority w:val="1"/>
    <w:unhideWhenUsed/>
    <w:rsid w:val="00720D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DD1"/>
  </w:style>
  <w:style w:type="character" w:customStyle="1" w:styleId="Heading1Char">
    <w:name w:val="Heading 1 Char"/>
    <w:link w:val="Heading1"/>
    <w:rsid w:val="00720DD1"/>
    <w:rPr>
      <w:rFonts w:ascii="Times New Roman" w:eastAsia="Times New Roman" w:hAnsi="Times New Roman" w:cs="Times New Roman"/>
      <w:b/>
      <w:sz w:val="32"/>
      <w:szCs w:val="20"/>
      <w:lang w:eastAsia="en-US"/>
    </w:rPr>
  </w:style>
  <w:style w:type="paragraph" w:styleId="BodyText">
    <w:name w:val="Body Text"/>
    <w:basedOn w:val="Normal"/>
    <w:link w:val="BodyTextChar"/>
    <w:rsid w:val="00720DD1"/>
    <w:pPr>
      <w:spacing w:before="120" w:after="120"/>
      <w:contextualSpacing/>
    </w:pPr>
    <w:rPr>
      <w:rFonts w:ascii="Times New Roman" w:hAnsi="Times New Roman"/>
      <w:sz w:val="24"/>
      <w:szCs w:val="22"/>
    </w:rPr>
  </w:style>
  <w:style w:type="character" w:customStyle="1" w:styleId="BodyTextChar">
    <w:name w:val="Body Text Char"/>
    <w:link w:val="BodyText"/>
    <w:rsid w:val="00720DD1"/>
    <w:rPr>
      <w:rFonts w:ascii="Times New Roman" w:eastAsia="Times New Roman" w:hAnsi="Times New Roman" w:cs="Times New Roman"/>
      <w:sz w:val="24"/>
      <w:lang w:val="en-US" w:eastAsia="en-US"/>
    </w:rPr>
  </w:style>
  <w:style w:type="paragraph" w:styleId="Footer">
    <w:name w:val="footer"/>
    <w:basedOn w:val="Normal"/>
    <w:link w:val="FooterChar"/>
    <w:rsid w:val="00720D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20DD1"/>
    <w:rPr>
      <w:rFonts w:ascii="Times New Roman" w:eastAsia="Times New Roman" w:hAnsi="Times New Roman" w:cs="Times New Roman"/>
      <w:sz w:val="16"/>
      <w:lang w:val="en-US" w:eastAsia="en-US"/>
    </w:rPr>
  </w:style>
  <w:style w:type="paragraph" w:styleId="ListBullet">
    <w:name w:val="List Bullet"/>
    <w:basedOn w:val="List"/>
    <w:rsid w:val="00720DD1"/>
    <w:pPr>
      <w:numPr>
        <w:numId w:val="14"/>
      </w:numPr>
      <w:tabs>
        <w:tab w:val="clear" w:pos="340"/>
      </w:tabs>
      <w:spacing w:before="40" w:after="40"/>
    </w:pPr>
  </w:style>
  <w:style w:type="character" w:customStyle="1" w:styleId="SpecialBold">
    <w:name w:val="Special Bold"/>
    <w:rsid w:val="00720DD1"/>
    <w:rPr>
      <w:b/>
      <w:spacing w:val="0"/>
    </w:rPr>
  </w:style>
  <w:style w:type="paragraph" w:styleId="ListBullet2">
    <w:name w:val="List Bullet 2"/>
    <w:basedOn w:val="List2"/>
    <w:rsid w:val="00720DD1"/>
    <w:pPr>
      <w:numPr>
        <w:numId w:val="15"/>
      </w:numPr>
      <w:tabs>
        <w:tab w:val="clear" w:pos="680"/>
      </w:tabs>
    </w:pPr>
  </w:style>
  <w:style w:type="paragraph" w:styleId="Header">
    <w:name w:val="header"/>
    <w:basedOn w:val="Normal"/>
    <w:link w:val="HeaderChar"/>
    <w:rsid w:val="00720D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20D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0DD1"/>
    <w:pPr>
      <w:spacing w:before="240" w:after="120"/>
      <w:outlineLvl w:val="0"/>
    </w:pPr>
    <w:rPr>
      <w:rFonts w:ascii="Times New Roman" w:hAnsi="Times New Roman"/>
      <w:b/>
      <w:sz w:val="28"/>
    </w:rPr>
  </w:style>
  <w:style w:type="paragraph" w:customStyle="1" w:styleId="AllowPageBreak">
    <w:name w:val="AllowPageBreak"/>
    <w:rsid w:val="00720D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20DD1"/>
    <w:pPr>
      <w:numPr>
        <w:numId w:val="3"/>
      </w:numPr>
      <w:tabs>
        <w:tab w:val="clear" w:pos="1021"/>
      </w:tabs>
      <w:ind w:left="1037" w:hanging="357"/>
    </w:pPr>
  </w:style>
  <w:style w:type="character" w:customStyle="1" w:styleId="Heading2Char">
    <w:name w:val="Heading 2 Char"/>
    <w:link w:val="Heading2"/>
    <w:rsid w:val="00720DD1"/>
    <w:rPr>
      <w:rFonts w:ascii="Times New Roman" w:eastAsia="Times New Roman" w:hAnsi="Times New Roman" w:cs="Times New Roman"/>
      <w:b/>
      <w:sz w:val="28"/>
      <w:szCs w:val="40"/>
      <w:lang w:eastAsia="en-US"/>
    </w:rPr>
  </w:style>
  <w:style w:type="character" w:customStyle="1" w:styleId="Heading3Char">
    <w:name w:val="Heading 3 Char"/>
    <w:link w:val="Heading3"/>
    <w:rsid w:val="00720DD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20DD1"/>
    <w:rPr>
      <w:rFonts w:ascii="Times New Roman" w:eastAsia="Times New Roman" w:hAnsi="Times New Roman" w:cs="Times New Roman"/>
      <w:b/>
      <w:szCs w:val="20"/>
      <w:lang w:eastAsia="en-US"/>
    </w:rPr>
  </w:style>
  <w:style w:type="character" w:customStyle="1" w:styleId="Heading5Char">
    <w:name w:val="Heading 5 Char"/>
    <w:link w:val="Heading5"/>
    <w:rsid w:val="00720DD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20D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D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0D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0DD1"/>
    <w:rPr>
      <w:rFonts w:ascii="Courier New" w:eastAsia="Times New Roman" w:hAnsi="Courier New" w:cs="Times New Roman"/>
      <w:i/>
      <w:szCs w:val="20"/>
      <w:lang w:val="en-US" w:eastAsia="en-US"/>
    </w:rPr>
  </w:style>
  <w:style w:type="paragraph" w:customStyle="1" w:styleId="HeadingBase">
    <w:name w:val="Heading Base"/>
    <w:rsid w:val="00720D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DD1"/>
    <w:pPr>
      <w:tabs>
        <w:tab w:val="right" w:leader="dot" w:pos="9072"/>
      </w:tabs>
      <w:ind w:left="567"/>
    </w:pPr>
    <w:rPr>
      <w:szCs w:val="22"/>
    </w:rPr>
  </w:style>
  <w:style w:type="paragraph" w:customStyle="1" w:styleId="TOCBase">
    <w:name w:val="TOC Base"/>
    <w:rsid w:val="00720D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DD1"/>
    <w:pPr>
      <w:tabs>
        <w:tab w:val="right" w:leader="dot" w:pos="9072"/>
      </w:tabs>
      <w:spacing w:before="40" w:after="40"/>
      <w:ind w:left="284"/>
    </w:pPr>
    <w:rPr>
      <w:rFonts w:ascii="Times New Roman" w:hAnsi="Times New Roman"/>
    </w:rPr>
  </w:style>
  <w:style w:type="paragraph" w:styleId="TOC1">
    <w:name w:val="toc 1"/>
    <w:basedOn w:val="TOCBase"/>
    <w:next w:val="Normal"/>
    <w:rsid w:val="00720D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0DD1"/>
    <w:pPr>
      <w:spacing w:before="5040"/>
      <w:jc w:val="center"/>
    </w:pPr>
    <w:rPr>
      <w:sz w:val="48"/>
      <w:szCs w:val="72"/>
      <w:lang w:val="en-US"/>
    </w:rPr>
  </w:style>
  <w:style w:type="character" w:customStyle="1" w:styleId="TitleChar">
    <w:name w:val="Title Char"/>
    <w:link w:val="Title"/>
    <w:rsid w:val="00720D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DD1"/>
    <w:pPr>
      <w:tabs>
        <w:tab w:val="left" w:pos="3600"/>
        <w:tab w:val="left" w:pos="3958"/>
      </w:tabs>
    </w:pPr>
  </w:style>
  <w:style w:type="paragraph" w:styleId="List">
    <w:name w:val="List"/>
    <w:basedOn w:val="BodyText"/>
    <w:next w:val="BodyText"/>
    <w:rsid w:val="00720DD1"/>
    <w:pPr>
      <w:tabs>
        <w:tab w:val="left" w:pos="340"/>
      </w:tabs>
      <w:spacing w:before="60" w:after="60"/>
      <w:ind w:left="340" w:hanging="340"/>
    </w:pPr>
  </w:style>
  <w:style w:type="paragraph" w:customStyle="1" w:styleId="Note">
    <w:name w:val="Note"/>
    <w:basedOn w:val="BodyText"/>
    <w:rsid w:val="00720D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0DD1"/>
    <w:pPr>
      <w:framePr w:wrap="auto" w:hAnchor="text" w:y="6049"/>
    </w:pPr>
    <w:rPr>
      <w:color w:val="000000"/>
      <w:sz w:val="40"/>
    </w:rPr>
  </w:style>
  <w:style w:type="paragraph" w:customStyle="1" w:styleId="TOCTitle">
    <w:name w:val="TOCTitle"/>
    <w:basedOn w:val="Heading1"/>
    <w:rsid w:val="00720DD1"/>
    <w:pPr>
      <w:spacing w:after="240"/>
      <w:jc w:val="center"/>
      <w:outlineLvl w:val="9"/>
    </w:pPr>
    <w:rPr>
      <w:caps/>
    </w:rPr>
  </w:style>
  <w:style w:type="paragraph" w:customStyle="1" w:styleId="Version">
    <w:name w:val="Version"/>
    <w:rsid w:val="00720D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0DD1"/>
    <w:pPr>
      <w:keepNext w:val="0"/>
      <w:tabs>
        <w:tab w:val="right" w:pos="4176"/>
      </w:tabs>
      <w:ind w:left="198" w:hanging="198"/>
    </w:pPr>
    <w:rPr>
      <w:rFonts w:ascii="Garamond" w:hAnsi="Garamond"/>
    </w:rPr>
  </w:style>
  <w:style w:type="paragraph" w:styleId="IndexHeading">
    <w:name w:val="index heading"/>
    <w:basedOn w:val="Normal"/>
    <w:next w:val="Index1"/>
    <w:semiHidden/>
    <w:rsid w:val="00720DD1"/>
    <w:pPr>
      <w:spacing w:before="120" w:after="120"/>
    </w:pPr>
    <w:rPr>
      <w:rFonts w:ascii="Arial" w:hAnsi="Arial"/>
      <w:b/>
      <w:color w:val="918585"/>
      <w:sz w:val="24"/>
    </w:rPr>
  </w:style>
  <w:style w:type="paragraph" w:customStyle="1" w:styleId="Chapter">
    <w:name w:val="Chapter"/>
    <w:basedOn w:val="Normal"/>
    <w:rsid w:val="00720DD1"/>
    <w:pPr>
      <w:spacing w:before="240"/>
    </w:pPr>
    <w:rPr>
      <w:rFonts w:ascii="Times New Roman" w:hAnsi="Times New Roman"/>
      <w:smallCaps/>
      <w:spacing w:val="80"/>
      <w:sz w:val="28"/>
    </w:rPr>
  </w:style>
  <w:style w:type="paragraph" w:customStyle="1" w:styleId="InChapter">
    <w:name w:val="InChapter"/>
    <w:basedOn w:val="Heading3"/>
    <w:rsid w:val="00720DD1"/>
    <w:pPr>
      <w:spacing w:after="240"/>
      <w:outlineLvl w:val="9"/>
    </w:pPr>
    <w:rPr>
      <w:noProof/>
    </w:rPr>
  </w:style>
  <w:style w:type="paragraph" w:styleId="Index2">
    <w:name w:val="index 2"/>
    <w:basedOn w:val="Normal"/>
    <w:next w:val="Normal"/>
    <w:semiHidden/>
    <w:rsid w:val="00720DD1"/>
    <w:pPr>
      <w:tabs>
        <w:tab w:val="right" w:pos="4176"/>
      </w:tabs>
      <w:ind w:left="568" w:hanging="284"/>
    </w:pPr>
    <w:rPr>
      <w:rFonts w:ascii="Garamond" w:hAnsi="Garamond"/>
    </w:rPr>
  </w:style>
  <w:style w:type="paragraph" w:customStyle="1" w:styleId="Byline">
    <w:name w:val="Byline"/>
    <w:rsid w:val="00720D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DD1"/>
    <w:pPr>
      <w:tabs>
        <w:tab w:val="clear" w:pos="3600"/>
        <w:tab w:val="clear" w:pos="3958"/>
      </w:tabs>
      <w:jc w:val="right"/>
    </w:pPr>
  </w:style>
  <w:style w:type="character" w:styleId="Emphasis">
    <w:name w:val="Emphasis"/>
    <w:qFormat/>
    <w:rsid w:val="00720DD1"/>
    <w:rPr>
      <w:i/>
    </w:rPr>
  </w:style>
  <w:style w:type="paragraph" w:styleId="Caption">
    <w:name w:val="caption"/>
    <w:basedOn w:val="BodyText"/>
    <w:next w:val="Normal"/>
    <w:qFormat/>
    <w:rsid w:val="00720DD1"/>
    <w:pPr>
      <w:framePr w:w="2268" w:hSpace="181" w:vSpace="181" w:wrap="around" w:vAnchor="text" w:hAnchor="page" w:x="1135" w:y="285" w:anchorLock="1"/>
    </w:pPr>
    <w:rPr>
      <w:i/>
    </w:rPr>
  </w:style>
  <w:style w:type="paragraph" w:customStyle="1" w:styleId="MiniTOCTitle">
    <w:name w:val="MiniTOCTitle"/>
    <w:basedOn w:val="Heading4"/>
    <w:rsid w:val="00720DD1"/>
    <w:pPr>
      <w:spacing w:before="240"/>
      <w:outlineLvl w:val="9"/>
    </w:pPr>
    <w:rPr>
      <w:noProof/>
      <w:sz w:val="24"/>
    </w:rPr>
  </w:style>
  <w:style w:type="paragraph" w:customStyle="1" w:styleId="MiniTOCItem">
    <w:name w:val="MiniTOCItem"/>
    <w:basedOn w:val="ListBullet"/>
    <w:rsid w:val="00720DD1"/>
    <w:pPr>
      <w:numPr>
        <w:numId w:val="0"/>
      </w:numPr>
      <w:tabs>
        <w:tab w:val="right" w:leader="dot" w:pos="6521"/>
      </w:tabs>
      <w:spacing w:before="0" w:after="0"/>
    </w:pPr>
  </w:style>
  <w:style w:type="paragraph" w:customStyle="1" w:styleId="TOFTitle">
    <w:name w:val="TOFTitle"/>
    <w:basedOn w:val="TOCTitle"/>
    <w:rsid w:val="00720DD1"/>
  </w:style>
  <w:style w:type="paragraph" w:styleId="TableofFigures">
    <w:name w:val="table of figures"/>
    <w:basedOn w:val="Normal"/>
    <w:next w:val="Normal"/>
    <w:semiHidden/>
    <w:rsid w:val="00720DD1"/>
    <w:pPr>
      <w:tabs>
        <w:tab w:val="right" w:leader="dot" w:pos="9072"/>
      </w:tabs>
      <w:ind w:left="970" w:hanging="403"/>
    </w:pPr>
    <w:rPr>
      <w:rFonts w:ascii="Times New Roman" w:hAnsi="Times New Roman"/>
      <w:b/>
    </w:rPr>
  </w:style>
  <w:style w:type="paragraph" w:styleId="ListNumber">
    <w:name w:val="List Number"/>
    <w:basedOn w:val="List"/>
    <w:rsid w:val="00720DD1"/>
    <w:pPr>
      <w:numPr>
        <w:numId w:val="12"/>
      </w:numPr>
    </w:pPr>
  </w:style>
  <w:style w:type="character" w:customStyle="1" w:styleId="WingdingSymbols">
    <w:name w:val="Wingding Symbols"/>
    <w:rsid w:val="00720DD1"/>
    <w:rPr>
      <w:rFonts w:ascii="Wingdings" w:hAnsi="Wingdings"/>
    </w:rPr>
  </w:style>
  <w:style w:type="paragraph" w:customStyle="1" w:styleId="TableHeading">
    <w:name w:val="Table Heading"/>
    <w:basedOn w:val="HeadingBase"/>
    <w:rsid w:val="00720DD1"/>
    <w:pPr>
      <w:keepLines/>
      <w:pBdr>
        <w:bottom w:val="single" w:sz="6" w:space="1" w:color="918585"/>
      </w:pBdr>
      <w:spacing w:before="240"/>
    </w:pPr>
  </w:style>
  <w:style w:type="character" w:customStyle="1" w:styleId="HotSpot">
    <w:name w:val="HotSpot"/>
    <w:rsid w:val="00720DD1"/>
    <w:rPr>
      <w:color w:val="0033CC"/>
      <w:u w:val="none"/>
    </w:rPr>
  </w:style>
  <w:style w:type="paragraph" w:customStyle="1" w:styleId="BodyTextRight">
    <w:name w:val="Body Text Right"/>
    <w:basedOn w:val="BodyText"/>
    <w:rsid w:val="00720DD1"/>
    <w:pPr>
      <w:spacing w:before="0" w:after="0"/>
      <w:jc w:val="right"/>
    </w:pPr>
  </w:style>
  <w:style w:type="paragraph" w:styleId="Index3">
    <w:name w:val="index 3"/>
    <w:basedOn w:val="ListNumber2"/>
    <w:next w:val="Normal"/>
    <w:semiHidden/>
    <w:rsid w:val="00720DD1"/>
    <w:pPr>
      <w:numPr>
        <w:numId w:val="0"/>
      </w:numPr>
      <w:tabs>
        <w:tab w:val="right" w:leader="dot" w:pos="4176"/>
      </w:tabs>
    </w:pPr>
  </w:style>
  <w:style w:type="paragraph" w:styleId="ListNumber2">
    <w:name w:val="List Number 2"/>
    <w:basedOn w:val="List2"/>
    <w:rsid w:val="00720DD1"/>
    <w:pPr>
      <w:numPr>
        <w:numId w:val="11"/>
      </w:numPr>
      <w:tabs>
        <w:tab w:val="clear" w:pos="1060"/>
      </w:tabs>
    </w:pPr>
  </w:style>
  <w:style w:type="paragraph" w:customStyle="1" w:styleId="MarginNote">
    <w:name w:val="Margin Note"/>
    <w:basedOn w:val="BodyText"/>
    <w:rsid w:val="00720D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D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20D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0DD1"/>
    <w:rPr>
      <w:sz w:val="32"/>
    </w:rPr>
  </w:style>
  <w:style w:type="paragraph" w:customStyle="1" w:styleId="HeadingProcedure">
    <w:name w:val="Heading Procedure"/>
    <w:basedOn w:val="HeadingBase"/>
    <w:next w:val="Normal"/>
    <w:rsid w:val="00720DD1"/>
    <w:pPr>
      <w:tabs>
        <w:tab w:val="left" w:pos="0"/>
      </w:tabs>
      <w:spacing w:before="120" w:after="60"/>
    </w:pPr>
    <w:rPr>
      <w:i/>
      <w:color w:val="918585"/>
      <w:sz w:val="22"/>
    </w:rPr>
  </w:style>
  <w:style w:type="paragraph" w:customStyle="1" w:styleId="TableBodyText">
    <w:name w:val="Table Body Text"/>
    <w:basedOn w:val="BodyText"/>
    <w:rsid w:val="00720DD1"/>
    <w:pPr>
      <w:spacing w:before="60" w:after="60"/>
    </w:pPr>
  </w:style>
  <w:style w:type="paragraph" w:styleId="ListContinue">
    <w:name w:val="List Continue"/>
    <w:basedOn w:val="List"/>
    <w:rsid w:val="00720DD1"/>
    <w:pPr>
      <w:ind w:firstLine="0"/>
    </w:pPr>
  </w:style>
  <w:style w:type="paragraph" w:customStyle="1" w:styleId="ListNote">
    <w:name w:val="List Note"/>
    <w:basedOn w:val="List"/>
    <w:rsid w:val="00720DD1"/>
    <w:pPr>
      <w:pBdr>
        <w:top w:val="single" w:sz="6" w:space="2" w:color="918585"/>
        <w:bottom w:val="single" w:sz="6" w:space="2" w:color="918585"/>
      </w:pBdr>
      <w:tabs>
        <w:tab w:val="left" w:pos="1021"/>
      </w:tabs>
      <w:ind w:firstLine="0"/>
    </w:pPr>
  </w:style>
  <w:style w:type="paragraph" w:customStyle="1" w:styleId="Warning">
    <w:name w:val="Warning"/>
    <w:basedOn w:val="BodyText"/>
    <w:rsid w:val="00720DD1"/>
    <w:pPr>
      <w:shd w:val="clear" w:color="auto" w:fill="D9D9D9"/>
      <w:tabs>
        <w:tab w:val="left" w:pos="992"/>
      </w:tabs>
      <w:ind w:left="119" w:right="119"/>
    </w:pPr>
    <w:rPr>
      <w:sz w:val="20"/>
    </w:rPr>
  </w:style>
  <w:style w:type="paragraph" w:customStyle="1" w:styleId="MarginIcons">
    <w:name w:val="Margin Icons"/>
    <w:basedOn w:val="BodyText"/>
    <w:rsid w:val="00720DD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20DD1"/>
    <w:rPr>
      <w:rFonts w:ascii="Courier New" w:hAnsi="Courier New"/>
    </w:rPr>
  </w:style>
  <w:style w:type="paragraph" w:customStyle="1" w:styleId="NoteBullet">
    <w:name w:val="Note Bullet"/>
    <w:basedOn w:val="Note"/>
    <w:rsid w:val="00720DD1"/>
    <w:pPr>
      <w:tabs>
        <w:tab w:val="clear" w:pos="680"/>
      </w:tabs>
      <w:spacing w:before="60" w:after="60"/>
    </w:pPr>
  </w:style>
  <w:style w:type="paragraph" w:customStyle="1" w:styleId="SubHeading2">
    <w:name w:val="SubHeading2"/>
    <w:basedOn w:val="HeadingBase"/>
    <w:rsid w:val="00720DD1"/>
    <w:pPr>
      <w:spacing w:before="240" w:after="60"/>
    </w:pPr>
    <w:rPr>
      <w:sz w:val="20"/>
    </w:rPr>
  </w:style>
  <w:style w:type="paragraph" w:customStyle="1" w:styleId="SubHeading1">
    <w:name w:val="SubHeading1"/>
    <w:basedOn w:val="HeadingBase"/>
    <w:rsid w:val="00720DD1"/>
    <w:pPr>
      <w:spacing w:before="240" w:after="60"/>
    </w:pPr>
    <w:rPr>
      <w:color w:val="918585"/>
      <w:sz w:val="22"/>
    </w:rPr>
  </w:style>
  <w:style w:type="paragraph" w:customStyle="1" w:styleId="SideHeading">
    <w:name w:val="Side Heading"/>
    <w:basedOn w:val="HeadingBase"/>
    <w:rsid w:val="00720D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DD1"/>
    <w:pPr>
      <w:numPr>
        <w:numId w:val="13"/>
      </w:numPr>
    </w:pPr>
  </w:style>
  <w:style w:type="paragraph" w:styleId="PlainText">
    <w:name w:val="Plain Text"/>
    <w:basedOn w:val="Normal"/>
    <w:link w:val="PlainTextChar"/>
    <w:rsid w:val="00720DD1"/>
    <w:rPr>
      <w:sz w:val="20"/>
    </w:rPr>
  </w:style>
  <w:style w:type="character" w:customStyle="1" w:styleId="PlainTextChar">
    <w:name w:val="Plain Text Char"/>
    <w:basedOn w:val="DefaultParagraphFont"/>
    <w:link w:val="PlainText"/>
    <w:rsid w:val="00720DD1"/>
    <w:rPr>
      <w:rFonts w:ascii="Courier New" w:eastAsia="Times New Roman" w:hAnsi="Courier New" w:cs="Times New Roman"/>
      <w:sz w:val="20"/>
      <w:szCs w:val="20"/>
      <w:lang w:val="en-US" w:eastAsia="en-US"/>
    </w:rPr>
  </w:style>
  <w:style w:type="character" w:customStyle="1" w:styleId="MenuOption">
    <w:name w:val="Menu Option"/>
    <w:rsid w:val="00720DD1"/>
    <w:rPr>
      <w:b/>
      <w:smallCaps/>
    </w:rPr>
  </w:style>
  <w:style w:type="paragraph" w:customStyle="1" w:styleId="TableListNumber">
    <w:name w:val="Table List Number"/>
    <w:basedOn w:val="ListNumber"/>
    <w:rsid w:val="00720DD1"/>
    <w:pPr>
      <w:numPr>
        <w:numId w:val="0"/>
      </w:numPr>
    </w:pPr>
  </w:style>
  <w:style w:type="paragraph" w:styleId="TOC4">
    <w:name w:val="toc 4"/>
    <w:basedOn w:val="TOCBase"/>
    <w:next w:val="Normal"/>
    <w:semiHidden/>
    <w:rsid w:val="00720DD1"/>
    <w:pPr>
      <w:tabs>
        <w:tab w:val="right" w:leader="dot" w:pos="9071"/>
      </w:tabs>
      <w:ind w:left="1701"/>
    </w:pPr>
  </w:style>
  <w:style w:type="paragraph" w:customStyle="1" w:styleId="ListAlpha">
    <w:name w:val="List Alpha"/>
    <w:basedOn w:val="List"/>
    <w:rsid w:val="00720DD1"/>
    <w:pPr>
      <w:numPr>
        <w:numId w:val="10"/>
      </w:numPr>
    </w:pPr>
  </w:style>
  <w:style w:type="paragraph" w:customStyle="1" w:styleId="ListAlpha2">
    <w:name w:val="List Alpha 2"/>
    <w:basedOn w:val="List2"/>
    <w:rsid w:val="00720DD1"/>
    <w:pPr>
      <w:numPr>
        <w:numId w:val="9"/>
      </w:numPr>
    </w:pPr>
  </w:style>
  <w:style w:type="paragraph" w:styleId="List2">
    <w:name w:val="List 2"/>
    <w:basedOn w:val="BodyText"/>
    <w:rsid w:val="00720DD1"/>
    <w:pPr>
      <w:tabs>
        <w:tab w:val="left" w:pos="680"/>
      </w:tabs>
      <w:spacing w:before="60" w:after="60"/>
      <w:ind w:left="680" w:hanging="340"/>
    </w:pPr>
  </w:style>
  <w:style w:type="paragraph" w:styleId="List3">
    <w:name w:val="List 3"/>
    <w:basedOn w:val="BodyText"/>
    <w:rsid w:val="00720DD1"/>
    <w:pPr>
      <w:tabs>
        <w:tab w:val="left" w:pos="1021"/>
      </w:tabs>
      <w:spacing w:before="60" w:after="60"/>
      <w:ind w:left="1020" w:hanging="340"/>
    </w:pPr>
  </w:style>
  <w:style w:type="paragraph" w:styleId="List4">
    <w:name w:val="List 4"/>
    <w:basedOn w:val="BodyText"/>
    <w:rsid w:val="00720DD1"/>
    <w:pPr>
      <w:tabs>
        <w:tab w:val="left" w:pos="1361"/>
      </w:tabs>
      <w:spacing w:before="60" w:after="60"/>
      <w:ind w:left="1361" w:hanging="340"/>
    </w:pPr>
  </w:style>
  <w:style w:type="paragraph" w:styleId="List5">
    <w:name w:val="List 5"/>
    <w:basedOn w:val="BodyText"/>
    <w:rsid w:val="00720DD1"/>
    <w:pPr>
      <w:tabs>
        <w:tab w:val="left" w:pos="1701"/>
      </w:tabs>
      <w:spacing w:before="60" w:after="60"/>
      <w:ind w:left="1701" w:hanging="340"/>
    </w:pPr>
  </w:style>
  <w:style w:type="paragraph" w:styleId="ListBullet4">
    <w:name w:val="List Bullet 4"/>
    <w:basedOn w:val="List4"/>
    <w:rsid w:val="00720DD1"/>
    <w:pPr>
      <w:numPr>
        <w:numId w:val="4"/>
      </w:numPr>
    </w:pPr>
  </w:style>
  <w:style w:type="paragraph" w:styleId="ListBullet5">
    <w:name w:val="List Bullet 5"/>
    <w:basedOn w:val="List5"/>
    <w:rsid w:val="00720DD1"/>
    <w:pPr>
      <w:numPr>
        <w:numId w:val="5"/>
      </w:numPr>
    </w:pPr>
  </w:style>
  <w:style w:type="paragraph" w:styleId="ListContinue2">
    <w:name w:val="List Continue 2"/>
    <w:basedOn w:val="List2"/>
    <w:rsid w:val="00720DD1"/>
    <w:pPr>
      <w:ind w:firstLine="0"/>
    </w:pPr>
  </w:style>
  <w:style w:type="paragraph" w:styleId="ListContinue3">
    <w:name w:val="List Continue 3"/>
    <w:basedOn w:val="List3"/>
    <w:rsid w:val="00720DD1"/>
    <w:pPr>
      <w:ind w:left="1021" w:firstLine="0"/>
    </w:pPr>
  </w:style>
  <w:style w:type="paragraph" w:styleId="ListContinue4">
    <w:name w:val="List Continue 4"/>
    <w:basedOn w:val="List4"/>
    <w:rsid w:val="00720DD1"/>
    <w:pPr>
      <w:ind w:firstLine="0"/>
    </w:pPr>
  </w:style>
  <w:style w:type="paragraph" w:styleId="ListContinue5">
    <w:name w:val="List Continue 5"/>
    <w:basedOn w:val="List5"/>
    <w:rsid w:val="00720DD1"/>
    <w:pPr>
      <w:ind w:firstLine="0"/>
    </w:pPr>
  </w:style>
  <w:style w:type="paragraph" w:styleId="ListNumber3">
    <w:name w:val="List Number 3"/>
    <w:basedOn w:val="List3"/>
    <w:rsid w:val="00720DD1"/>
    <w:pPr>
      <w:numPr>
        <w:numId w:val="6"/>
      </w:numPr>
    </w:pPr>
  </w:style>
  <w:style w:type="paragraph" w:styleId="ListNumber4">
    <w:name w:val="List Number 4"/>
    <w:basedOn w:val="List4"/>
    <w:rsid w:val="00720DD1"/>
    <w:pPr>
      <w:numPr>
        <w:numId w:val="7"/>
      </w:numPr>
    </w:pPr>
  </w:style>
  <w:style w:type="paragraph" w:styleId="ListNumber5">
    <w:name w:val="List Number 5"/>
    <w:basedOn w:val="List5"/>
    <w:rsid w:val="00720DD1"/>
    <w:pPr>
      <w:numPr>
        <w:numId w:val="8"/>
      </w:numPr>
    </w:pPr>
  </w:style>
  <w:style w:type="paragraph" w:styleId="BlockText">
    <w:name w:val="Block Text"/>
    <w:basedOn w:val="Normal"/>
    <w:rsid w:val="00720DD1"/>
    <w:pPr>
      <w:spacing w:after="120"/>
      <w:ind w:left="1440" w:right="1440"/>
    </w:pPr>
  </w:style>
  <w:style w:type="character" w:customStyle="1" w:styleId="Subscript">
    <w:name w:val="Subscript"/>
    <w:rsid w:val="00720DD1"/>
    <w:rPr>
      <w:sz w:val="16"/>
      <w:vertAlign w:val="subscript"/>
    </w:rPr>
  </w:style>
  <w:style w:type="character" w:customStyle="1" w:styleId="Superscript">
    <w:name w:val="Superscript"/>
    <w:rsid w:val="00720DD1"/>
    <w:rPr>
      <w:sz w:val="16"/>
      <w:vertAlign w:val="superscript"/>
    </w:rPr>
  </w:style>
  <w:style w:type="character" w:customStyle="1" w:styleId="Symbols">
    <w:name w:val="Symbols"/>
    <w:rsid w:val="00720DD1"/>
    <w:rPr>
      <w:rFonts w:ascii="Symbol" w:hAnsi="Symbol"/>
    </w:rPr>
  </w:style>
  <w:style w:type="character" w:customStyle="1" w:styleId="MenuOptions">
    <w:name w:val="Menu Options"/>
    <w:rsid w:val="00720DD1"/>
    <w:rPr>
      <w:rFonts w:ascii="Arial Narrow" w:hAnsi="Arial Narrow"/>
      <w:smallCaps/>
    </w:rPr>
  </w:style>
  <w:style w:type="character" w:customStyle="1" w:styleId="Buttons">
    <w:name w:val="Buttons"/>
    <w:rsid w:val="00720DD1"/>
    <w:rPr>
      <w:b/>
    </w:rPr>
  </w:style>
  <w:style w:type="character" w:customStyle="1" w:styleId="Underlined">
    <w:name w:val="Underlined"/>
    <w:rsid w:val="00720DD1"/>
    <w:rPr>
      <w:u w:val="single"/>
    </w:rPr>
  </w:style>
  <w:style w:type="paragraph" w:customStyle="1" w:styleId="TableBodyTextRight">
    <w:name w:val="Table Body Text Right"/>
    <w:basedOn w:val="TableBodyText"/>
    <w:rsid w:val="00720DD1"/>
    <w:pPr>
      <w:widowControl w:val="0"/>
      <w:autoSpaceDE w:val="0"/>
      <w:autoSpaceDN w:val="0"/>
      <w:adjustRightInd w:val="0"/>
      <w:jc w:val="right"/>
    </w:pPr>
    <w:rPr>
      <w:rFonts w:cs="Arial"/>
      <w:szCs w:val="18"/>
    </w:rPr>
  </w:style>
  <w:style w:type="paragraph" w:customStyle="1" w:styleId="CopyrightText">
    <w:name w:val="Copyright Text"/>
    <w:basedOn w:val="BodyText"/>
    <w:rsid w:val="00720DD1"/>
    <w:rPr>
      <w:sz w:val="18"/>
    </w:rPr>
  </w:style>
  <w:style w:type="paragraph" w:customStyle="1" w:styleId="BodySmallRight">
    <w:name w:val="Body Small Right"/>
    <w:basedOn w:val="BodyTextRight"/>
    <w:rsid w:val="00720DD1"/>
    <w:rPr>
      <w:sz w:val="18"/>
      <w:szCs w:val="18"/>
    </w:rPr>
  </w:style>
  <w:style w:type="paragraph" w:customStyle="1" w:styleId="MarginEdition">
    <w:name w:val="Margin Edition"/>
    <w:basedOn w:val="MarginNote"/>
    <w:rsid w:val="00720DD1"/>
    <w:pPr>
      <w:spacing w:before="0" w:after="0"/>
    </w:pPr>
    <w:rPr>
      <w:rFonts w:ascii="Times New Roman" w:hAnsi="Times New Roman"/>
      <w:color w:val="999999"/>
    </w:rPr>
  </w:style>
  <w:style w:type="paragraph" w:customStyle="1" w:styleId="Spacer">
    <w:name w:val="Spacer"/>
    <w:basedOn w:val="Normal"/>
    <w:rsid w:val="00720DD1"/>
    <w:rPr>
      <w:sz w:val="2"/>
      <w:szCs w:val="2"/>
    </w:rPr>
  </w:style>
  <w:style w:type="character" w:customStyle="1" w:styleId="Small">
    <w:name w:val="Small"/>
    <w:rsid w:val="00720DD1"/>
    <w:rPr>
      <w:sz w:val="16"/>
    </w:rPr>
  </w:style>
  <w:style w:type="paragraph" w:customStyle="1" w:styleId="WideTable">
    <w:name w:val="Wide Table"/>
    <w:basedOn w:val="Normal"/>
    <w:rsid w:val="00720DD1"/>
    <w:pPr>
      <w:ind w:left="-1418"/>
    </w:pPr>
    <w:rPr>
      <w:sz w:val="2"/>
      <w:szCs w:val="2"/>
    </w:rPr>
  </w:style>
  <w:style w:type="character" w:styleId="PageNumber">
    <w:name w:val="page number"/>
    <w:rsid w:val="00720DD1"/>
  </w:style>
  <w:style w:type="paragraph" w:styleId="Quote">
    <w:name w:val="Quote"/>
    <w:basedOn w:val="Heading1"/>
    <w:link w:val="QuoteChar"/>
    <w:qFormat/>
    <w:rsid w:val="00720DD1"/>
    <w:rPr>
      <w:b w:val="0"/>
      <w:sz w:val="72"/>
      <w:szCs w:val="72"/>
      <w:lang w:val="en-NZ"/>
    </w:rPr>
  </w:style>
  <w:style w:type="character" w:customStyle="1" w:styleId="QuoteChar">
    <w:name w:val="Quote Char"/>
    <w:link w:val="Quote"/>
    <w:rsid w:val="00720D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DD1"/>
    <w:pPr>
      <w:pageBreakBefore/>
    </w:pPr>
  </w:style>
  <w:style w:type="paragraph" w:customStyle="1" w:styleId="Border">
    <w:name w:val="Border"/>
    <w:basedOn w:val="Normal"/>
    <w:qFormat/>
    <w:rsid w:val="00720DD1"/>
    <w:pPr>
      <w:pBdr>
        <w:top w:val="single" w:sz="18" w:space="1" w:color="auto"/>
      </w:pBdr>
    </w:pPr>
    <w:rPr>
      <w:rFonts w:ascii="Times New Roman" w:hAnsi="Times New Roman"/>
      <w:color w:val="FFFFFF"/>
      <w:sz w:val="2"/>
    </w:rPr>
  </w:style>
  <w:style w:type="character" w:styleId="IntenseEmphasis">
    <w:name w:val="Intense Emphasis"/>
    <w:uiPriority w:val="21"/>
    <w:qFormat/>
    <w:rsid w:val="00720DD1"/>
    <w:rPr>
      <w:b/>
      <w:bCs/>
      <w:i/>
      <w:iCs/>
      <w:color w:val="auto"/>
    </w:rPr>
  </w:style>
  <w:style w:type="paragraph" w:styleId="IntenseQuote">
    <w:name w:val="Intense Quote"/>
    <w:basedOn w:val="Normal"/>
    <w:next w:val="Normal"/>
    <w:link w:val="IntenseQuoteChar"/>
    <w:uiPriority w:val="30"/>
    <w:qFormat/>
    <w:rsid w:val="00720DD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20DD1"/>
    <w:rPr>
      <w:rFonts w:ascii="Courier New" w:eastAsia="Times New Roman" w:hAnsi="Courier New" w:cs="Times New Roman"/>
      <w:b/>
      <w:bCs/>
      <w:i/>
      <w:iCs/>
      <w:szCs w:val="20"/>
      <w:lang w:val="en-US" w:eastAsia="en-US"/>
    </w:rPr>
  </w:style>
  <w:style w:type="character" w:styleId="SubtleReference">
    <w:name w:val="Subtle Reference"/>
    <w:uiPriority w:val="31"/>
    <w:qFormat/>
    <w:rsid w:val="00720DD1"/>
    <w:rPr>
      <w:smallCaps/>
      <w:color w:val="auto"/>
      <w:u w:val="single"/>
    </w:rPr>
  </w:style>
  <w:style w:type="character" w:styleId="IntenseReference">
    <w:name w:val="Intense Reference"/>
    <w:uiPriority w:val="32"/>
    <w:qFormat/>
    <w:rsid w:val="00720DD1"/>
    <w:rPr>
      <w:b/>
      <w:bCs/>
      <w:smallCaps/>
      <w:color w:val="auto"/>
      <w:spacing w:val="5"/>
      <w:u w:val="single"/>
    </w:rPr>
  </w:style>
  <w:style w:type="paragraph" w:customStyle="1" w:styleId="2ColumnHeading">
    <w:name w:val="2Column Heading"/>
    <w:basedOn w:val="BodyText"/>
    <w:qFormat/>
    <w:rsid w:val="00720DD1"/>
    <w:pPr>
      <w:spacing w:after="60"/>
      <w:ind w:left="-2268"/>
    </w:pPr>
    <w:rPr>
      <w:b/>
    </w:rPr>
  </w:style>
  <w:style w:type="paragraph" w:customStyle="1" w:styleId="Heading1TOC">
    <w:name w:val="Heading1 TOC"/>
    <w:basedOn w:val="Normal"/>
    <w:qFormat/>
    <w:rsid w:val="00720DD1"/>
    <w:pPr>
      <w:spacing w:before="240" w:after="120"/>
    </w:pPr>
    <w:rPr>
      <w:rFonts w:ascii="Times New Roman" w:hAnsi="Times New Roman"/>
      <w:b/>
      <w:sz w:val="32"/>
    </w:rPr>
  </w:style>
  <w:style w:type="paragraph" w:customStyle="1" w:styleId="Heading2TOC">
    <w:name w:val="Heading2 TOC"/>
    <w:basedOn w:val="Normal"/>
    <w:qFormat/>
    <w:rsid w:val="00720DD1"/>
    <w:pPr>
      <w:spacing w:before="240" w:after="60"/>
    </w:pPr>
    <w:rPr>
      <w:rFonts w:ascii="Times New Roman" w:hAnsi="Times New Roman"/>
      <w:b/>
      <w:sz w:val="28"/>
    </w:rPr>
  </w:style>
  <w:style w:type="character" w:customStyle="1" w:styleId="Underline">
    <w:name w:val="Underline"/>
    <w:qFormat/>
    <w:rsid w:val="00720DD1"/>
    <w:rPr>
      <w:u w:val="single"/>
    </w:rPr>
  </w:style>
  <w:style w:type="character" w:customStyle="1" w:styleId="BoldandItalics">
    <w:name w:val="Bold and Italics"/>
    <w:qFormat/>
    <w:rsid w:val="00720DD1"/>
    <w:rPr>
      <w:b/>
      <w:i/>
      <w:u w:val="none"/>
    </w:rPr>
  </w:style>
  <w:style w:type="paragraph" w:styleId="BalloonText">
    <w:name w:val="Balloon Text"/>
    <w:basedOn w:val="Normal"/>
    <w:link w:val="BalloonTextChar"/>
    <w:rsid w:val="00720DD1"/>
    <w:rPr>
      <w:rFonts w:ascii="Tahoma" w:hAnsi="Tahoma" w:cs="Tahoma"/>
      <w:sz w:val="16"/>
      <w:szCs w:val="16"/>
    </w:rPr>
  </w:style>
  <w:style w:type="character" w:customStyle="1" w:styleId="BalloonTextChar">
    <w:name w:val="Balloon Text Char"/>
    <w:link w:val="BalloonText"/>
    <w:rsid w:val="00720D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0DD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20DD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3246</Words>
  <Characters>21017</Characters>
  <Application>Microsoft Office Word</Application>
  <DocSecurity>0</DocSecurity>
  <Lines>786</Lines>
  <Paragraphs>310</Paragraphs>
  <ScaleCrop>false</ScaleCrop>
  <Company>Author-it Software Corporation Ltd.</Company>
  <LinksUpToDate>false</LinksUpToDate>
  <CharactersWithSpaces>24049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UETTDRCJ31A Install and maintain polymeric specialised underground cables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2012-05-26T12:03:00Z</dcterms:created>
  <dcterms:modified xsi:type="dcterms:W3CDTF">2012-05-26T12:03:00Z</dcterms:modified>
</cp:coreProperties>
</file>