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D72" w:rsidP="002A0D72">
      <w:pPr>
        <w:pStyle w:val="Title"/>
      </w:pPr>
      <w:r>
        <w:fldChar w:fldCharType="begin"/>
      </w:r>
      <w:r>
        <w:instrText xml:space="preserve"> TITLE   \* MERGEFORMAT </w:instrText>
      </w:r>
      <w:r>
        <w:fldChar w:fldCharType="separate"/>
      </w:r>
      <w:r>
        <w:t>UETTDRCJ30A Maintain gas and oil filled specialised underground cables</w:t>
      </w:r>
      <w:r>
        <w:fldChar w:fldCharType="end"/>
      </w:r>
    </w:p>
    <w:p w:rsidR="002A0D72" w:rsidP="002A0D72">
      <w:pPr>
        <w:pStyle w:val="Version"/>
        <w:sectPr w:rsidSect="001860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025" w:rsidP="00186025">
      <w:pPr>
        <w:pStyle w:val="SuperHeading"/>
      </w:pPr>
      <w:r w:rsidRPr="00186025">
        <w:t>UETTDRCJ30A Maintain gas and oil filled specialised underground cables</w:t>
      </w:r>
    </w:p>
    <w:p w:rsidR="00000000" w:rsidRPr="00186025" w:rsidP="00186025">
      <w:pPr>
        <w:pStyle w:val="Heading1"/>
      </w:pPr>
      <w:bookmarkStart w:id="1" w:name="O_461863"/>
      <w:bookmarkEnd w:id="1"/>
      <w:r w:rsidRPr="00186025">
        <w:t>Modification History</w:t>
      </w:r>
    </w:p>
    <w:p w:rsidR="00000000" w:rsidRPr="00186025" w:rsidP="00186025">
      <w:pPr>
        <w:pStyle w:val="BodyText"/>
      </w:pPr>
      <w:r w:rsidRPr="00186025">
        <w:t>Not applicable.</w:t>
      </w:r>
    </w:p>
    <w:p w:rsidR="00000000" w:rsidRPr="00186025" w:rsidP="00186025">
      <w:pPr>
        <w:pStyle w:val="AllowPageBreak"/>
      </w:pPr>
    </w:p>
    <w:p w:rsidR="00000000" w:rsidRPr="00186025" w:rsidP="00186025">
      <w:pPr>
        <w:pStyle w:val="Heading1"/>
      </w:pPr>
      <w:bookmarkStart w:id="2" w:name="O_461859"/>
      <w:bookmarkEnd w:id="2"/>
      <w:r w:rsidRPr="00186025">
        <w:t>Unit Descriptor</w:t>
      </w:r>
    </w:p>
    <w:tbl>
      <w:tblPr>
        <w:tblW w:w="0" w:type="auto"/>
        <w:tblLayout w:type="fixed"/>
        <w:tblCellMar>
          <w:left w:w="62" w:type="dxa"/>
          <w:right w:w="62" w:type="dxa"/>
        </w:tblCellMar>
        <w:tblLook w:val="0000"/>
      </w:tblPr>
      <w:tblGrid>
        <w:gridCol w:w="2700"/>
        <w:gridCol w:w="5760"/>
      </w:tblGrid>
      <w:tr w:rsidTr="002A0D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1)</w:t>
            </w:r>
            <w:r w:rsidRPr="00186025">
              <w:t xml:space="preserve"> </w:t>
            </w:r>
            <w:r w:rsidRPr="00186025">
              <w:rPr>
                <w:rStyle w:val="SpecialBold"/>
              </w:rPr>
              <w:t>Scope:</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602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1.1) Descriptor</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 xml:space="preserve">This Competency Standard Unit covers the maintenance and repair of oil and gas filled specialised underground cables. It includes testing, diagnosing faults, repairing and replacing the specialised cables. It also encompasses the processes for preliminary </w:t>
            </w:r>
            <w:r w:rsidRPr="00186025">
              <w:t>pressure control and leak repair, as well as working under induced voltages, cable identification and cable freezing.</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3" w:name="O_461848"/>
      <w:bookmarkEnd w:id="3"/>
      <w:r w:rsidRPr="00186025">
        <w:t>Application of the Unit</w:t>
      </w:r>
    </w:p>
    <w:tbl>
      <w:tblPr>
        <w:tblW w:w="0" w:type="auto"/>
        <w:tblLayout w:type="fixed"/>
        <w:tblCellMar>
          <w:left w:w="62" w:type="dxa"/>
          <w:right w:w="62" w:type="dxa"/>
        </w:tblCellMar>
        <w:tblLook w:val="0000"/>
      </w:tblPr>
      <w:tblGrid>
        <w:gridCol w:w="2672"/>
        <w:gridCol w:w="5699"/>
      </w:tblGrid>
      <w:tr w:rsidTr="002A0D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2)</w:t>
            </w:r>
          </w:p>
        </w:tc>
      </w:tr>
      <w:tr w:rsidTr="002A0D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This Competency Standard Unit is intended to augment formally acquired competencies. It is suitable for employment-based programs under an approved contract of training.</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4" w:name="O_461855"/>
      <w:bookmarkEnd w:id="4"/>
      <w:r w:rsidRPr="00186025">
        <w:t>Licensing/Regulatory Information</w:t>
      </w:r>
    </w:p>
    <w:tbl>
      <w:tblPr>
        <w:tblW w:w="0" w:type="auto"/>
        <w:tblLayout w:type="fixed"/>
        <w:tblCellMar>
          <w:left w:w="62" w:type="dxa"/>
          <w:right w:w="62" w:type="dxa"/>
        </w:tblCellMar>
        <w:tblLook w:val="0000"/>
      </w:tblPr>
      <w:tblGrid>
        <w:gridCol w:w="2700"/>
        <w:gridCol w:w="5760"/>
      </w:tblGrid>
      <w:tr w:rsidTr="002A0D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 xml:space="preserve">3) </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The skil</w:t>
            </w:r>
            <w:r w:rsidRPr="00186025">
              <w:t>ls and knowledge described in this unit may require a licence/registration to practice in the work place subject to regulations for undertaking of electrical work. Practice in workplace and during training is also subject to regulations directly related to</w:t>
            </w:r>
            <w:r w:rsidRPr="00186025">
              <w:t xml:space="preserve"> Occupational Health and Safety, electricity/telecommunications/gas/water industry safety and compliance, industrial relations, environmental protection, anti discrimination and training. </w:t>
            </w:r>
            <w:r w:rsidRPr="00186025">
              <w:t>Commonwealth, State/Territory or Local Government legislation and re</w:t>
            </w:r>
            <w:r w:rsidRPr="00186025">
              <w:t>gulations may exist that limits the age of operating certain equipment.</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5" w:name="O_461856"/>
      <w:bookmarkEnd w:id="5"/>
      <w:r w:rsidRPr="00186025">
        <w:t>Pre-Requisites</w:t>
      </w:r>
    </w:p>
    <w:tbl>
      <w:tblPr>
        <w:tblW w:w="0" w:type="auto"/>
        <w:tblLayout w:type="fixed"/>
        <w:tblCellMar>
          <w:left w:w="62" w:type="dxa"/>
          <w:right w:w="62" w:type="dxa"/>
        </w:tblCellMar>
        <w:tblLook w:val="0000"/>
      </w:tblPr>
      <w:tblGrid>
        <w:gridCol w:w="2681"/>
        <w:gridCol w:w="19"/>
        <w:gridCol w:w="2070"/>
        <w:gridCol w:w="3690"/>
      </w:tblGrid>
      <w:tr w:rsidTr="002A0D7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 xml:space="preserve">4)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4.1)</w:t>
            </w:r>
          </w:p>
        </w:tc>
      </w:tr>
      <w:tr w:rsidTr="002A0D72">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Granting of competency in this unit shall be made only after competency in the following unit(s) has/have been confirmed.</w:t>
            </w:r>
          </w:p>
          <w:p w:rsidR="00000000" w:rsidRPr="00186025" w:rsidP="00186025">
            <w:pPr>
              <w:pStyle w:val="BodyText"/>
            </w:pPr>
            <w:r w:rsidRPr="00186025">
              <w:t xml:space="preserve">Where pre-requisite pathways have been identified. All competencies in the Common Unit Group must be have been completed plus all the </w:t>
            </w:r>
            <w:r w:rsidRPr="00186025">
              <w:t>competencies in one (1) of the identified Pathway Unit Group(s):</w:t>
            </w:r>
          </w:p>
          <w:p w:rsidR="00000000" w:rsidP="00186025">
            <w:pPr>
              <w:pStyle w:val="BodyText"/>
              <w:rPr>
                <w:lang w:val="en-NZ"/>
              </w:rPr>
            </w:pPr>
            <w:r w:rsidRPr="00186025">
              <w:t>Common Unit Group</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Unit Code</w:t>
            </w:r>
            <w:r w:rsidRPr="00186025">
              <w:tab/>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Unit Title</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Apply Occupational Health and Safety regulations, codes and practices in the workplace</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Fabricate, assemble and dismantle utilities industry components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Solve problems in d.c. Circuits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Fix and secure electrotechnology equipment</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Use drawings, diagrams, schedules, standards, codes and specifications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w:t>
            </w:r>
            <w:r w:rsidRPr="00186025">
              <w:t>ENEEG101A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Solve problems in electromagnetic devices and related circuits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Solve problems in low voltage a.c. Circuits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UETTDRCJ21A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Lay ESI electrical cables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UETTDRCJ23A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Install and maintain de-energised high voltage underground paper insulated cables.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UETTDRCJ26A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Install and maintain de-energised low voltage underground polymeric cables.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UETTDRCJ27A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Install and maintain de-energised high voltage underground polymeric cables.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86025">
            <w:pPr>
              <w:pStyle w:val="BodyText"/>
              <w:rPr>
                <w:lang w:val="en-NZ"/>
              </w:rPr>
            </w:pPr>
            <w:r w:rsidRPr="00186025">
              <w:t>UETTDRCJ29A</w:t>
            </w:r>
          </w:p>
        </w:tc>
        <w:tc>
          <w:tcPr>
            <w:tcW w:w="3690" w:type="dxa"/>
            <w:tcBorders>
              <w:top w:val="nil"/>
              <w:left w:val="nil"/>
              <w:bottom w:val="nil"/>
              <w:right w:val="nil"/>
            </w:tcBorders>
            <w:tcMar>
              <w:top w:w="0" w:type="dxa"/>
              <w:left w:w="62" w:type="dxa"/>
              <w:bottom w:w="0" w:type="dxa"/>
              <w:right w:w="62" w:type="dxa"/>
            </w:tcMar>
            <w:vAlign w:val="center"/>
          </w:tcPr>
          <w:p w:rsidR="00000000" w:rsidP="00186025">
            <w:pPr>
              <w:pStyle w:val="BodyText"/>
              <w:rPr>
                <w:lang w:val="en-NZ"/>
              </w:rPr>
            </w:pPr>
            <w:r w:rsidRPr="00186025">
              <w:t>Install gas and oil filled specialised underground cables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UETTDRCJ99A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Test and verify distribution cable jointing installations</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Apply sustainable energy and environmental procedures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Operate plant and equipment near live electrical conductors and apparatus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Working safely near live electrical apparatus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UETTDRIS41A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Install network infrastructure electr</w:t>
            </w:r>
            <w:r w:rsidRPr="00186025">
              <w:t xml:space="preserve">ical equipment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UETTDRIS42A</w:t>
            </w:r>
          </w:p>
        </w:tc>
        <w:tc>
          <w:tcPr>
            <w:tcW w:w="3690" w:type="dxa"/>
            <w:tcBorders>
              <w:top w:val="nil"/>
              <w:left w:val="nil"/>
              <w:bottom w:val="nil"/>
              <w:right w:val="nil"/>
            </w:tcBorders>
            <w:tcMar>
              <w:top w:w="0" w:type="dxa"/>
              <w:left w:w="62" w:type="dxa"/>
              <w:bottom w:w="0" w:type="dxa"/>
              <w:right w:w="62" w:type="dxa"/>
            </w:tcMar>
            <w:vAlign w:val="bottom"/>
          </w:tcPr>
          <w:p w:rsidR="00000000" w:rsidP="00186025">
            <w:pPr>
              <w:pStyle w:val="BodyText"/>
              <w:rPr>
                <w:lang w:val="en-NZ"/>
              </w:rPr>
            </w:pPr>
            <w:r w:rsidRPr="00186025">
              <w:t xml:space="preserve">Maintain network infrastructure electrical equipment </w:t>
            </w:r>
          </w:p>
        </w:tc>
      </w:tr>
      <w:tr w:rsidTr="002A0D7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UETTDRIS55A</w:t>
            </w:r>
          </w:p>
        </w:tc>
        <w:tc>
          <w:tcPr>
            <w:tcW w:w="3690" w:type="dxa"/>
            <w:tcBorders>
              <w:top w:val="nil"/>
              <w:left w:val="nil"/>
              <w:bottom w:val="nil"/>
              <w:right w:val="nil"/>
            </w:tcBorders>
            <w:tcMar>
              <w:top w:w="0" w:type="dxa"/>
              <w:left w:w="62" w:type="dxa"/>
              <w:bottom w:w="0" w:type="dxa"/>
              <w:right w:w="62" w:type="dxa"/>
            </w:tcMar>
            <w:vAlign w:val="bottom"/>
          </w:tcPr>
          <w:p w:rsidR="00000000" w:rsidRPr="00186025" w:rsidP="00186025">
            <w:pPr>
              <w:pStyle w:val="BodyText"/>
            </w:pPr>
            <w:r w:rsidRPr="00186025">
              <w:t xml:space="preserve">Install and maintain low voltage underground services </w:t>
            </w:r>
          </w:p>
        </w:tc>
      </w:tr>
    </w:tbl>
    <w:p w:rsidR="00000000" w:rsidRPr="00186025" w:rsidP="0018602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0D7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 xml:space="preserve">4.2) </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Participants are best equipped to achieve this unit if they have reading, writing and numeracy skills indicated by the following scales. Description of each scale is given in Volume 2, Part 3 “Literacy and Numeracy”.</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Reading</w:t>
            </w:r>
          </w:p>
        </w:tc>
        <w:tc>
          <w:tcPr>
            <w:tcW w:w="81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4</w:t>
            </w:r>
          </w:p>
        </w:tc>
        <w:tc>
          <w:tcPr>
            <w:tcW w:w="99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Writing</w:t>
            </w:r>
          </w:p>
        </w:tc>
        <w:tc>
          <w:tcPr>
            <w:tcW w:w="90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4</w:t>
            </w:r>
          </w:p>
        </w:tc>
        <w:tc>
          <w:tcPr>
            <w:tcW w:w="12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Numeracy</w:t>
            </w:r>
          </w:p>
        </w:tc>
        <w:tc>
          <w:tcPr>
            <w:tcW w:w="72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4</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6" w:name="O_461852"/>
      <w:bookmarkEnd w:id="6"/>
      <w:r w:rsidRPr="00186025">
        <w:t>Employability Skills Information</w:t>
      </w:r>
    </w:p>
    <w:tbl>
      <w:tblPr>
        <w:tblW w:w="0" w:type="auto"/>
        <w:tblLayout w:type="fixed"/>
        <w:tblCellMar>
          <w:left w:w="62" w:type="dxa"/>
          <w:right w:w="62" w:type="dxa"/>
        </w:tblCellMar>
        <w:tblLook w:val="0000"/>
      </w:tblPr>
      <w:tblGrid>
        <w:gridCol w:w="2700"/>
        <w:gridCol w:w="5760"/>
      </w:tblGrid>
      <w:tr w:rsidTr="002A0D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 xml:space="preserve">5) </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 xml:space="preserve">The required outcomes described in this unit of competency contain applicable facets of Employability Skills. The Employability Skills Summary </w:t>
            </w:r>
            <w:r w:rsidRPr="00186025">
              <w:t>of the qualification in which this unit of competency is packaged will assist in identifying Employability Skill requirements.</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7" w:name="O_461851"/>
      <w:bookmarkEnd w:id="7"/>
      <w:r w:rsidRPr="00186025">
        <w:t>Elements and Performance Criteria Pre-Content</w:t>
      </w:r>
    </w:p>
    <w:tbl>
      <w:tblPr>
        <w:tblW w:w="0" w:type="auto"/>
        <w:tblLayout w:type="fixed"/>
        <w:tblCellMar>
          <w:left w:w="62" w:type="dxa"/>
          <w:right w:w="62" w:type="dxa"/>
        </w:tblCellMar>
        <w:tblLook w:val="0000"/>
      </w:tblPr>
      <w:tblGrid>
        <w:gridCol w:w="2700"/>
        <w:gridCol w:w="5760"/>
      </w:tblGrid>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6)</w:t>
            </w:r>
            <w:r w:rsidRPr="00186025">
              <w:t xml:space="preserve"> Elements describe the essential outcomes of a competency stan</w:t>
            </w:r>
            <w:r w:rsidRPr="00186025">
              <w:t>dard unit</w:t>
            </w:r>
          </w:p>
        </w:tc>
        <w:tc>
          <w:tcPr>
            <w:tcW w:w="57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Performance Criteria describe the required performance needed to demonstrate achievement of the element. Assessment of performance is to be consistent with the Evidence Guide.</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8" w:name="O_461850"/>
      <w:bookmarkEnd w:id="8"/>
      <w:r w:rsidRPr="00186025">
        <w:t>Elements and Performance Criteria</w:t>
      </w:r>
    </w:p>
    <w:tbl>
      <w:tblPr>
        <w:tblW w:w="0" w:type="auto"/>
        <w:tblLayout w:type="fixed"/>
        <w:tblCellMar>
          <w:left w:w="62" w:type="dxa"/>
          <w:right w:w="62" w:type="dxa"/>
        </w:tblCellMar>
        <w:tblLook w:val="0000"/>
      </w:tblPr>
      <w:tblGrid>
        <w:gridCol w:w="407"/>
        <w:gridCol w:w="2246"/>
        <w:gridCol w:w="47"/>
        <w:gridCol w:w="838"/>
        <w:gridCol w:w="4772"/>
        <w:gridCol w:w="150"/>
      </w:tblGrid>
      <w:tr w:rsidTr="002A0D72">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PERFORMANCE CRITERIA</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w:t>
            </w:r>
          </w:p>
        </w:tc>
        <w:tc>
          <w:tcPr>
            <w:tcW w:w="2246" w:type="dxa"/>
            <w:vMerge w:val="restart"/>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Prepare/Plan to maintain oil and gas filled specialised underground cables</w:t>
            </w: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1.1</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Works schedule(s), including drawings, plans, requirements, established procedures, and material lists, are obtained, analysed, if necessary, by site i</w:t>
            </w:r>
            <w:r w:rsidRPr="00186025">
              <w:t>nspection and the extent of the preparation of the work determined for planning and coordination.</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1.2</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 xml:space="preserve">Work is prioritised and sequenced for the most efficient and effective outcome following consultation with others for completion within acceptable </w:t>
            </w:r>
            <w:r w:rsidRPr="00186025">
              <w:t>timeframes, to a quality standard and in accordance with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1.3</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Risk control measures are identified, prioritised and evaluated against the work schedule.</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1.4</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Relevant requirements and established procedures for the work are comm</w:t>
            </w:r>
            <w:r w:rsidRPr="00186025">
              <w:t>unicated to all personnel and identified for all work sites.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1.5</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 xml:space="preserve">Hazards are identified, OHS risks assessed and control measures are prioritised, implemented and monitored including emergency exits kept clear, </w:t>
            </w:r>
            <w:r w:rsidRPr="00186025">
              <w:t>to ensure safe systems of work are followed and according to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1.6</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Relevant work permits are secured to coordinate the performance of work according to requirements and/or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1.7</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Resources including personne</w:t>
            </w:r>
            <w:r w:rsidRPr="00186025">
              <w:t>l, equipment, tools and personal protective equipment required for the job are identified, scheduled and coordinated and confirmed in a safe and technical working order.</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1.8</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Clients/Customers are provided with possible solutions and/or options within th</w:t>
            </w:r>
            <w:r w:rsidRPr="00186025">
              <w:t>e scope, acceptable cost and requirements.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1.9</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Liaison and communication issues with other/authorised personnel, authorities, clients and land owners are resolved and activities coordinated to carry out work.</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1.10</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Personnel participating in the work, including plant operators and contractors, are fully briefed and respective responsibilities coordinated and authorised where applicable in accordance with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1.11</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Site is prepared according to t</w:t>
            </w:r>
            <w:r w:rsidRPr="00186025">
              <w:t>he work schedule and to minimise risk and damage to property, commerce, and individuals in accordance with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1.12</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Positioning of road signs, barriers and warning devices is planned in accordance with requirements.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w:t>
            </w:r>
          </w:p>
        </w:tc>
        <w:tc>
          <w:tcPr>
            <w:tcW w:w="2246" w:type="dxa"/>
            <w:vMerge w:val="restart"/>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 xml:space="preserve">Carry out the </w:t>
            </w:r>
            <w:r w:rsidRPr="00186025">
              <w:t>maintenance of oil and gas filled specialised underground cables</w:t>
            </w: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2.1</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OHS and sustainable energy principles and practices to reduce the incidents of accidents and minimise waste are monitored and actioned in accordance with requirements and/or established p</w:t>
            </w:r>
            <w:r w:rsidRPr="00186025">
              <w:t>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2.2</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First Aid, Rescue and other related work procedures are performed according to requirements and/or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2.3</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Lifting, climbing, working in confined spaces and aloft, and use of power tools/equipment, techniques and practices are safely exercised according to requirements.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2.4</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Hazard warnings and safety signs are recognised and hazards and assessed OHS risks are reported to the immediate authorised persons for directions according to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2.5</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Remedial actions are taken to overcome any shortfalls encountered</w:t>
            </w:r>
            <w:r w:rsidRPr="00186025">
              <w:t xml:space="preserve"> in the work schedule according to requirements and/or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2.6</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Maintenance of oil and gas filled specialised underground cables is carried out, in accordance with the work schedule and requirements and/or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w:t>
            </w:r>
            <w:r w:rsidRPr="00186025">
              <w:t>.7</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Essential knowledge and associated skills are applied in the safe maintenance of oil and gas filled specialised underground cables to ensure completion in an agreed timeframe and, to quality standards with a minimum of waste according to requirements.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2.8</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Solutions to non-routine problems are identified and actioned using acquired essential knowledge and associated skills according to requirements.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2.9</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Ongoing checks of quality of the work are undertaken in accordance with requirements and established procedures to ensure a quality like outcome is achieved for the client/customer and to a community/industry standard.</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w:t>
            </w:r>
          </w:p>
        </w:tc>
        <w:tc>
          <w:tcPr>
            <w:tcW w:w="2246" w:type="dxa"/>
            <w:vMerge w:val="restart"/>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Complete the maintenance of oil an</w:t>
            </w:r>
            <w:r w:rsidRPr="00186025">
              <w:t>d gas filled specialised underground cables</w:t>
            </w: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3.1</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Work undertaken is checked against works schedule for conformance with requirements, anomalies reported and solutions identified in accordance with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3.2</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Accidents and/or injuries are reported and followed up in accordance with requirements/established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3.3</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Work site is rehabilitated, cleaned up and confirmed safe in accordance with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3.4</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Tools, equipment and any surpl</w:t>
            </w:r>
            <w:r w:rsidRPr="00186025">
              <w:t>us resources and materials are, where appropriate, cleaned, checked and returned to storage in accordance with established procedures.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3.5</w:t>
            </w:r>
          </w:p>
        </w:tc>
        <w:tc>
          <w:tcPr>
            <w:tcW w:w="4772"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Relevant work permit(s) are signed off and, underground cables are returned to service and adv</w:t>
            </w:r>
            <w:r w:rsidRPr="00186025">
              <w:t>ised to client/customer in accordance with requirements.</w:t>
            </w:r>
          </w:p>
        </w:tc>
      </w:tr>
      <w:tr w:rsidTr="002A0D72">
        <w:tblPrEx>
          <w:tblW w:w="0" w:type="auto"/>
          <w:tblLayout w:type="fixed"/>
          <w:tblCellMar>
            <w:left w:w="62" w:type="dxa"/>
            <w:right w:w="62" w:type="dxa"/>
          </w:tblCellMar>
          <w:tblLook w:val="0000"/>
        </w:tblPrEx>
        <w:trPr>
          <w:gridAfter w:val="1"/>
          <w:wAfter w:w="150"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3.6</w:t>
            </w:r>
          </w:p>
        </w:tc>
        <w:tc>
          <w:tcPr>
            <w:tcW w:w="4772"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Works completion records, reports, as installed/modified drawing(s) and/or documentation and information are confirmed, processed and appropriate personnel notified.</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9" w:name="O_461858"/>
      <w:bookmarkEnd w:id="9"/>
      <w:r w:rsidRPr="00186025">
        <w:t>Require</w:t>
      </w:r>
      <w:r w:rsidRPr="00186025">
        <w:t>d Skills and Knowledge</w:t>
      </w:r>
    </w:p>
    <w:tbl>
      <w:tblPr>
        <w:tblW w:w="0" w:type="auto"/>
        <w:tblLayout w:type="fixed"/>
        <w:tblCellMar>
          <w:left w:w="62" w:type="dxa"/>
          <w:right w:w="62" w:type="dxa"/>
        </w:tblCellMar>
        <w:tblLook w:val="0000"/>
      </w:tblPr>
      <w:tblGrid>
        <w:gridCol w:w="8460"/>
      </w:tblGrid>
      <w:tr w:rsidTr="002A0D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REQUIRED SKILLS AND KNOWLEDGE</w:t>
            </w:r>
          </w:p>
        </w:tc>
      </w:tr>
      <w:tr w:rsidTr="002A0D7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8)</w:t>
            </w:r>
            <w:r w:rsidRPr="00186025">
              <w:t xml:space="preserve"> Essential knowledge and associated skills (EKAS): This describes the essential skills and knowledge and their level, required for this unit.</w:t>
            </w:r>
          </w:p>
          <w:p w:rsidR="00000000" w:rsidRPr="00186025" w:rsidP="00186025">
            <w:pPr>
              <w:pStyle w:val="BodyText"/>
            </w:pPr>
            <w:r w:rsidRPr="00186025">
              <w:t>Evidence shall show that knowledge has been acquired of ma</w:t>
            </w:r>
            <w:r w:rsidRPr="00186025">
              <w:t>intaining oil and gas filled specialised underground cables.</w:t>
            </w:r>
          </w:p>
          <w:p w:rsidR="00000000" w:rsidRPr="00186025" w:rsidP="00186025">
            <w:pPr>
              <w:pStyle w:val="BodyText"/>
            </w:pPr>
            <w:r w:rsidRPr="00186025">
              <w:t>All knowledge and skills detailed in this unit should be contextualised to current industry practices and technologies.</w:t>
            </w:r>
          </w:p>
          <w:p w:rsidR="00000000" w:rsidRPr="00186025" w:rsidP="00186025">
            <w:pPr>
              <w:pStyle w:val="BodyText"/>
            </w:pPr>
            <w:r w:rsidRPr="00186025">
              <w:t>KS01-TCJ30A</w:t>
            </w:r>
            <w:r w:rsidRPr="00186025">
              <w:tab/>
              <w:t>Oil and gas filled specialised underground cables maintenance</w:t>
            </w:r>
          </w:p>
          <w:p w:rsidR="00000000" w:rsidRPr="00186025" w:rsidP="00186025">
            <w:pPr>
              <w:pStyle w:val="BodyText"/>
            </w:pPr>
            <w:r w:rsidRPr="00186025">
              <w:t>Evidence shall show an understanding of maintenance of oil and gas filled specialised underground cables to an extent indicated by the following aspects:</w:t>
            </w:r>
          </w:p>
          <w:p w:rsidR="00000000" w:rsidRPr="00186025" w:rsidP="00186025">
            <w:pPr>
              <w:pStyle w:val="BodyText"/>
            </w:pPr>
            <w:r w:rsidRPr="00186025">
              <w:t>T1</w:t>
            </w:r>
            <w:r w:rsidRPr="00186025">
              <w:tab/>
              <w:t>Legislation, Standards, codes, legislation, supply authority regulations and or enterprise requirem</w:t>
            </w:r>
            <w:r w:rsidRPr="00186025">
              <w:t>ents pertaining to the maintenance of oil or gas filled specialised underground cables</w:t>
            </w:r>
          </w:p>
          <w:p w:rsidR="00000000" w:rsidRPr="00186025" w:rsidP="00186025">
            <w:pPr>
              <w:pStyle w:val="BodyText"/>
            </w:pPr>
            <w:r w:rsidRPr="00186025">
              <w:t>T2</w:t>
            </w:r>
            <w:r w:rsidRPr="00186025">
              <w:tab/>
              <w:t xml:space="preserve">Safety precautions of working with oil or gas filled specialised underground cables encompassing: </w:t>
            </w:r>
          </w:p>
          <w:p w:rsidR="00000000" w:rsidRPr="00186025" w:rsidP="00186025">
            <w:pPr>
              <w:pStyle w:val="ListBullet"/>
            </w:pPr>
            <w:r w:rsidRPr="00186025">
              <w:t>Safe operation procedures</w:t>
            </w:r>
          </w:p>
          <w:p w:rsidR="00000000" w:rsidRPr="00186025" w:rsidP="00186025">
            <w:pPr>
              <w:pStyle w:val="ListBullet"/>
            </w:pPr>
            <w:r w:rsidRPr="00186025">
              <w:t>Occupational Health and Safety hazards a</w:t>
            </w:r>
            <w:r w:rsidRPr="00186025">
              <w:t>nd precautions</w:t>
            </w:r>
          </w:p>
          <w:p w:rsidR="00000000" w:rsidRPr="00186025" w:rsidP="00186025">
            <w:pPr>
              <w:pStyle w:val="ListBullet"/>
            </w:pPr>
            <w:r w:rsidRPr="00186025">
              <w:t>Dangers of working in confined spaces</w:t>
            </w:r>
          </w:p>
          <w:p w:rsidR="00000000" w:rsidRPr="00186025" w:rsidP="00186025">
            <w:pPr>
              <w:pStyle w:val="ListBullet"/>
            </w:pPr>
            <w:r w:rsidRPr="00186025">
              <w:t>Identification of OHS hazards, assessing and controlling risks</w:t>
            </w:r>
          </w:p>
          <w:p w:rsidR="00000000" w:rsidRPr="00186025" w:rsidP="00186025">
            <w:pPr>
              <w:pStyle w:val="ListBullet"/>
            </w:pPr>
            <w:r w:rsidRPr="00186025">
              <w:t>Types, selection, maintenance, storage and uses of personnel protective equipment including intrinsically safe equipment for use in confined</w:t>
            </w:r>
            <w:r w:rsidRPr="00186025">
              <w:t xml:space="preserve"> and hazardous environments </w:t>
            </w:r>
          </w:p>
          <w:p w:rsidR="00000000" w:rsidRPr="00186025" w:rsidP="00186025">
            <w:pPr>
              <w:pStyle w:val="ListBullet"/>
            </w:pPr>
            <w:r w:rsidRPr="00186025">
              <w:t>Permit/Authorisation to work systems and isolation procedures</w:t>
            </w:r>
          </w:p>
          <w:p w:rsidR="00000000" w:rsidRPr="00186025" w:rsidP="00186025">
            <w:pPr>
              <w:pStyle w:val="ListBullet"/>
            </w:pPr>
            <w:r w:rsidRPr="00186025">
              <w:t>Safe working policies, procedures and practices when using/operating specialised equipment</w:t>
            </w:r>
          </w:p>
          <w:p w:rsidR="00000000" w:rsidRPr="00186025" w:rsidP="00186025">
            <w:pPr>
              <w:pStyle w:val="ListBullet"/>
            </w:pPr>
            <w:r w:rsidRPr="00186025">
              <w:t>Emergency response and rescue including First Aid etc</w:t>
            </w:r>
          </w:p>
          <w:p w:rsidR="00000000" w:rsidRPr="00186025" w:rsidP="00186025">
            <w:pPr>
              <w:pStyle w:val="BodyText"/>
            </w:pPr>
            <w:r w:rsidRPr="00186025">
              <w:t>T3</w:t>
            </w:r>
            <w:r w:rsidRPr="00186025">
              <w:tab/>
              <w:t xml:space="preserve">Safe storage and </w:t>
            </w:r>
            <w:r w:rsidRPr="00186025">
              <w:t>disposal of oil or gas filled specialised underground cables and associated equipment and components; Types, function and serviceability of tools and equipment used for the maintenance of oil or gas filled specialised underground cables Techniques in the s</w:t>
            </w:r>
            <w:r w:rsidRPr="00186025">
              <w:t>afe maintenance of oil or gas filled specialised underground cables</w:t>
            </w:r>
          </w:p>
          <w:p w:rsidR="00000000" w:rsidRPr="00186025" w:rsidP="00186025">
            <w:pPr>
              <w:pStyle w:val="BodyText"/>
            </w:pPr>
            <w:r w:rsidRPr="00186025">
              <w:t>T4</w:t>
            </w:r>
            <w:r w:rsidRPr="00186025">
              <w:tab/>
              <w:t>Techniques in the safe testing/inspection of the oil or gas filled specialised underground cables to ensure successful maintenance has occurred</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10" w:name="O_461853"/>
      <w:bookmarkEnd w:id="10"/>
      <w:r w:rsidRPr="00186025">
        <w:t>Evidence Guide</w:t>
      </w:r>
    </w:p>
    <w:tbl>
      <w:tblPr>
        <w:tblW w:w="0" w:type="auto"/>
        <w:tblLayout w:type="fixed"/>
        <w:tblCellMar>
          <w:left w:w="62" w:type="dxa"/>
          <w:right w:w="62" w:type="dxa"/>
        </w:tblCellMar>
        <w:tblLook w:val="0000"/>
      </w:tblPr>
      <w:tblGrid>
        <w:gridCol w:w="8460"/>
      </w:tblGrid>
      <w:tr w:rsidTr="002A0D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EVIDENCE GUIDE</w:t>
            </w:r>
          </w:p>
        </w:tc>
      </w:tr>
      <w:tr w:rsidTr="002A0D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9)</w:t>
            </w:r>
            <w:r w:rsidRPr="00186025">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86025" w:rsidP="00186025">
            <w:pPr>
              <w:pStyle w:val="BodyText"/>
            </w:pPr>
            <w:r w:rsidRPr="00186025">
              <w:t>The E</w:t>
            </w:r>
            <w:r w:rsidRPr="00186025">
              <w:t>vidence Guide forms an integral part of this Competency Standard Unit and shall be used in conjunction with all component parts of this unit and, performed in accordance with the Assessment Guidelines of this Training Package.</w:t>
            </w:r>
          </w:p>
        </w:tc>
      </w:tr>
    </w:tbl>
    <w:p w:rsidR="00000000" w:rsidRPr="00186025" w:rsidP="00186025">
      <w:pPr>
        <w:pStyle w:val="BodyText"/>
      </w:pPr>
    </w:p>
    <w:tbl>
      <w:tblPr>
        <w:tblW w:w="0" w:type="auto"/>
        <w:tblLayout w:type="fixed"/>
        <w:tblCellMar>
          <w:left w:w="62" w:type="dxa"/>
          <w:right w:w="62" w:type="dxa"/>
        </w:tblCellMar>
        <w:tblLook w:val="0000"/>
      </w:tblPr>
      <w:tblGrid>
        <w:gridCol w:w="1890"/>
        <w:gridCol w:w="6570"/>
      </w:tblGrid>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9.1)</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 xml:space="preserve">Longitudinal competency development approaches to assessment, such as Profiling, require data to be reliably gathered in a form that can be </w:t>
            </w:r>
            <w:r w:rsidRPr="00186025">
              <w:t>consistently interpreted over time. This approach is best utilised in Apprenticeship programs and reduces assessment intervention. It is the Industry’s preferred model for apprenticeships. However, where summative (or final) assessment is used it is to inc</w:t>
            </w:r>
            <w:r w:rsidRPr="00186025">
              <w:t>lude the application of the competency in the normal work environment or, at a minimum, the application of the competency in a realistically simulated work environment. It is recognised that, in some circumstances, assessment in part or full can occur outs</w:t>
            </w:r>
            <w:r w:rsidRPr="00186025">
              <w:t>ide the workplace. However, it must be in accord with Industry and, Regulatory policy in this regard.</w:t>
            </w:r>
          </w:p>
          <w:p w:rsidR="00000000" w:rsidRPr="00186025" w:rsidP="00186025">
            <w:pPr>
              <w:pStyle w:val="BodyText"/>
            </w:pPr>
            <w:r w:rsidRPr="00186025">
              <w:t>Methods chosen for a particular assessment will be influenced by various factors. These include the extent of the assessment, the most effective locations</w:t>
            </w:r>
            <w:r w:rsidRPr="00186025">
              <w:t xml:space="preserve"> for the assessment activities to take place, access to physical resources, additional safety measures that may be required and the critical nature of the competencies being assessed.</w:t>
            </w:r>
          </w:p>
          <w:p w:rsidR="00000000" w:rsidRPr="00186025" w:rsidP="00186025">
            <w:pPr>
              <w:pStyle w:val="BodyText"/>
            </w:pPr>
            <w:r w:rsidRPr="00186025">
              <w:t>The critical safety nature of working with electricity, electrical equip</w:t>
            </w:r>
            <w:r w:rsidRPr="00186025">
              <w:t>ment, gas or any other hazardous substance/material carries risk in deeming a person competent. Hence, sources of evidence need to be ‘rich’ in nature so as to minimise error in judgment.</w:t>
            </w:r>
          </w:p>
          <w:p w:rsidR="00000000" w:rsidRPr="00186025" w:rsidP="00186025">
            <w:pPr>
              <w:pStyle w:val="BodyText"/>
            </w:pPr>
            <w:r w:rsidRPr="00186025">
              <w:t>Activities associated with normal every day work have a bearing on t</w:t>
            </w:r>
            <w:r w:rsidRPr="00186025">
              <w:t>he decision as to how much and how detailed the data gathered will contribute to its ‘richness’. Some skills are more critical to safety and operational requirements while the same skills may be more or less frequently practiced. These points are raised fo</w:t>
            </w:r>
            <w:r w:rsidRPr="00186025">
              <w:t>r the assessors to consider when choosing an assessment method and developing assessment instruments. Sample assessment instruments are included for Assessors in the Assessment Guidelines of this Training Package.</w:t>
            </w:r>
          </w:p>
        </w:tc>
      </w:tr>
    </w:tbl>
    <w:p w:rsidR="00000000" w:rsidRPr="00186025" w:rsidP="0018602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Critical aspects of evidence required to</w:t>
            </w:r>
            <w:r w:rsidRPr="00186025">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9.2)</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Before the critical aspects of evidence are considered all prerequisites shall be met.</w:t>
            </w:r>
          </w:p>
          <w:p w:rsidR="00000000" w:rsidRPr="00186025" w:rsidP="00186025">
            <w:pPr>
              <w:pStyle w:val="BodyText"/>
            </w:pPr>
            <w:r w:rsidRPr="00186025">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186025" w:rsidP="00186025">
            <w:pPr>
              <w:pStyle w:val="ListBullet"/>
            </w:pPr>
            <w:r w:rsidRPr="00186025">
              <w:t>A</w:t>
            </w:r>
            <w:r w:rsidRPr="00186025">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186025" w:rsidP="00186025">
            <w:pPr>
              <w:pStyle w:val="ListBullet2"/>
            </w:pPr>
            <w:r w:rsidRPr="00186025">
              <w:t>Implement Occu</w:t>
            </w:r>
            <w:r w:rsidRPr="00186025">
              <w:t>pational Health and Safety workplace procedures and practices including the use of risk control measures as specified in the performance criteria and range; and</w:t>
            </w:r>
          </w:p>
          <w:p w:rsidR="00000000" w:rsidRPr="00186025" w:rsidP="00186025">
            <w:pPr>
              <w:pStyle w:val="ListBullet2"/>
            </w:pPr>
            <w:r w:rsidRPr="00186025">
              <w:t xml:space="preserve">Apply sustainable energy principles and practices as specified in the performance criteria and </w:t>
            </w:r>
            <w:r w:rsidRPr="00186025">
              <w:t>range; and</w:t>
            </w:r>
          </w:p>
          <w:p w:rsidR="00000000" w:rsidRPr="00186025" w:rsidP="00186025">
            <w:pPr>
              <w:pStyle w:val="ListBullet2"/>
            </w:pPr>
            <w:r w:rsidRPr="00186025">
              <w:t>Demonstrate an understanding of the essential knowledge and associated skills as described in this unit to such an extent that the learner’s performance outcome is reported in accordance with the preferred approach; namely a percentile graded re</w:t>
            </w:r>
            <w:r w:rsidRPr="00186025">
              <w:t>sult, where required by the regulated environment; and</w:t>
            </w:r>
          </w:p>
          <w:p w:rsidR="00000000" w:rsidRPr="00186025" w:rsidP="00186025">
            <w:pPr>
              <w:pStyle w:val="ListBullet2"/>
            </w:pPr>
            <w:r w:rsidRPr="00186025">
              <w:t>Demonstrate an appropriate level of employability skills; and</w:t>
            </w:r>
          </w:p>
          <w:p w:rsidR="00000000" w:rsidRPr="00186025" w:rsidP="00186025">
            <w:pPr>
              <w:pStyle w:val="ListBullet"/>
            </w:pPr>
            <w:r w:rsidRPr="00186025">
              <w:t>Conduct work observing the relevant Anti Discrimination legislation, regulations, policies and workplace procedures; and</w:t>
            </w:r>
          </w:p>
          <w:p w:rsidR="00000000" w:rsidP="00186025">
            <w:pPr>
              <w:pStyle w:val="ListBullet2"/>
              <w:rPr>
                <w:lang w:val="en-NZ"/>
              </w:rPr>
            </w:pPr>
            <w:r w:rsidRPr="00186025">
              <w:t>Demonstrated per</w:t>
            </w:r>
            <w:r w:rsidRPr="00186025">
              <w:t>formance across a representative range of contexts from the prescribed items below:</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8602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rPr>
                <w:rStyle w:val="SpecialBold"/>
              </w:rPr>
              <w:t>Range of tools/equipment/materials/procedures/workplaces/other variables</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8602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rPr>
                <w:rStyle w:val="SpecialBold"/>
              </w:rPr>
              <w:t>Item List</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Oil filled cables</w:t>
            </w:r>
          </w:p>
          <w:p w:rsidR="00000000" w:rsidP="00186025">
            <w:pPr>
              <w:pStyle w:val="BodyText"/>
              <w:rPr>
                <w:lang w:val="en-NZ"/>
              </w:rPr>
            </w:pPr>
            <w:r w:rsidRPr="00186025">
              <w:t>Gas filled cables</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Straight through joint</w:t>
            </w:r>
          </w:p>
          <w:p w:rsidR="00000000" w:rsidRPr="00186025" w:rsidP="00186025">
            <w:pPr>
              <w:pStyle w:val="BodyText"/>
            </w:pPr>
            <w:r w:rsidRPr="00186025">
              <w:t>Straight stop joint,</w:t>
            </w:r>
          </w:p>
          <w:p w:rsidR="00000000" w:rsidRPr="00186025" w:rsidP="00186025">
            <w:pPr>
              <w:pStyle w:val="BodyText"/>
            </w:pPr>
            <w:r w:rsidRPr="00186025">
              <w:t>Trifurcating joint</w:t>
            </w:r>
          </w:p>
          <w:p w:rsidR="00000000" w:rsidRPr="00186025" w:rsidP="00186025">
            <w:pPr>
              <w:pStyle w:val="BodyText"/>
            </w:pPr>
            <w:r w:rsidRPr="00186025">
              <w:t>Splitter joint</w:t>
            </w:r>
          </w:p>
          <w:p w:rsidR="00000000" w:rsidP="00186025">
            <w:pPr>
              <w:pStyle w:val="BodyText"/>
              <w:rPr>
                <w:lang w:val="en-NZ"/>
              </w:rPr>
            </w:pPr>
            <w:r w:rsidRPr="00186025">
              <w:t>Trifurcating/transition/stop joint</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Air box terminator</w:t>
            </w:r>
          </w:p>
          <w:p w:rsidR="00000000" w:rsidRPr="00186025" w:rsidP="00186025">
            <w:pPr>
              <w:pStyle w:val="BodyText"/>
            </w:pPr>
            <w:r w:rsidRPr="00186025">
              <w:t>Gas filled terminator</w:t>
            </w:r>
          </w:p>
          <w:p w:rsidR="00000000" w:rsidP="00186025">
            <w:pPr>
              <w:pStyle w:val="BodyText"/>
              <w:rPr>
                <w:lang w:val="en-NZ"/>
              </w:rPr>
            </w:pPr>
            <w:r w:rsidRPr="00186025">
              <w:t>Compound filled terminator</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Welded connectors</w:t>
            </w:r>
          </w:p>
          <w:p w:rsidR="00000000" w:rsidRPr="00186025" w:rsidP="00186025">
            <w:pPr>
              <w:pStyle w:val="BodyText"/>
            </w:pPr>
            <w:r w:rsidRPr="00186025">
              <w:t>Mechanical connectors</w:t>
            </w:r>
          </w:p>
          <w:p w:rsidR="00000000" w:rsidP="00186025">
            <w:pPr>
              <w:pStyle w:val="BodyText"/>
              <w:rPr>
                <w:lang w:val="en-NZ"/>
              </w:rPr>
            </w:pPr>
            <w:r w:rsidRPr="00186025">
              <w:t>Compression connectors</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Voltage detectors</w:t>
            </w:r>
          </w:p>
          <w:p w:rsidR="00000000" w:rsidRPr="00186025" w:rsidP="00186025">
            <w:pPr>
              <w:pStyle w:val="BodyText"/>
            </w:pPr>
            <w:r w:rsidRPr="00186025">
              <w:t>Cable identification equipment and spiking</w:t>
            </w:r>
          </w:p>
          <w:p w:rsidR="00000000" w:rsidP="00186025">
            <w:pPr>
              <w:pStyle w:val="BodyText"/>
              <w:rPr>
                <w:lang w:val="en-NZ"/>
              </w:rPr>
            </w:pPr>
            <w:r w:rsidRPr="00186025">
              <w:t>Insulation resistance testers</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Leak repair and pressure control cable freezing equipment</w:t>
            </w:r>
          </w:p>
          <w:p w:rsidR="00000000" w:rsidRPr="00186025" w:rsidP="00186025">
            <w:pPr>
              <w:pStyle w:val="BodyText"/>
            </w:pPr>
            <w:r w:rsidRPr="00186025">
              <w:t>Application of pressure control tapes</w:t>
            </w:r>
          </w:p>
          <w:p w:rsidR="00000000" w:rsidP="00186025">
            <w:pPr>
              <w:pStyle w:val="BodyText"/>
              <w:rPr>
                <w:lang w:val="en-NZ"/>
              </w:rPr>
            </w:pPr>
            <w:r w:rsidRPr="00186025">
              <w:t>Fittings and seals</w:t>
            </w:r>
          </w:p>
        </w:tc>
      </w:tr>
      <w:tr w:rsidTr="002A0D72">
        <w:tblPrEx>
          <w:tblW w:w="0" w:type="auto"/>
          <w:tblLayout w:type="fixed"/>
          <w:tblCellMar>
            <w:left w:w="62" w:type="dxa"/>
            <w:right w:w="62" w:type="dxa"/>
          </w:tblCellMar>
          <w:tblLook w:val="0000"/>
        </w:tblPrEx>
        <w:trPr>
          <w:trHeight w:val="9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Oil filled cables</w:t>
            </w:r>
          </w:p>
          <w:p w:rsidR="00000000" w:rsidP="00186025">
            <w:pPr>
              <w:pStyle w:val="BodyText"/>
              <w:rPr>
                <w:lang w:val="en-NZ"/>
              </w:rPr>
            </w:pPr>
            <w:r w:rsidRPr="00186025">
              <w:t>Gas filled cables</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025">
            <w:pPr>
              <w:pStyle w:val="BodyText"/>
              <w:rPr>
                <w:lang w:val="en-NZ"/>
              </w:rPr>
            </w:pPr>
            <w:r w:rsidRPr="0018602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025" w:rsidP="00186025">
            <w:pPr>
              <w:pStyle w:val="BodyText"/>
            </w:pPr>
            <w:r w:rsidRPr="00186025">
              <w:t>Dealing with an unplanned event by drawing on essential knowledge and associated skills to provide appropriate solutions incorporated in the holistic assessment with the above listed items</w:t>
            </w:r>
          </w:p>
        </w:tc>
      </w:tr>
    </w:tbl>
    <w:p w:rsidR="00000000" w:rsidRPr="00186025" w:rsidP="00186025">
      <w:pPr>
        <w:pStyle w:val="BodyText"/>
      </w:pPr>
    </w:p>
    <w:tbl>
      <w:tblPr>
        <w:tblW w:w="0" w:type="auto"/>
        <w:tblLayout w:type="fixed"/>
        <w:tblCellMar>
          <w:left w:w="62" w:type="dxa"/>
          <w:right w:w="62" w:type="dxa"/>
        </w:tblCellMar>
        <w:tblLook w:val="0000"/>
      </w:tblPr>
      <w:tblGrid>
        <w:gridCol w:w="1890"/>
        <w:gridCol w:w="6570"/>
      </w:tblGrid>
      <w:tr w:rsidTr="002A0D7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Context of and specific resources for asses</w:t>
            </w:r>
            <w:r w:rsidRPr="00186025">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9.3)</w:t>
            </w:r>
          </w:p>
        </w:tc>
      </w:tr>
      <w:tr w:rsidTr="002A0D7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This unit should be assessed as it relates to normal work practice using procedures, information and resources typical of a workplace. This should include:</w:t>
            </w:r>
          </w:p>
          <w:p w:rsidR="00000000" w:rsidRPr="00186025" w:rsidP="00186025">
            <w:pPr>
              <w:pStyle w:val="ListBullet"/>
            </w:pPr>
            <w:r w:rsidRPr="00186025">
              <w:t>OHS policy and work procedures and instructions.</w:t>
            </w:r>
          </w:p>
          <w:p w:rsidR="00000000" w:rsidRPr="00186025" w:rsidP="00186025">
            <w:pPr>
              <w:pStyle w:val="ListBullet"/>
            </w:pPr>
            <w:r w:rsidRPr="00186025">
              <w:t>Suitable work environment, facilities, equipment and materials to undertake actual maintenance of oil and gas filled specialised underground cables.</w:t>
            </w:r>
          </w:p>
          <w:p w:rsidR="00000000" w:rsidRPr="00186025" w:rsidP="00186025">
            <w:pPr>
              <w:pStyle w:val="BodyText"/>
            </w:pPr>
            <w:r w:rsidRPr="00186025">
              <w:t>In addition to the resources listed above, in context of and specific resources for assessment, evidence sh</w:t>
            </w:r>
            <w:r w:rsidRPr="00186025">
              <w:t>ould show demonstrated competency working at realistic heights above ground i.e. above 3 metres, in limited spaces, with different structural/construction types and method and in a variety of environments.</w:t>
            </w:r>
          </w:p>
        </w:tc>
      </w:tr>
    </w:tbl>
    <w:p w:rsidR="00000000" w:rsidRPr="00186025" w:rsidP="00186025">
      <w:pPr>
        <w:pStyle w:val="BodyText"/>
      </w:pPr>
    </w:p>
    <w:tbl>
      <w:tblPr>
        <w:tblW w:w="0" w:type="auto"/>
        <w:tblLayout w:type="fixed"/>
        <w:tblCellMar>
          <w:left w:w="62" w:type="dxa"/>
          <w:right w:w="62" w:type="dxa"/>
        </w:tblCellMar>
        <w:tblLook w:val="0000"/>
      </w:tblPr>
      <w:tblGrid>
        <w:gridCol w:w="1890"/>
        <w:gridCol w:w="6570"/>
      </w:tblGrid>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9.4)</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This Competency Standard Unit shall be assessed by methods given in Volume 1, Part 3 "Assessment Guidelines".</w:t>
            </w:r>
          </w:p>
          <w:p w:rsidR="00000000" w:rsidRPr="00186025" w:rsidP="00186025">
            <w:pPr>
              <w:pStyle w:val="BodyText"/>
            </w:pPr>
            <w:r w:rsidRPr="00186025">
              <w:t>Note:</w:t>
            </w:r>
            <w:r w:rsidRPr="00186025">
              <w:br/>
              <w:t xml:space="preserve">Competent performance with inherent safe working practices is expected in the Industry to which this Competency Standard Unit applies. This </w:t>
            </w:r>
            <w:r w:rsidRPr="00186025">
              <w:t>requires that the specified essential knowledge and associated skills are assessed in a structured environment which is primarily intended for learning/assessment and incorporates all necessary equipment and facilities for learners to develop and demonstra</w:t>
            </w:r>
            <w:r w:rsidRPr="00186025">
              <w:t>te the essential knowledge and associated skills described in this unit.</w:t>
            </w:r>
          </w:p>
        </w:tc>
      </w:tr>
    </w:tbl>
    <w:p w:rsidR="00000000" w:rsidRPr="00186025" w:rsidP="00186025">
      <w:pPr>
        <w:pStyle w:val="BodyText"/>
      </w:pPr>
    </w:p>
    <w:tbl>
      <w:tblPr>
        <w:tblW w:w="0" w:type="auto"/>
        <w:tblLayout w:type="fixed"/>
        <w:tblCellMar>
          <w:left w:w="62" w:type="dxa"/>
          <w:right w:w="62" w:type="dxa"/>
        </w:tblCellMar>
        <w:tblLook w:val="0000"/>
      </w:tblPr>
      <w:tblGrid>
        <w:gridCol w:w="1890"/>
        <w:gridCol w:w="1530"/>
        <w:gridCol w:w="5040"/>
      </w:tblGrid>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9.5)</w:t>
            </w:r>
          </w:p>
        </w:tc>
      </w:tr>
      <w:tr w:rsidTr="002A0D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For optimisation of training and assessment effort, competence in this unit may be assessed concurrently with the fol</w:t>
            </w:r>
            <w:r w:rsidRPr="00186025">
              <w:t xml:space="preserve">lowing units: </w:t>
            </w:r>
          </w:p>
        </w:tc>
      </w:tr>
      <w:tr w:rsidTr="002A0D72">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t>UETTDRCJ31A</w:t>
            </w:r>
            <w:r w:rsidRPr="00186025">
              <w:tab/>
            </w:r>
          </w:p>
        </w:tc>
        <w:tc>
          <w:tcPr>
            <w:tcW w:w="504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Install and maintain polymeric specialised underground cables</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11" w:name="O_461857"/>
      <w:bookmarkEnd w:id="11"/>
      <w:r w:rsidRPr="00186025">
        <w:t>Range Statement</w:t>
      </w:r>
    </w:p>
    <w:tbl>
      <w:tblPr>
        <w:tblW w:w="0" w:type="auto"/>
        <w:tblLayout w:type="fixed"/>
        <w:tblCellMar>
          <w:left w:w="62" w:type="dxa"/>
          <w:right w:w="62" w:type="dxa"/>
        </w:tblCellMar>
        <w:tblLook w:val="0000"/>
      </w:tblPr>
      <w:tblGrid>
        <w:gridCol w:w="8460"/>
      </w:tblGrid>
      <w:tr w:rsidTr="002A0D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RANGE STATEMENT</w:t>
            </w:r>
          </w:p>
        </w:tc>
      </w:tr>
      <w:tr w:rsidTr="002A0D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10)</w:t>
            </w:r>
            <w:r w:rsidRPr="00186025">
              <w:t xml:space="preserve"> This relates to the unit of competency as a whole providing the range of contexts and conditions </w:t>
            </w:r>
            <w:r w:rsidRPr="00186025">
              <w:t>to which the performance criteria apply. It allows for different work environments and situations that will affect performance.</w:t>
            </w:r>
          </w:p>
          <w:p w:rsidR="00000000" w:rsidRPr="00186025" w:rsidP="00186025">
            <w:pPr>
              <w:pStyle w:val="BodyText"/>
            </w:pPr>
            <w:r w:rsidRPr="00186025">
              <w:t xml:space="preserve">This Competency Standard Unit shall be demonstrated in relation to the maintenance and repair of oil and gas filled specialised </w:t>
            </w:r>
            <w:r w:rsidRPr="00186025">
              <w:t>underground cables and may include the following:</w:t>
            </w:r>
          </w:p>
          <w:p w:rsidR="00000000" w:rsidRPr="00186025" w:rsidP="00186025">
            <w:pPr>
              <w:pStyle w:val="BodyText"/>
            </w:pPr>
            <w:r w:rsidRPr="00186025">
              <w:t>Cable type includes: Pressurised oil filled and gas filled cables 33 kV and above.</w:t>
            </w:r>
          </w:p>
          <w:p w:rsidR="00000000" w:rsidRPr="00186025" w:rsidP="00186025">
            <w:pPr>
              <w:pStyle w:val="BodyText"/>
            </w:pPr>
            <w:r w:rsidRPr="00186025">
              <w:t>Testing and recording equipment may include voltage detectors, cable identification equipment, insulation resistance tester</w:t>
            </w:r>
            <w:r w:rsidRPr="00186025">
              <w:t>s.</w:t>
            </w:r>
          </w:p>
          <w:p w:rsidR="00000000" w:rsidRPr="00186025" w:rsidP="00186025">
            <w:pPr>
              <w:pStyle w:val="BodyText"/>
            </w:pPr>
            <w:r w:rsidRPr="00186025">
              <w:t>Jointing and terminating materials: compound and resin filled boxes, paper tape/roll materials, polymeric tape materials, heat shrink materials, “slip on” moulded components, molten solders and gas/oil piping and fittings. compression, mechanical, solde</w:t>
            </w:r>
            <w:r w:rsidRPr="00186025">
              <w:t xml:space="preserve">r lugs and ferrules and welded connections. </w:t>
            </w:r>
          </w:p>
          <w:p w:rsidR="00000000" w:rsidRPr="00186025" w:rsidP="00186025">
            <w:pPr>
              <w:pStyle w:val="BodyText"/>
            </w:pPr>
            <w:r w:rsidRPr="00186025">
              <w:t>This unit also encompasses the preparation for cable freezing and preliminary pressure control and leak repair activities.</w:t>
            </w:r>
          </w:p>
          <w:p w:rsidR="00000000" w:rsidRPr="00186025" w:rsidP="00186025">
            <w:pPr>
              <w:pStyle w:val="BodyText"/>
            </w:pPr>
            <w:r w:rsidRPr="00186025">
              <w:t>The following constants and variables included in the element/performance criteria in th</w:t>
            </w:r>
            <w:r w:rsidRPr="00186025">
              <w:t>is unit are fully described in the Definitions Section 1 of this volume and form an integral part of the Range Statement of this unit:</w:t>
            </w:r>
          </w:p>
          <w:p w:rsidR="00000000" w:rsidRPr="00186025" w:rsidP="00186025">
            <w:pPr>
              <w:pStyle w:val="ListBullet3"/>
            </w:pPr>
            <w:r w:rsidRPr="00186025">
              <w:t>Appropriate and relevant persons (see Personnel)</w:t>
            </w:r>
          </w:p>
          <w:p w:rsidR="00000000" w:rsidRPr="00186025" w:rsidP="00186025">
            <w:pPr>
              <w:pStyle w:val="ListBullet3"/>
            </w:pPr>
            <w:r w:rsidRPr="00186025">
              <w:t xml:space="preserve">Appropriate authorities </w:t>
            </w:r>
          </w:p>
          <w:p w:rsidR="00000000" w:rsidRPr="00186025" w:rsidP="00186025">
            <w:pPr>
              <w:pStyle w:val="ListBullet3"/>
            </w:pPr>
            <w:r w:rsidRPr="00186025">
              <w:t>Appropriate work platform</w:t>
            </w:r>
          </w:p>
          <w:p w:rsidR="00000000" w:rsidRPr="00186025" w:rsidP="00186025">
            <w:pPr>
              <w:pStyle w:val="ListBullet3"/>
            </w:pPr>
            <w:r w:rsidRPr="00186025">
              <w:t>Assessing risk</w:t>
            </w:r>
          </w:p>
          <w:p w:rsidR="00000000" w:rsidRPr="00186025" w:rsidP="00186025">
            <w:pPr>
              <w:pStyle w:val="ListBullet3"/>
            </w:pPr>
            <w:r w:rsidRPr="00186025">
              <w:t>Assessment</w:t>
            </w:r>
          </w:p>
          <w:p w:rsidR="00000000" w:rsidRPr="00186025" w:rsidP="00186025">
            <w:pPr>
              <w:pStyle w:val="ListBullet3"/>
            </w:pPr>
            <w:r w:rsidRPr="00186025">
              <w:t>Authorisation</w:t>
            </w:r>
          </w:p>
          <w:p w:rsidR="00000000" w:rsidRPr="00186025" w:rsidP="00186025">
            <w:pPr>
              <w:pStyle w:val="ListBullet3"/>
            </w:pPr>
            <w:r w:rsidRPr="00186025">
              <w:t>Confined space</w:t>
            </w:r>
          </w:p>
          <w:p w:rsidR="00000000" w:rsidRPr="00186025" w:rsidP="00186025">
            <w:pPr>
              <w:pStyle w:val="ListBullet3"/>
            </w:pPr>
            <w:r w:rsidRPr="00186025">
              <w:t>Diagnostic, testing and restoration</w:t>
            </w:r>
          </w:p>
          <w:p w:rsidR="00000000" w:rsidRPr="00186025" w:rsidP="00186025">
            <w:pPr>
              <w:pStyle w:val="ListBullet3"/>
            </w:pPr>
            <w:r w:rsidRPr="00186025">
              <w:t>Documenting detail work events, record keeping and or storage of information</w:t>
            </w:r>
          </w:p>
          <w:p w:rsidR="00000000" w:rsidRPr="00186025" w:rsidP="00186025">
            <w:pPr>
              <w:pStyle w:val="ListBullet3"/>
            </w:pPr>
            <w:r w:rsidRPr="00186025">
              <w:t xml:space="preserve">Drawings and specifications </w:t>
            </w:r>
          </w:p>
          <w:p w:rsidR="00000000" w:rsidRPr="00186025" w:rsidP="00186025">
            <w:pPr>
              <w:pStyle w:val="ListBullet3"/>
            </w:pPr>
            <w:r w:rsidRPr="00186025">
              <w:t>Emergency</w:t>
            </w:r>
          </w:p>
          <w:p w:rsidR="00000000" w:rsidRPr="00186025" w:rsidP="00186025">
            <w:pPr>
              <w:pStyle w:val="ListBullet3"/>
            </w:pPr>
            <w:r w:rsidRPr="00186025">
              <w:t>Environmental and sustainable energy procedures</w:t>
            </w:r>
          </w:p>
          <w:p w:rsidR="00000000" w:rsidRPr="00186025" w:rsidP="00186025">
            <w:pPr>
              <w:pStyle w:val="ListBullet3"/>
            </w:pPr>
            <w:r w:rsidRPr="00186025">
              <w:t>Environmental le</w:t>
            </w:r>
            <w:r w:rsidRPr="00186025">
              <w:t>gislation</w:t>
            </w:r>
          </w:p>
          <w:p w:rsidR="00000000" w:rsidRPr="00186025" w:rsidP="00186025">
            <w:pPr>
              <w:pStyle w:val="ListBullet3"/>
            </w:pPr>
            <w:r w:rsidRPr="00186025">
              <w:t>Environmental management documentation</w:t>
            </w:r>
          </w:p>
          <w:p w:rsidR="00000000" w:rsidRPr="00186025" w:rsidP="00186025">
            <w:pPr>
              <w:pStyle w:val="ListBullet3"/>
            </w:pPr>
            <w:r w:rsidRPr="00186025">
              <w:t>Established procedures</w:t>
            </w:r>
          </w:p>
          <w:p w:rsidR="00000000" w:rsidRPr="00186025" w:rsidP="00186025">
            <w:pPr>
              <w:pStyle w:val="ListBullet3"/>
            </w:pPr>
            <w:r w:rsidRPr="00186025">
              <w:t>Fall prevention</w:t>
            </w:r>
          </w:p>
          <w:p w:rsidR="00000000" w:rsidRPr="00186025" w:rsidP="00186025">
            <w:pPr>
              <w:pStyle w:val="ListBullet3"/>
            </w:pPr>
            <w:r w:rsidRPr="00186025">
              <w:t>Hazards</w:t>
            </w:r>
          </w:p>
          <w:p w:rsidR="00000000" w:rsidRPr="00186025" w:rsidP="00186025">
            <w:pPr>
              <w:pStyle w:val="ListBullet3"/>
            </w:pPr>
            <w:r w:rsidRPr="00186025">
              <w:t>Identifying hazards</w:t>
            </w:r>
          </w:p>
          <w:p w:rsidR="00000000" w:rsidRPr="00186025" w:rsidP="00186025">
            <w:pPr>
              <w:pStyle w:val="ListBullet3"/>
            </w:pPr>
            <w:r w:rsidRPr="00186025">
              <w:t>Inspect</w:t>
            </w:r>
          </w:p>
          <w:p w:rsidR="00000000" w:rsidRPr="00186025" w:rsidP="00186025">
            <w:pPr>
              <w:pStyle w:val="ListBullet3"/>
            </w:pPr>
            <w:r w:rsidRPr="00186025">
              <w:t>Legislation</w:t>
            </w:r>
          </w:p>
          <w:p w:rsidR="00000000" w:rsidRPr="00186025" w:rsidP="00186025">
            <w:pPr>
              <w:pStyle w:val="ListBullet3"/>
            </w:pPr>
            <w:r w:rsidRPr="00186025">
              <w:t>MSDS</w:t>
            </w:r>
          </w:p>
          <w:p w:rsidR="00000000" w:rsidRPr="00186025" w:rsidP="00186025">
            <w:pPr>
              <w:pStyle w:val="ListBullet3"/>
            </w:pPr>
            <w:r w:rsidRPr="00186025">
              <w:t>Notification</w:t>
            </w:r>
          </w:p>
          <w:p w:rsidR="00000000" w:rsidRPr="00186025" w:rsidP="00186025">
            <w:pPr>
              <w:pStyle w:val="ListBullet3"/>
            </w:pPr>
            <w:r w:rsidRPr="00186025">
              <w:t>OHS practices</w:t>
            </w:r>
          </w:p>
          <w:p w:rsidR="00000000" w:rsidRPr="00186025" w:rsidP="00186025">
            <w:pPr>
              <w:pStyle w:val="ListBullet3"/>
            </w:pPr>
            <w:r w:rsidRPr="00186025">
              <w:t>OHS issues</w:t>
            </w:r>
          </w:p>
          <w:p w:rsidR="00000000" w:rsidRPr="00186025" w:rsidP="00186025">
            <w:pPr>
              <w:pStyle w:val="ListBullet3"/>
            </w:pPr>
            <w:r w:rsidRPr="00186025">
              <w:t>Permits and/or permits to work</w:t>
            </w:r>
          </w:p>
          <w:p w:rsidR="00000000" w:rsidRPr="00186025" w:rsidP="00186025">
            <w:pPr>
              <w:pStyle w:val="ListBullet3"/>
            </w:pPr>
            <w:r w:rsidRPr="00186025">
              <w:t>Personnel</w:t>
            </w:r>
          </w:p>
          <w:p w:rsidR="00000000" w:rsidRPr="00186025" w:rsidP="00186025">
            <w:pPr>
              <w:pStyle w:val="ListBullet3"/>
            </w:pPr>
            <w:r w:rsidRPr="00186025">
              <w:t>Quality assurance systems</w:t>
            </w:r>
          </w:p>
          <w:p w:rsidR="00000000" w:rsidRPr="00186025" w:rsidP="00186025">
            <w:pPr>
              <w:pStyle w:val="ListBullet3"/>
            </w:pPr>
            <w:r w:rsidRPr="00186025">
              <w:t>Requirements</w:t>
            </w:r>
          </w:p>
          <w:p w:rsidR="00000000" w:rsidRPr="00186025" w:rsidP="00186025">
            <w:pPr>
              <w:pStyle w:val="ListBullet3"/>
            </w:pPr>
            <w:r w:rsidRPr="00186025">
              <w:t>Testing procedures</w:t>
            </w:r>
          </w:p>
          <w:p w:rsidR="00000000" w:rsidRPr="00186025" w:rsidP="00186025">
            <w:pPr>
              <w:pStyle w:val="ListBullet3"/>
            </w:pPr>
            <w:r w:rsidRPr="00186025">
              <w:t>Work clearance systems</w:t>
            </w:r>
          </w:p>
        </w:tc>
      </w:tr>
    </w:tbl>
    <w:p w:rsidR="00000000" w:rsidRPr="00186025" w:rsidP="00186025">
      <w:pPr>
        <w:pStyle w:val="BodyText"/>
      </w:pPr>
    </w:p>
    <w:p w:rsidR="00000000" w:rsidRPr="00186025" w:rsidP="00186025">
      <w:pPr>
        <w:pStyle w:val="AllowPageBreak"/>
      </w:pPr>
    </w:p>
    <w:p w:rsidR="00000000" w:rsidRPr="00186025" w:rsidP="00186025">
      <w:pPr>
        <w:pStyle w:val="Heading1"/>
      </w:pPr>
      <w:bookmarkStart w:id="12" w:name="O_461861"/>
      <w:bookmarkEnd w:id="12"/>
      <w:r w:rsidRPr="00186025">
        <w:t>Unit Sector(s)</w:t>
      </w:r>
    </w:p>
    <w:p w:rsidR="00000000" w:rsidRPr="00186025" w:rsidP="00186025">
      <w:pPr>
        <w:pStyle w:val="BodyText"/>
      </w:pPr>
      <w:r w:rsidRPr="00186025">
        <w:t>Not applicable.</w:t>
      </w:r>
    </w:p>
    <w:p w:rsidR="00000000" w:rsidRPr="00186025" w:rsidP="00186025">
      <w:pPr>
        <w:pStyle w:val="AllowPageBreak"/>
      </w:pPr>
    </w:p>
    <w:p w:rsidR="00000000" w:rsidRPr="00186025" w:rsidP="00186025">
      <w:pPr>
        <w:pStyle w:val="Heading1"/>
      </w:pPr>
      <w:bookmarkStart w:id="13" w:name="O_461849"/>
      <w:bookmarkEnd w:id="13"/>
      <w:r w:rsidRPr="00186025">
        <w:t>Competency Field</w:t>
      </w:r>
    </w:p>
    <w:tbl>
      <w:tblPr>
        <w:tblW w:w="0" w:type="auto"/>
        <w:tblLayout w:type="fixed"/>
        <w:tblCellMar>
          <w:left w:w="62" w:type="dxa"/>
          <w:right w:w="62" w:type="dxa"/>
        </w:tblCellMar>
        <w:tblLook w:val="0000"/>
      </w:tblPr>
      <w:tblGrid>
        <w:gridCol w:w="2700"/>
        <w:gridCol w:w="5760"/>
      </w:tblGrid>
      <w:tr w:rsidTr="002A0D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6025">
            <w:pPr>
              <w:pStyle w:val="BodyText"/>
              <w:rPr>
                <w:lang w:val="en-NZ"/>
              </w:rPr>
            </w:pPr>
            <w:r w:rsidRPr="00186025">
              <w:rPr>
                <w:rStyle w:val="SpecialBold"/>
              </w:rPr>
              <w:t xml:space="preserve">11) </w:t>
            </w:r>
          </w:p>
        </w:tc>
      </w:tr>
      <w:tr w:rsidTr="002A0D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6025" w:rsidP="00186025">
            <w:pPr>
              <w:pStyle w:val="BodyText"/>
            </w:pPr>
            <w:r w:rsidRPr="00186025">
              <w:t>Cable Jointing</w:t>
            </w:r>
          </w:p>
        </w:tc>
      </w:tr>
    </w:tbl>
    <w:p w:rsidR="00000000" w:rsidRPr="00186025" w:rsidP="00186025">
      <w:pPr>
        <w:pStyle w:val="BodyText"/>
      </w:pPr>
    </w:p>
    <w:p w:rsidR="00000000" w:rsidRPr="00186025" w:rsidP="00186025"/>
    <w:sectPr w:rsidSect="001860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D72" w:rsidP="002A0D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72" w:rsidP="001860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A0D72" w:rsidP="001860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0D72" w:rsidP="001860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D72" w:rsidP="002A0D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72" w:rsidP="00186025">
    <w:pPr>
      <w:pStyle w:val="Header"/>
      <w:framePr w:wrap="around"/>
    </w:pPr>
    <w:r>
      <w:fldChar w:fldCharType="begin"/>
    </w:r>
    <w:r>
      <w:instrText xml:space="preserve"> TITLE   \* MERGEFORMAT </w:instrText>
    </w:r>
    <w:r>
      <w:fldChar w:fldCharType="separate"/>
    </w:r>
    <w:r>
      <w:t>UETTDRCJ30A Maintain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0D72" w:rsidP="001860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61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CC1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2C2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0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6025"/>
    <w:pPr>
      <w:spacing w:before="360" w:after="60"/>
      <w:outlineLvl w:val="0"/>
    </w:pPr>
    <w:rPr>
      <w:sz w:val="32"/>
    </w:rPr>
  </w:style>
  <w:style w:type="paragraph" w:styleId="Heading2">
    <w:name w:val="heading 2"/>
    <w:basedOn w:val="HeadingBase"/>
    <w:next w:val="BodyText"/>
    <w:link w:val="Heading2Char"/>
    <w:qFormat/>
    <w:rsid w:val="00186025"/>
    <w:pPr>
      <w:keepLines/>
      <w:spacing w:before="240" w:after="120"/>
      <w:outlineLvl w:val="1"/>
    </w:pPr>
    <w:rPr>
      <w:sz w:val="28"/>
      <w:szCs w:val="40"/>
    </w:rPr>
  </w:style>
  <w:style w:type="paragraph" w:styleId="Heading3">
    <w:name w:val="heading 3"/>
    <w:basedOn w:val="HeadingBase"/>
    <w:next w:val="BodyText"/>
    <w:link w:val="Heading3Char"/>
    <w:qFormat/>
    <w:rsid w:val="00186025"/>
    <w:pPr>
      <w:spacing w:before="180" w:after="120"/>
      <w:outlineLvl w:val="2"/>
    </w:pPr>
    <w:rPr>
      <w:spacing w:val="-10"/>
      <w:kern w:val="32"/>
    </w:rPr>
  </w:style>
  <w:style w:type="paragraph" w:styleId="Heading4">
    <w:name w:val="heading 4"/>
    <w:basedOn w:val="HeadingBase"/>
    <w:next w:val="BodyText"/>
    <w:link w:val="Heading4Char"/>
    <w:qFormat/>
    <w:rsid w:val="00186025"/>
    <w:pPr>
      <w:spacing w:before="160" w:after="120"/>
      <w:outlineLvl w:val="3"/>
    </w:pPr>
    <w:rPr>
      <w:sz w:val="22"/>
    </w:rPr>
  </w:style>
  <w:style w:type="paragraph" w:styleId="Heading5">
    <w:name w:val="heading 5"/>
    <w:basedOn w:val="HeadingBase"/>
    <w:next w:val="Normal"/>
    <w:link w:val="Heading5Char"/>
    <w:qFormat/>
    <w:rsid w:val="00186025"/>
    <w:pPr>
      <w:spacing w:before="80"/>
      <w:outlineLvl w:val="4"/>
    </w:pPr>
    <w:rPr>
      <w:color w:val="918585"/>
      <w:sz w:val="20"/>
    </w:rPr>
  </w:style>
  <w:style w:type="paragraph" w:styleId="Heading6">
    <w:name w:val="heading 6"/>
    <w:basedOn w:val="HeadingBase"/>
    <w:next w:val="Normal"/>
    <w:link w:val="Heading6Char"/>
    <w:qFormat/>
    <w:rsid w:val="00186025"/>
    <w:pPr>
      <w:spacing w:before="60"/>
      <w:outlineLvl w:val="5"/>
    </w:pPr>
    <w:rPr>
      <w:color w:val="918585"/>
      <w:sz w:val="20"/>
    </w:rPr>
  </w:style>
  <w:style w:type="paragraph" w:styleId="Heading7">
    <w:name w:val="heading 7"/>
    <w:basedOn w:val="Normal"/>
    <w:next w:val="Normal"/>
    <w:link w:val="Heading7Char"/>
    <w:qFormat/>
    <w:rsid w:val="00186025"/>
    <w:pPr>
      <w:ind w:left="720"/>
      <w:outlineLvl w:val="6"/>
    </w:pPr>
    <w:rPr>
      <w:i/>
    </w:rPr>
  </w:style>
  <w:style w:type="paragraph" w:styleId="Heading8">
    <w:name w:val="heading 8"/>
    <w:basedOn w:val="Normal"/>
    <w:next w:val="Normal"/>
    <w:link w:val="Heading8Char"/>
    <w:qFormat/>
    <w:rsid w:val="00186025"/>
    <w:pPr>
      <w:ind w:left="720"/>
      <w:outlineLvl w:val="7"/>
    </w:pPr>
    <w:rPr>
      <w:i/>
    </w:rPr>
  </w:style>
  <w:style w:type="paragraph" w:styleId="Heading9">
    <w:name w:val="heading 9"/>
    <w:basedOn w:val="Normal"/>
    <w:next w:val="Normal"/>
    <w:link w:val="Heading9Char"/>
    <w:qFormat/>
    <w:rsid w:val="00186025"/>
    <w:pPr>
      <w:ind w:left="720"/>
      <w:outlineLvl w:val="8"/>
    </w:pPr>
    <w:rPr>
      <w:i/>
    </w:rPr>
  </w:style>
  <w:style w:type="character" w:default="1" w:styleId="DefaultParagraphFont">
    <w:name w:val="Default Paragraph Font"/>
    <w:uiPriority w:val="1"/>
    <w:unhideWhenUsed/>
    <w:rsid w:val="00186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025"/>
  </w:style>
  <w:style w:type="character" w:customStyle="1" w:styleId="Heading1Char">
    <w:name w:val="Heading 1 Char"/>
    <w:basedOn w:val="DefaultParagraphFont"/>
    <w:link w:val="Heading1"/>
    <w:rsid w:val="00186025"/>
    <w:rPr>
      <w:rFonts w:ascii="Times New Roman" w:eastAsia="Times New Roman" w:hAnsi="Times New Roman" w:cs="Times New Roman"/>
      <w:b/>
      <w:sz w:val="32"/>
      <w:szCs w:val="20"/>
      <w:lang w:eastAsia="en-US"/>
    </w:rPr>
  </w:style>
  <w:style w:type="paragraph" w:styleId="BodyText">
    <w:name w:val="Body Text"/>
    <w:basedOn w:val="Normal"/>
    <w:link w:val="BodyTextChar"/>
    <w:rsid w:val="001860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025"/>
    <w:rPr>
      <w:rFonts w:ascii="Times New Roman" w:eastAsia="Times New Roman" w:hAnsi="Times New Roman" w:cs="Times New Roman"/>
      <w:sz w:val="24"/>
      <w:lang w:val="en-US" w:eastAsia="en-US"/>
    </w:rPr>
  </w:style>
  <w:style w:type="paragraph" w:styleId="Footer">
    <w:name w:val="footer"/>
    <w:basedOn w:val="Normal"/>
    <w:link w:val="FooterChar"/>
    <w:rsid w:val="00186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025"/>
    <w:rPr>
      <w:rFonts w:ascii="Times New Roman" w:eastAsia="Times New Roman" w:hAnsi="Times New Roman" w:cs="Times New Roman"/>
      <w:sz w:val="16"/>
      <w:lang w:val="en-US" w:eastAsia="en-US"/>
    </w:rPr>
  </w:style>
  <w:style w:type="paragraph" w:styleId="ListBullet">
    <w:name w:val="List Bullet"/>
    <w:basedOn w:val="List"/>
    <w:rsid w:val="00186025"/>
    <w:pPr>
      <w:numPr>
        <w:numId w:val="14"/>
      </w:numPr>
      <w:tabs>
        <w:tab w:val="clear" w:pos="340"/>
      </w:tabs>
      <w:spacing w:before="40" w:after="40"/>
    </w:pPr>
  </w:style>
  <w:style w:type="character" w:customStyle="1" w:styleId="SpecialBold">
    <w:name w:val="Special Bold"/>
    <w:basedOn w:val="DefaultParagraphFont"/>
    <w:rsid w:val="00186025"/>
    <w:rPr>
      <w:b/>
      <w:spacing w:val="0"/>
    </w:rPr>
  </w:style>
  <w:style w:type="paragraph" w:styleId="ListBullet2">
    <w:name w:val="List Bullet 2"/>
    <w:basedOn w:val="List2"/>
    <w:rsid w:val="00186025"/>
    <w:pPr>
      <w:numPr>
        <w:numId w:val="15"/>
      </w:numPr>
      <w:tabs>
        <w:tab w:val="clear" w:pos="680"/>
      </w:tabs>
    </w:pPr>
  </w:style>
  <w:style w:type="paragraph" w:styleId="Header">
    <w:name w:val="header"/>
    <w:basedOn w:val="Normal"/>
    <w:link w:val="HeaderChar"/>
    <w:rsid w:val="00186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0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6025"/>
    <w:pPr>
      <w:spacing w:before="240" w:after="120"/>
      <w:outlineLvl w:val="0"/>
    </w:pPr>
    <w:rPr>
      <w:rFonts w:ascii="Times New Roman" w:hAnsi="Times New Roman"/>
      <w:b/>
      <w:sz w:val="28"/>
    </w:rPr>
  </w:style>
  <w:style w:type="paragraph" w:customStyle="1" w:styleId="AllowPageBreak">
    <w:name w:val="AllowPageBreak"/>
    <w:rsid w:val="001860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6025"/>
    <w:pPr>
      <w:numPr>
        <w:numId w:val="3"/>
      </w:numPr>
      <w:tabs>
        <w:tab w:val="clear" w:pos="1021"/>
      </w:tabs>
      <w:ind w:left="1037" w:hanging="357"/>
    </w:pPr>
  </w:style>
  <w:style w:type="character" w:customStyle="1" w:styleId="Heading2Char">
    <w:name w:val="Heading 2 Char"/>
    <w:basedOn w:val="DefaultParagraphFont"/>
    <w:link w:val="Heading2"/>
    <w:rsid w:val="00186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0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0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0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60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6025"/>
    <w:rPr>
      <w:rFonts w:ascii="Courier New" w:eastAsia="Times New Roman" w:hAnsi="Courier New" w:cs="Times New Roman"/>
      <w:i/>
      <w:szCs w:val="20"/>
      <w:lang w:val="en-US" w:eastAsia="en-US"/>
    </w:rPr>
  </w:style>
  <w:style w:type="paragraph" w:customStyle="1" w:styleId="HeadingBase">
    <w:name w:val="Heading Base"/>
    <w:rsid w:val="00186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025"/>
    <w:pPr>
      <w:tabs>
        <w:tab w:val="right" w:leader="dot" w:pos="9072"/>
      </w:tabs>
      <w:ind w:left="567"/>
    </w:pPr>
    <w:rPr>
      <w:szCs w:val="22"/>
    </w:rPr>
  </w:style>
  <w:style w:type="paragraph" w:customStyle="1" w:styleId="TOCBase">
    <w:name w:val="TOC Base"/>
    <w:rsid w:val="00186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025"/>
    <w:pPr>
      <w:tabs>
        <w:tab w:val="right" w:leader="dot" w:pos="9072"/>
      </w:tabs>
      <w:spacing w:before="40" w:after="40"/>
      <w:ind w:left="284"/>
    </w:pPr>
    <w:rPr>
      <w:rFonts w:ascii="Times New Roman" w:hAnsi="Times New Roman"/>
    </w:rPr>
  </w:style>
  <w:style w:type="paragraph" w:styleId="TOC1">
    <w:name w:val="toc 1"/>
    <w:basedOn w:val="TOCBase"/>
    <w:next w:val="Normal"/>
    <w:rsid w:val="001860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025"/>
    <w:pPr>
      <w:spacing w:before="5040"/>
      <w:jc w:val="center"/>
    </w:pPr>
    <w:rPr>
      <w:sz w:val="48"/>
      <w:szCs w:val="72"/>
      <w:lang w:val="en-US"/>
    </w:rPr>
  </w:style>
  <w:style w:type="character" w:customStyle="1" w:styleId="TitleChar">
    <w:name w:val="Title Char"/>
    <w:basedOn w:val="DefaultParagraphFont"/>
    <w:link w:val="Title"/>
    <w:rsid w:val="00186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025"/>
    <w:pPr>
      <w:tabs>
        <w:tab w:val="left" w:pos="3600"/>
        <w:tab w:val="left" w:pos="3958"/>
      </w:tabs>
    </w:pPr>
  </w:style>
  <w:style w:type="paragraph" w:styleId="List">
    <w:name w:val="List"/>
    <w:basedOn w:val="BodyText"/>
    <w:next w:val="BodyText"/>
    <w:rsid w:val="00186025"/>
    <w:pPr>
      <w:tabs>
        <w:tab w:val="left" w:pos="340"/>
      </w:tabs>
      <w:spacing w:before="60" w:after="60"/>
      <w:ind w:left="340" w:hanging="340"/>
    </w:pPr>
  </w:style>
  <w:style w:type="paragraph" w:customStyle="1" w:styleId="Note">
    <w:name w:val="Note"/>
    <w:basedOn w:val="BodyText"/>
    <w:rsid w:val="001860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025"/>
    <w:pPr>
      <w:framePr w:wrap="auto" w:hAnchor="text" w:y="6049"/>
    </w:pPr>
    <w:rPr>
      <w:color w:val="000000"/>
      <w:sz w:val="40"/>
    </w:rPr>
  </w:style>
  <w:style w:type="paragraph" w:customStyle="1" w:styleId="TOCTitle">
    <w:name w:val="TOCTitle"/>
    <w:basedOn w:val="Heading1"/>
    <w:rsid w:val="00186025"/>
    <w:pPr>
      <w:spacing w:after="240"/>
      <w:jc w:val="center"/>
      <w:outlineLvl w:val="9"/>
    </w:pPr>
    <w:rPr>
      <w:caps/>
    </w:rPr>
  </w:style>
  <w:style w:type="paragraph" w:customStyle="1" w:styleId="Version">
    <w:name w:val="Version"/>
    <w:rsid w:val="001860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025"/>
    <w:pPr>
      <w:keepNext w:val="0"/>
      <w:tabs>
        <w:tab w:val="right" w:pos="4176"/>
      </w:tabs>
      <w:ind w:left="198" w:hanging="198"/>
    </w:pPr>
    <w:rPr>
      <w:rFonts w:ascii="Garamond" w:hAnsi="Garamond"/>
    </w:rPr>
  </w:style>
  <w:style w:type="paragraph" w:styleId="IndexHeading">
    <w:name w:val="index heading"/>
    <w:basedOn w:val="Normal"/>
    <w:next w:val="Index1"/>
    <w:semiHidden/>
    <w:rsid w:val="00186025"/>
    <w:pPr>
      <w:spacing w:before="120" w:after="120"/>
    </w:pPr>
    <w:rPr>
      <w:rFonts w:ascii="Arial" w:hAnsi="Arial"/>
      <w:b/>
      <w:color w:val="918585"/>
      <w:sz w:val="24"/>
    </w:rPr>
  </w:style>
  <w:style w:type="paragraph" w:customStyle="1" w:styleId="Chapter">
    <w:name w:val="Chapter"/>
    <w:basedOn w:val="Normal"/>
    <w:rsid w:val="00186025"/>
    <w:pPr>
      <w:spacing w:before="240"/>
    </w:pPr>
    <w:rPr>
      <w:rFonts w:ascii="Times New Roman" w:hAnsi="Times New Roman"/>
      <w:smallCaps/>
      <w:spacing w:val="80"/>
      <w:sz w:val="28"/>
    </w:rPr>
  </w:style>
  <w:style w:type="paragraph" w:customStyle="1" w:styleId="InChapter">
    <w:name w:val="InChapter"/>
    <w:basedOn w:val="Heading3"/>
    <w:rsid w:val="00186025"/>
    <w:pPr>
      <w:spacing w:after="240"/>
      <w:outlineLvl w:val="9"/>
    </w:pPr>
    <w:rPr>
      <w:noProof/>
    </w:rPr>
  </w:style>
  <w:style w:type="paragraph" w:styleId="Index2">
    <w:name w:val="index 2"/>
    <w:basedOn w:val="Normal"/>
    <w:next w:val="Normal"/>
    <w:semiHidden/>
    <w:rsid w:val="00186025"/>
    <w:pPr>
      <w:tabs>
        <w:tab w:val="right" w:pos="4176"/>
      </w:tabs>
      <w:ind w:left="568" w:hanging="284"/>
    </w:pPr>
    <w:rPr>
      <w:rFonts w:ascii="Garamond" w:hAnsi="Garamond"/>
    </w:rPr>
  </w:style>
  <w:style w:type="paragraph" w:customStyle="1" w:styleId="Byline">
    <w:name w:val="Byline"/>
    <w:rsid w:val="00186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025"/>
    <w:pPr>
      <w:tabs>
        <w:tab w:val="clear" w:pos="3600"/>
        <w:tab w:val="clear" w:pos="3958"/>
      </w:tabs>
      <w:jc w:val="right"/>
    </w:pPr>
  </w:style>
  <w:style w:type="character" w:styleId="Emphasis">
    <w:name w:val="Emphasis"/>
    <w:basedOn w:val="DefaultParagraphFont"/>
    <w:qFormat/>
    <w:rsid w:val="00186025"/>
    <w:rPr>
      <w:i/>
    </w:rPr>
  </w:style>
  <w:style w:type="paragraph" w:styleId="Caption">
    <w:name w:val="caption"/>
    <w:basedOn w:val="BodyText"/>
    <w:next w:val="Normal"/>
    <w:qFormat/>
    <w:rsid w:val="00186025"/>
    <w:pPr>
      <w:framePr w:w="2268" w:hSpace="181" w:vSpace="181" w:wrap="around" w:vAnchor="text" w:hAnchor="page" w:x="1135" w:y="285" w:anchorLock="1"/>
    </w:pPr>
    <w:rPr>
      <w:i/>
    </w:rPr>
  </w:style>
  <w:style w:type="paragraph" w:customStyle="1" w:styleId="MiniTOCTitle">
    <w:name w:val="MiniTOCTitle"/>
    <w:basedOn w:val="Heading4"/>
    <w:rsid w:val="00186025"/>
    <w:pPr>
      <w:spacing w:before="240"/>
      <w:outlineLvl w:val="9"/>
    </w:pPr>
    <w:rPr>
      <w:noProof/>
      <w:sz w:val="24"/>
    </w:rPr>
  </w:style>
  <w:style w:type="paragraph" w:customStyle="1" w:styleId="MiniTOCItem">
    <w:name w:val="MiniTOCItem"/>
    <w:basedOn w:val="ListBullet"/>
    <w:rsid w:val="00186025"/>
    <w:pPr>
      <w:numPr>
        <w:numId w:val="0"/>
      </w:numPr>
      <w:tabs>
        <w:tab w:val="right" w:leader="dot" w:pos="6521"/>
      </w:tabs>
      <w:spacing w:before="0" w:after="0"/>
    </w:pPr>
  </w:style>
  <w:style w:type="paragraph" w:customStyle="1" w:styleId="TOFTitle">
    <w:name w:val="TOFTitle"/>
    <w:basedOn w:val="TOCTitle"/>
    <w:rsid w:val="00186025"/>
  </w:style>
  <w:style w:type="paragraph" w:styleId="TableofFigures">
    <w:name w:val="table of figures"/>
    <w:basedOn w:val="Normal"/>
    <w:next w:val="Normal"/>
    <w:semiHidden/>
    <w:rsid w:val="00186025"/>
    <w:pPr>
      <w:tabs>
        <w:tab w:val="right" w:leader="dot" w:pos="9072"/>
      </w:tabs>
      <w:ind w:left="970" w:hanging="403"/>
    </w:pPr>
    <w:rPr>
      <w:rFonts w:ascii="Times New Roman" w:hAnsi="Times New Roman"/>
      <w:b/>
    </w:rPr>
  </w:style>
  <w:style w:type="paragraph" w:styleId="ListNumber">
    <w:name w:val="List Number"/>
    <w:basedOn w:val="List"/>
    <w:rsid w:val="00186025"/>
    <w:pPr>
      <w:numPr>
        <w:numId w:val="12"/>
      </w:numPr>
    </w:pPr>
  </w:style>
  <w:style w:type="character" w:customStyle="1" w:styleId="WingdingSymbols">
    <w:name w:val="Wingding Symbols"/>
    <w:rsid w:val="00186025"/>
    <w:rPr>
      <w:rFonts w:ascii="Wingdings" w:hAnsi="Wingdings"/>
    </w:rPr>
  </w:style>
  <w:style w:type="paragraph" w:customStyle="1" w:styleId="TableHeading">
    <w:name w:val="Table Heading"/>
    <w:basedOn w:val="HeadingBase"/>
    <w:rsid w:val="00186025"/>
    <w:pPr>
      <w:keepLines/>
      <w:pBdr>
        <w:bottom w:val="single" w:sz="6" w:space="1" w:color="918585"/>
      </w:pBdr>
      <w:spacing w:before="240"/>
    </w:pPr>
  </w:style>
  <w:style w:type="character" w:customStyle="1" w:styleId="HotSpot">
    <w:name w:val="HotSpot"/>
    <w:rsid w:val="00186025"/>
    <w:rPr>
      <w:color w:val="0033CC"/>
      <w:u w:val="none"/>
    </w:rPr>
  </w:style>
  <w:style w:type="paragraph" w:customStyle="1" w:styleId="BodyTextRight">
    <w:name w:val="Body Text Right"/>
    <w:basedOn w:val="BodyText"/>
    <w:rsid w:val="00186025"/>
    <w:pPr>
      <w:spacing w:before="0" w:after="0"/>
      <w:jc w:val="right"/>
    </w:pPr>
  </w:style>
  <w:style w:type="paragraph" w:styleId="Index3">
    <w:name w:val="index 3"/>
    <w:basedOn w:val="ListNumber2"/>
    <w:next w:val="Normal"/>
    <w:semiHidden/>
    <w:rsid w:val="00186025"/>
    <w:pPr>
      <w:numPr>
        <w:numId w:val="0"/>
      </w:numPr>
      <w:tabs>
        <w:tab w:val="right" w:leader="dot" w:pos="4176"/>
      </w:tabs>
    </w:pPr>
  </w:style>
  <w:style w:type="paragraph" w:styleId="ListNumber2">
    <w:name w:val="List Number 2"/>
    <w:basedOn w:val="List2"/>
    <w:rsid w:val="00186025"/>
    <w:pPr>
      <w:numPr>
        <w:numId w:val="11"/>
      </w:numPr>
      <w:tabs>
        <w:tab w:val="clear" w:pos="1060"/>
      </w:tabs>
    </w:pPr>
  </w:style>
  <w:style w:type="paragraph" w:customStyle="1" w:styleId="MarginNote">
    <w:name w:val="Margin Note"/>
    <w:basedOn w:val="BodyText"/>
    <w:rsid w:val="00186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0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6025"/>
    <w:rPr>
      <w:sz w:val="32"/>
    </w:rPr>
  </w:style>
  <w:style w:type="paragraph" w:customStyle="1" w:styleId="HeadingProcedure">
    <w:name w:val="Heading Procedure"/>
    <w:basedOn w:val="HeadingBase"/>
    <w:next w:val="Normal"/>
    <w:rsid w:val="00186025"/>
    <w:pPr>
      <w:tabs>
        <w:tab w:val="left" w:pos="0"/>
      </w:tabs>
      <w:spacing w:before="120" w:after="60"/>
    </w:pPr>
    <w:rPr>
      <w:i/>
      <w:color w:val="918585"/>
      <w:sz w:val="22"/>
    </w:rPr>
  </w:style>
  <w:style w:type="paragraph" w:customStyle="1" w:styleId="TableBodyText">
    <w:name w:val="Table Body Text"/>
    <w:basedOn w:val="BodyText"/>
    <w:rsid w:val="00186025"/>
    <w:pPr>
      <w:spacing w:before="60" w:after="60"/>
    </w:pPr>
  </w:style>
  <w:style w:type="paragraph" w:styleId="ListContinue">
    <w:name w:val="List Continue"/>
    <w:basedOn w:val="List"/>
    <w:rsid w:val="00186025"/>
    <w:pPr>
      <w:ind w:firstLine="0"/>
    </w:pPr>
  </w:style>
  <w:style w:type="paragraph" w:customStyle="1" w:styleId="ListNote">
    <w:name w:val="List Note"/>
    <w:basedOn w:val="List"/>
    <w:rsid w:val="00186025"/>
    <w:pPr>
      <w:pBdr>
        <w:top w:val="single" w:sz="6" w:space="2" w:color="918585"/>
        <w:bottom w:val="single" w:sz="6" w:space="2" w:color="918585"/>
      </w:pBdr>
      <w:tabs>
        <w:tab w:val="left" w:pos="1021"/>
      </w:tabs>
      <w:ind w:firstLine="0"/>
    </w:pPr>
  </w:style>
  <w:style w:type="paragraph" w:customStyle="1" w:styleId="Warning">
    <w:name w:val="Warning"/>
    <w:basedOn w:val="BodyText"/>
    <w:rsid w:val="00186025"/>
    <w:pPr>
      <w:shd w:val="clear" w:color="auto" w:fill="D9D9D9"/>
      <w:tabs>
        <w:tab w:val="left" w:pos="992"/>
      </w:tabs>
      <w:ind w:left="119" w:right="119"/>
    </w:pPr>
    <w:rPr>
      <w:sz w:val="20"/>
    </w:rPr>
  </w:style>
  <w:style w:type="paragraph" w:customStyle="1" w:styleId="MarginIcons">
    <w:name w:val="Margin Icons"/>
    <w:basedOn w:val="BodyText"/>
    <w:rsid w:val="00186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025"/>
    <w:rPr>
      <w:rFonts w:ascii="Courier New" w:hAnsi="Courier New"/>
    </w:rPr>
  </w:style>
  <w:style w:type="paragraph" w:customStyle="1" w:styleId="NoteBullet">
    <w:name w:val="Note Bullet"/>
    <w:basedOn w:val="Note"/>
    <w:rsid w:val="00186025"/>
    <w:pPr>
      <w:tabs>
        <w:tab w:val="clear" w:pos="680"/>
      </w:tabs>
      <w:spacing w:before="60" w:after="60"/>
    </w:pPr>
  </w:style>
  <w:style w:type="paragraph" w:customStyle="1" w:styleId="SubHeading2">
    <w:name w:val="SubHeading2"/>
    <w:basedOn w:val="HeadingBase"/>
    <w:rsid w:val="00186025"/>
    <w:pPr>
      <w:spacing w:before="240" w:after="60"/>
    </w:pPr>
    <w:rPr>
      <w:sz w:val="20"/>
    </w:rPr>
  </w:style>
  <w:style w:type="paragraph" w:customStyle="1" w:styleId="SubHeading1">
    <w:name w:val="SubHeading1"/>
    <w:basedOn w:val="HeadingBase"/>
    <w:rsid w:val="00186025"/>
    <w:pPr>
      <w:spacing w:before="240" w:after="60"/>
    </w:pPr>
    <w:rPr>
      <w:color w:val="918585"/>
      <w:sz w:val="22"/>
    </w:rPr>
  </w:style>
  <w:style w:type="paragraph" w:customStyle="1" w:styleId="SideHeading">
    <w:name w:val="Side Heading"/>
    <w:basedOn w:val="HeadingBase"/>
    <w:rsid w:val="00186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025"/>
    <w:pPr>
      <w:numPr>
        <w:numId w:val="13"/>
      </w:numPr>
    </w:pPr>
  </w:style>
  <w:style w:type="paragraph" w:styleId="PlainText">
    <w:name w:val="Plain Text"/>
    <w:basedOn w:val="Normal"/>
    <w:link w:val="PlainTextChar"/>
    <w:rsid w:val="00186025"/>
    <w:rPr>
      <w:sz w:val="20"/>
    </w:rPr>
  </w:style>
  <w:style w:type="character" w:customStyle="1" w:styleId="PlainTextChar">
    <w:name w:val="Plain Text Char"/>
    <w:basedOn w:val="DefaultParagraphFont"/>
    <w:link w:val="PlainText"/>
    <w:rsid w:val="001860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6025"/>
    <w:rPr>
      <w:b/>
      <w:smallCaps/>
    </w:rPr>
  </w:style>
  <w:style w:type="paragraph" w:customStyle="1" w:styleId="TableListNumber">
    <w:name w:val="Table List Number"/>
    <w:basedOn w:val="ListNumber"/>
    <w:rsid w:val="00186025"/>
    <w:pPr>
      <w:numPr>
        <w:numId w:val="0"/>
      </w:numPr>
    </w:pPr>
  </w:style>
  <w:style w:type="paragraph" w:styleId="TOC4">
    <w:name w:val="toc 4"/>
    <w:basedOn w:val="TOCBase"/>
    <w:next w:val="Normal"/>
    <w:semiHidden/>
    <w:rsid w:val="00186025"/>
    <w:pPr>
      <w:tabs>
        <w:tab w:val="right" w:leader="dot" w:pos="9071"/>
      </w:tabs>
      <w:ind w:left="1701"/>
    </w:pPr>
  </w:style>
  <w:style w:type="paragraph" w:customStyle="1" w:styleId="ListAlpha">
    <w:name w:val="List Alpha"/>
    <w:basedOn w:val="List"/>
    <w:rsid w:val="00186025"/>
    <w:pPr>
      <w:numPr>
        <w:numId w:val="10"/>
      </w:numPr>
    </w:pPr>
  </w:style>
  <w:style w:type="paragraph" w:customStyle="1" w:styleId="ListAlpha2">
    <w:name w:val="List Alpha 2"/>
    <w:basedOn w:val="List2"/>
    <w:rsid w:val="00186025"/>
    <w:pPr>
      <w:numPr>
        <w:numId w:val="9"/>
      </w:numPr>
    </w:pPr>
  </w:style>
  <w:style w:type="paragraph" w:styleId="List2">
    <w:name w:val="List 2"/>
    <w:basedOn w:val="BodyText"/>
    <w:rsid w:val="00186025"/>
    <w:pPr>
      <w:tabs>
        <w:tab w:val="left" w:pos="680"/>
      </w:tabs>
      <w:spacing w:before="60" w:after="60"/>
      <w:ind w:left="680" w:hanging="340"/>
    </w:pPr>
  </w:style>
  <w:style w:type="paragraph" w:styleId="List3">
    <w:name w:val="List 3"/>
    <w:basedOn w:val="BodyText"/>
    <w:rsid w:val="00186025"/>
    <w:pPr>
      <w:tabs>
        <w:tab w:val="left" w:pos="1021"/>
      </w:tabs>
      <w:spacing w:before="60" w:after="60"/>
      <w:ind w:left="1020" w:hanging="340"/>
    </w:pPr>
  </w:style>
  <w:style w:type="paragraph" w:styleId="List4">
    <w:name w:val="List 4"/>
    <w:basedOn w:val="BodyText"/>
    <w:rsid w:val="00186025"/>
    <w:pPr>
      <w:tabs>
        <w:tab w:val="left" w:pos="1361"/>
      </w:tabs>
      <w:spacing w:before="60" w:after="60"/>
      <w:ind w:left="1361" w:hanging="340"/>
    </w:pPr>
  </w:style>
  <w:style w:type="paragraph" w:styleId="List5">
    <w:name w:val="List 5"/>
    <w:basedOn w:val="BodyText"/>
    <w:rsid w:val="00186025"/>
    <w:pPr>
      <w:tabs>
        <w:tab w:val="left" w:pos="1701"/>
      </w:tabs>
      <w:spacing w:before="60" w:after="60"/>
      <w:ind w:left="1701" w:hanging="340"/>
    </w:pPr>
  </w:style>
  <w:style w:type="paragraph" w:styleId="ListBullet4">
    <w:name w:val="List Bullet 4"/>
    <w:basedOn w:val="List4"/>
    <w:rsid w:val="00186025"/>
    <w:pPr>
      <w:numPr>
        <w:numId w:val="4"/>
      </w:numPr>
    </w:pPr>
  </w:style>
  <w:style w:type="paragraph" w:styleId="ListBullet5">
    <w:name w:val="List Bullet 5"/>
    <w:basedOn w:val="List5"/>
    <w:rsid w:val="00186025"/>
    <w:pPr>
      <w:numPr>
        <w:numId w:val="5"/>
      </w:numPr>
    </w:pPr>
  </w:style>
  <w:style w:type="paragraph" w:styleId="ListContinue2">
    <w:name w:val="List Continue 2"/>
    <w:basedOn w:val="List2"/>
    <w:rsid w:val="00186025"/>
    <w:pPr>
      <w:ind w:firstLine="0"/>
    </w:pPr>
  </w:style>
  <w:style w:type="paragraph" w:styleId="ListContinue3">
    <w:name w:val="List Continue 3"/>
    <w:basedOn w:val="List3"/>
    <w:rsid w:val="00186025"/>
    <w:pPr>
      <w:ind w:left="1021" w:firstLine="0"/>
    </w:pPr>
  </w:style>
  <w:style w:type="paragraph" w:styleId="ListContinue4">
    <w:name w:val="List Continue 4"/>
    <w:basedOn w:val="List4"/>
    <w:rsid w:val="00186025"/>
    <w:pPr>
      <w:ind w:firstLine="0"/>
    </w:pPr>
  </w:style>
  <w:style w:type="paragraph" w:styleId="ListContinue5">
    <w:name w:val="List Continue 5"/>
    <w:basedOn w:val="List5"/>
    <w:rsid w:val="00186025"/>
    <w:pPr>
      <w:ind w:firstLine="0"/>
    </w:pPr>
  </w:style>
  <w:style w:type="paragraph" w:styleId="ListNumber3">
    <w:name w:val="List Number 3"/>
    <w:basedOn w:val="List3"/>
    <w:rsid w:val="00186025"/>
    <w:pPr>
      <w:numPr>
        <w:numId w:val="6"/>
      </w:numPr>
    </w:pPr>
  </w:style>
  <w:style w:type="paragraph" w:styleId="ListNumber4">
    <w:name w:val="List Number 4"/>
    <w:basedOn w:val="List4"/>
    <w:rsid w:val="00186025"/>
    <w:pPr>
      <w:numPr>
        <w:numId w:val="7"/>
      </w:numPr>
    </w:pPr>
  </w:style>
  <w:style w:type="paragraph" w:styleId="ListNumber5">
    <w:name w:val="List Number 5"/>
    <w:basedOn w:val="List5"/>
    <w:rsid w:val="00186025"/>
    <w:pPr>
      <w:numPr>
        <w:numId w:val="8"/>
      </w:numPr>
    </w:pPr>
  </w:style>
  <w:style w:type="paragraph" w:styleId="BlockText">
    <w:name w:val="Block Text"/>
    <w:basedOn w:val="Normal"/>
    <w:rsid w:val="00186025"/>
    <w:pPr>
      <w:spacing w:after="120"/>
      <w:ind w:left="1440" w:right="1440"/>
    </w:pPr>
  </w:style>
  <w:style w:type="character" w:customStyle="1" w:styleId="Subscript">
    <w:name w:val="Subscript"/>
    <w:basedOn w:val="DefaultParagraphFont"/>
    <w:rsid w:val="00186025"/>
    <w:rPr>
      <w:sz w:val="16"/>
      <w:vertAlign w:val="subscript"/>
    </w:rPr>
  </w:style>
  <w:style w:type="character" w:customStyle="1" w:styleId="Superscript">
    <w:name w:val="Superscript"/>
    <w:basedOn w:val="DefaultParagraphFont"/>
    <w:rsid w:val="00186025"/>
    <w:rPr>
      <w:sz w:val="16"/>
      <w:vertAlign w:val="superscript"/>
    </w:rPr>
  </w:style>
  <w:style w:type="character" w:customStyle="1" w:styleId="Symbols">
    <w:name w:val="Symbols"/>
    <w:basedOn w:val="DefaultParagraphFont"/>
    <w:rsid w:val="00186025"/>
    <w:rPr>
      <w:rFonts w:ascii="Symbol" w:hAnsi="Symbol"/>
    </w:rPr>
  </w:style>
  <w:style w:type="character" w:customStyle="1" w:styleId="MenuOptions">
    <w:name w:val="Menu Options"/>
    <w:basedOn w:val="DefaultParagraphFont"/>
    <w:rsid w:val="00186025"/>
    <w:rPr>
      <w:rFonts w:ascii="Arial Narrow" w:hAnsi="Arial Narrow"/>
      <w:smallCaps/>
    </w:rPr>
  </w:style>
  <w:style w:type="character" w:customStyle="1" w:styleId="Buttons">
    <w:name w:val="Buttons"/>
    <w:basedOn w:val="DefaultParagraphFont"/>
    <w:rsid w:val="00186025"/>
    <w:rPr>
      <w:b/>
    </w:rPr>
  </w:style>
  <w:style w:type="character" w:customStyle="1" w:styleId="Underlined">
    <w:name w:val="Underlined"/>
    <w:basedOn w:val="DefaultParagraphFont"/>
    <w:rsid w:val="00186025"/>
    <w:rPr>
      <w:u w:val="single"/>
    </w:rPr>
  </w:style>
  <w:style w:type="paragraph" w:customStyle="1" w:styleId="TableBodyTextRight">
    <w:name w:val="Table Body Text Right"/>
    <w:basedOn w:val="TableBodyText"/>
    <w:rsid w:val="00186025"/>
    <w:pPr>
      <w:widowControl w:val="0"/>
      <w:autoSpaceDE w:val="0"/>
      <w:autoSpaceDN w:val="0"/>
      <w:adjustRightInd w:val="0"/>
      <w:jc w:val="right"/>
    </w:pPr>
    <w:rPr>
      <w:rFonts w:cs="Arial"/>
      <w:szCs w:val="18"/>
    </w:rPr>
  </w:style>
  <w:style w:type="paragraph" w:customStyle="1" w:styleId="CopyrightText">
    <w:name w:val="Copyright Text"/>
    <w:basedOn w:val="BodyText"/>
    <w:rsid w:val="00186025"/>
    <w:rPr>
      <w:sz w:val="18"/>
    </w:rPr>
  </w:style>
  <w:style w:type="paragraph" w:customStyle="1" w:styleId="BodySmallRight">
    <w:name w:val="Body Small Right"/>
    <w:basedOn w:val="BodyTextRight"/>
    <w:rsid w:val="00186025"/>
    <w:rPr>
      <w:sz w:val="18"/>
      <w:szCs w:val="18"/>
    </w:rPr>
  </w:style>
  <w:style w:type="paragraph" w:customStyle="1" w:styleId="MarginEdition">
    <w:name w:val="Margin Edition"/>
    <w:basedOn w:val="MarginNote"/>
    <w:rsid w:val="00186025"/>
    <w:pPr>
      <w:spacing w:before="0" w:after="0"/>
    </w:pPr>
    <w:rPr>
      <w:rFonts w:ascii="Times New Roman" w:hAnsi="Times New Roman"/>
      <w:color w:val="999999"/>
    </w:rPr>
  </w:style>
  <w:style w:type="paragraph" w:customStyle="1" w:styleId="Spacer">
    <w:name w:val="Spacer"/>
    <w:basedOn w:val="Normal"/>
    <w:rsid w:val="00186025"/>
    <w:rPr>
      <w:sz w:val="2"/>
      <w:szCs w:val="2"/>
    </w:rPr>
  </w:style>
  <w:style w:type="character" w:customStyle="1" w:styleId="Small">
    <w:name w:val="Small"/>
    <w:basedOn w:val="DefaultParagraphFont"/>
    <w:rsid w:val="00186025"/>
    <w:rPr>
      <w:sz w:val="16"/>
    </w:rPr>
  </w:style>
  <w:style w:type="paragraph" w:customStyle="1" w:styleId="WideTable">
    <w:name w:val="Wide Table"/>
    <w:basedOn w:val="Normal"/>
    <w:rsid w:val="00186025"/>
    <w:pPr>
      <w:ind w:left="-1418"/>
    </w:pPr>
    <w:rPr>
      <w:sz w:val="2"/>
      <w:szCs w:val="2"/>
    </w:rPr>
  </w:style>
  <w:style w:type="character" w:styleId="PageNumber">
    <w:name w:val="page number"/>
    <w:basedOn w:val="DefaultParagraphFont"/>
    <w:rsid w:val="00186025"/>
  </w:style>
  <w:style w:type="paragraph" w:styleId="Quote">
    <w:name w:val="Quote"/>
    <w:basedOn w:val="Heading1"/>
    <w:link w:val="QuoteChar"/>
    <w:qFormat/>
    <w:rsid w:val="00186025"/>
    <w:rPr>
      <w:b w:val="0"/>
      <w:sz w:val="72"/>
      <w:szCs w:val="72"/>
      <w:lang w:val="en-NZ"/>
    </w:rPr>
  </w:style>
  <w:style w:type="character" w:customStyle="1" w:styleId="QuoteChar">
    <w:name w:val="Quote Char"/>
    <w:basedOn w:val="DefaultParagraphFont"/>
    <w:link w:val="Quote"/>
    <w:rsid w:val="00186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025"/>
    <w:pPr>
      <w:pageBreakBefore/>
    </w:pPr>
  </w:style>
  <w:style w:type="paragraph" w:customStyle="1" w:styleId="Border">
    <w:name w:val="Border"/>
    <w:basedOn w:val="Normal"/>
    <w:qFormat/>
    <w:rsid w:val="00186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025"/>
    <w:rPr>
      <w:b/>
      <w:bCs/>
      <w:i/>
      <w:iCs/>
      <w:color w:val="auto"/>
    </w:rPr>
  </w:style>
  <w:style w:type="paragraph" w:styleId="IntenseQuote">
    <w:name w:val="Intense Quote"/>
    <w:basedOn w:val="Normal"/>
    <w:next w:val="Normal"/>
    <w:link w:val="IntenseQuoteChar"/>
    <w:uiPriority w:val="30"/>
    <w:qFormat/>
    <w:rsid w:val="00186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0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6025"/>
    <w:rPr>
      <w:smallCaps/>
      <w:color w:val="auto"/>
      <w:u w:val="single"/>
    </w:rPr>
  </w:style>
  <w:style w:type="character" w:styleId="IntenseReference">
    <w:name w:val="Intense Reference"/>
    <w:basedOn w:val="DefaultParagraphFont"/>
    <w:uiPriority w:val="32"/>
    <w:qFormat/>
    <w:rsid w:val="00186025"/>
    <w:rPr>
      <w:b/>
      <w:bCs/>
      <w:smallCaps/>
      <w:color w:val="auto"/>
      <w:spacing w:val="5"/>
      <w:u w:val="single"/>
    </w:rPr>
  </w:style>
  <w:style w:type="paragraph" w:customStyle="1" w:styleId="2ColumnHeading">
    <w:name w:val="2Column Heading"/>
    <w:basedOn w:val="BodyText"/>
    <w:qFormat/>
    <w:rsid w:val="00186025"/>
    <w:pPr>
      <w:spacing w:after="60"/>
      <w:ind w:left="-2268"/>
    </w:pPr>
    <w:rPr>
      <w:b/>
    </w:rPr>
  </w:style>
  <w:style w:type="paragraph" w:customStyle="1" w:styleId="Heading1TOC">
    <w:name w:val="Heading1 TOC"/>
    <w:basedOn w:val="Normal"/>
    <w:qFormat/>
    <w:rsid w:val="00186025"/>
    <w:pPr>
      <w:spacing w:before="240" w:after="120"/>
    </w:pPr>
    <w:rPr>
      <w:rFonts w:ascii="Times New Roman" w:hAnsi="Times New Roman"/>
      <w:b/>
      <w:sz w:val="32"/>
    </w:rPr>
  </w:style>
  <w:style w:type="paragraph" w:customStyle="1" w:styleId="Heading2TOC">
    <w:name w:val="Heading2 TOC"/>
    <w:basedOn w:val="Normal"/>
    <w:qFormat/>
    <w:rsid w:val="00186025"/>
    <w:pPr>
      <w:spacing w:before="240" w:after="60"/>
    </w:pPr>
    <w:rPr>
      <w:rFonts w:ascii="Times New Roman" w:hAnsi="Times New Roman"/>
      <w:b/>
      <w:sz w:val="28"/>
    </w:rPr>
  </w:style>
  <w:style w:type="character" w:customStyle="1" w:styleId="Underline">
    <w:name w:val="Underline"/>
    <w:basedOn w:val="DefaultParagraphFont"/>
    <w:qFormat/>
    <w:rsid w:val="00186025"/>
    <w:rPr>
      <w:u w:val="single"/>
    </w:rPr>
  </w:style>
  <w:style w:type="character" w:customStyle="1" w:styleId="BoldandItalics">
    <w:name w:val="Bold and Italics"/>
    <w:qFormat/>
    <w:rsid w:val="00186025"/>
    <w:rPr>
      <w:b/>
      <w:i/>
      <w:u w:val="none"/>
    </w:rPr>
  </w:style>
  <w:style w:type="paragraph" w:styleId="BalloonText">
    <w:name w:val="Balloon Text"/>
    <w:basedOn w:val="Normal"/>
    <w:link w:val="BalloonTextChar"/>
    <w:rsid w:val="00186025"/>
    <w:rPr>
      <w:rFonts w:ascii="Tahoma" w:hAnsi="Tahoma" w:cs="Tahoma"/>
      <w:sz w:val="16"/>
      <w:szCs w:val="16"/>
    </w:rPr>
  </w:style>
  <w:style w:type="character" w:customStyle="1" w:styleId="BalloonTextChar">
    <w:name w:val="Balloon Text Char"/>
    <w:basedOn w:val="DefaultParagraphFont"/>
    <w:link w:val="BalloonText"/>
    <w:rsid w:val="001860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60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0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2726</Words>
  <Characters>17052</Characters>
  <Application>Microsoft Office Word</Application>
  <DocSecurity>0</DocSecurity>
  <Lines>713</Lines>
  <Paragraphs>287</Paragraphs>
  <ScaleCrop>false</ScaleCrop>
  <Company>Author-it Software Corporation Ltd.</Company>
  <LinksUpToDate>false</LinksUpToDate>
  <CharactersWithSpaces>19560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UETTDRCJ30A Maintain gas and oil filled specialised underground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2012-05-26T12:03:00Z</dcterms:created>
  <dcterms:modified xsi:type="dcterms:W3CDTF">2012-05-26T12:03:00Z</dcterms:modified>
</cp:coreProperties>
</file>